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896BC">
      <w:pPr>
        <w:spacing w:before="156" w:beforeLines="50" w:after="156" w:afterLines="50" w:line="360" w:lineRule="auto"/>
        <w:ind w:left="120" w:leftChars="50" w:right="120" w:rightChars="50" w:firstLine="482" w:firstLineChars="200"/>
        <w:rPr>
          <w:rStyle w:val="91"/>
          <w:rFonts w:ascii="宋体" w:hAnsi="宋体"/>
          <w:b/>
          <w:bCs/>
          <w:color w:val="auto"/>
          <w:szCs w:val="24"/>
          <w:highlight w:val="none"/>
        </w:rPr>
      </w:pPr>
    </w:p>
    <w:p w14:paraId="6CECECC6">
      <w:pPr>
        <w:pStyle w:val="89"/>
        <w:widowControl w:val="0"/>
        <w:autoSpaceDN w:val="0"/>
        <w:spacing w:line="360" w:lineRule="auto"/>
        <w:rPr>
          <w:rFonts w:ascii="宋体" w:hAnsi="宋体"/>
          <w:bCs/>
          <w:color w:val="auto"/>
          <w:sz w:val="48"/>
          <w:szCs w:val="48"/>
          <w:highlight w:val="none"/>
        </w:rPr>
      </w:pPr>
    </w:p>
    <w:p w14:paraId="651D7969">
      <w:pPr>
        <w:pStyle w:val="89"/>
        <w:widowControl w:val="0"/>
        <w:autoSpaceDN w:val="0"/>
        <w:spacing w:line="360" w:lineRule="auto"/>
        <w:jc w:val="center"/>
        <w:rPr>
          <w:rFonts w:ascii="宋体" w:hAnsi="宋体"/>
          <w:bCs/>
          <w:color w:val="auto"/>
          <w:sz w:val="48"/>
          <w:szCs w:val="48"/>
          <w:highlight w:val="none"/>
        </w:rPr>
      </w:pPr>
    </w:p>
    <w:p w14:paraId="7E715656">
      <w:pPr>
        <w:autoSpaceDN w:val="0"/>
        <w:spacing w:line="360" w:lineRule="auto"/>
        <w:jc w:val="center"/>
        <w:rPr>
          <w:rFonts w:hint="eastAsia" w:ascii="宋体" w:hAnsi="宋体"/>
          <w:b/>
          <w:bCs/>
          <w:color w:val="auto"/>
          <w:sz w:val="48"/>
          <w:szCs w:val="48"/>
          <w:highlight w:val="none"/>
          <w:lang w:eastAsia="zh-CN"/>
        </w:rPr>
      </w:pPr>
      <w:r>
        <w:rPr>
          <w:rFonts w:hint="eastAsia" w:ascii="宋体" w:hAnsi="宋体"/>
          <w:b/>
          <w:bCs/>
          <w:color w:val="auto"/>
          <w:sz w:val="48"/>
          <w:szCs w:val="48"/>
          <w:highlight w:val="none"/>
          <w:lang w:eastAsia="zh-CN"/>
        </w:rPr>
        <w:t>洛宁山水文苑项目</w:t>
      </w:r>
    </w:p>
    <w:p w14:paraId="75F4C17C">
      <w:pPr>
        <w:autoSpaceDN w:val="0"/>
        <w:spacing w:line="360" w:lineRule="auto"/>
        <w:jc w:val="center"/>
        <w:rPr>
          <w:rFonts w:ascii="宋体" w:hAnsi="宋体"/>
          <w:color w:val="auto"/>
          <w:sz w:val="22"/>
          <w:szCs w:val="22"/>
          <w:highlight w:val="none"/>
        </w:rPr>
      </w:pPr>
      <w:r>
        <w:rPr>
          <w:rFonts w:hint="eastAsia" w:ascii="宋体" w:hAnsi="宋体"/>
          <w:b/>
          <w:bCs/>
          <w:color w:val="auto"/>
          <w:sz w:val="48"/>
          <w:szCs w:val="48"/>
          <w:highlight w:val="none"/>
          <w:lang w:eastAsia="zh-CN"/>
        </w:rPr>
        <w:t>一批次景观及雨污水管网工程</w:t>
      </w:r>
      <w:r>
        <w:rPr>
          <w:rFonts w:hint="eastAsia" w:ascii="宋体" w:hAnsi="宋体"/>
          <w:b/>
          <w:bCs/>
          <w:color w:val="auto"/>
          <w:sz w:val="48"/>
          <w:szCs w:val="48"/>
          <w:highlight w:val="none"/>
          <w:lang w:val="en-US" w:eastAsia="zh-CN"/>
        </w:rPr>
        <w:t>合同</w:t>
      </w:r>
    </w:p>
    <w:p w14:paraId="153EA4D1">
      <w:pPr>
        <w:autoSpaceDN w:val="0"/>
        <w:spacing w:line="360" w:lineRule="auto"/>
        <w:ind w:firstLine="2520" w:firstLineChars="1050"/>
        <w:rPr>
          <w:rFonts w:ascii="宋体" w:hAnsi="宋体"/>
          <w:color w:val="auto"/>
          <w:szCs w:val="24"/>
          <w:highlight w:val="none"/>
        </w:rPr>
      </w:pPr>
      <w:r>
        <w:rPr>
          <w:rFonts w:hint="eastAsia" w:ascii="宋体" w:hAnsi="宋体"/>
          <w:color w:val="auto"/>
          <w:szCs w:val="24"/>
          <w:highlight w:val="none"/>
        </w:rPr>
        <w:t xml:space="preserve">     </w:t>
      </w:r>
    </w:p>
    <w:p w14:paraId="7DA20AF4">
      <w:pPr>
        <w:autoSpaceDN w:val="0"/>
        <w:spacing w:line="360" w:lineRule="auto"/>
        <w:ind w:firstLine="720" w:firstLineChars="300"/>
        <w:rPr>
          <w:rFonts w:ascii="宋体" w:hAnsi="宋体"/>
          <w:color w:val="auto"/>
          <w:szCs w:val="24"/>
          <w:highlight w:val="none"/>
        </w:rPr>
      </w:pPr>
    </w:p>
    <w:p w14:paraId="34E46995">
      <w:pPr>
        <w:autoSpaceDN w:val="0"/>
        <w:spacing w:line="360" w:lineRule="auto"/>
        <w:ind w:firstLine="720" w:firstLineChars="300"/>
        <w:rPr>
          <w:rFonts w:ascii="宋体" w:hAnsi="宋体"/>
          <w:color w:val="auto"/>
          <w:szCs w:val="24"/>
          <w:highlight w:val="none"/>
        </w:rPr>
      </w:pPr>
    </w:p>
    <w:p w14:paraId="1AB6976B">
      <w:pPr>
        <w:autoSpaceDN w:val="0"/>
        <w:spacing w:line="360" w:lineRule="auto"/>
        <w:ind w:firstLine="720" w:firstLineChars="300"/>
        <w:rPr>
          <w:rFonts w:ascii="宋体" w:hAnsi="宋体"/>
          <w:color w:val="auto"/>
          <w:szCs w:val="24"/>
          <w:highlight w:val="none"/>
        </w:rPr>
      </w:pPr>
    </w:p>
    <w:p w14:paraId="531D0007">
      <w:pPr>
        <w:autoSpaceDN w:val="0"/>
        <w:spacing w:line="360" w:lineRule="auto"/>
        <w:ind w:firstLine="720" w:firstLineChars="300"/>
        <w:rPr>
          <w:rFonts w:ascii="宋体" w:hAnsi="宋体"/>
          <w:color w:val="auto"/>
          <w:szCs w:val="24"/>
          <w:highlight w:val="none"/>
        </w:rPr>
      </w:pPr>
    </w:p>
    <w:p w14:paraId="678D6EE4">
      <w:pPr>
        <w:pStyle w:val="2"/>
        <w:autoSpaceDN w:val="0"/>
        <w:spacing w:line="360" w:lineRule="auto"/>
        <w:ind w:firstLine="723" w:firstLineChars="300"/>
        <w:rPr>
          <w:rFonts w:hAnsi="宋体"/>
          <w:color w:val="auto"/>
          <w:szCs w:val="24"/>
          <w:highlight w:val="none"/>
        </w:rPr>
      </w:pPr>
    </w:p>
    <w:p w14:paraId="21915ECB">
      <w:pPr>
        <w:autoSpaceDN w:val="0"/>
        <w:spacing w:line="360" w:lineRule="auto"/>
        <w:ind w:firstLine="720" w:firstLineChars="300"/>
        <w:rPr>
          <w:rFonts w:ascii="宋体" w:hAnsi="宋体"/>
          <w:color w:val="auto"/>
          <w:szCs w:val="24"/>
          <w:highlight w:val="none"/>
        </w:rPr>
      </w:pPr>
    </w:p>
    <w:p w14:paraId="726C5BD4">
      <w:pPr>
        <w:autoSpaceDN w:val="0"/>
        <w:spacing w:line="360" w:lineRule="auto"/>
        <w:rPr>
          <w:rFonts w:ascii="宋体" w:hAnsi="宋体"/>
          <w:b/>
          <w:bCs/>
          <w:color w:val="auto"/>
          <w:szCs w:val="24"/>
          <w:highlight w:val="none"/>
        </w:rPr>
      </w:pPr>
    </w:p>
    <w:p w14:paraId="668491CE">
      <w:pPr>
        <w:autoSpaceDN w:val="0"/>
        <w:spacing w:line="360" w:lineRule="auto"/>
        <w:ind w:firstLine="840" w:firstLineChars="280"/>
        <w:rPr>
          <w:rFonts w:ascii="宋体" w:hAnsi="宋体"/>
          <w:color w:val="auto"/>
          <w:sz w:val="30"/>
          <w:szCs w:val="30"/>
          <w:highlight w:val="none"/>
          <w:u w:val="single"/>
        </w:rPr>
      </w:pPr>
      <w:r>
        <w:rPr>
          <w:rFonts w:hint="eastAsia" w:ascii="宋体" w:hAnsi="宋体"/>
          <w:color w:val="auto"/>
          <w:sz w:val="30"/>
          <w:szCs w:val="30"/>
          <w:highlight w:val="none"/>
        </w:rPr>
        <w:t xml:space="preserve">        成本代码：</w:t>
      </w:r>
      <w:r>
        <w:rPr>
          <w:rFonts w:hint="eastAsia" w:ascii="宋体" w:hAnsi="宋体"/>
          <w:color w:val="auto"/>
          <w:sz w:val="30"/>
          <w:szCs w:val="30"/>
          <w:highlight w:val="none"/>
          <w:u w:val="single"/>
        </w:rPr>
        <w:t>4.13.1</w:t>
      </w:r>
      <w:r>
        <w:rPr>
          <w:rFonts w:hint="eastAsia" w:ascii="宋体" w:hAnsi="宋体"/>
          <w:color w:val="auto"/>
          <w:sz w:val="30"/>
          <w:szCs w:val="30"/>
          <w:highlight w:val="none"/>
          <w:u w:val="single"/>
          <w:lang w:val="en-US" w:eastAsia="zh-CN"/>
        </w:rPr>
        <w:t>/4.7.1</w:t>
      </w:r>
    </w:p>
    <w:p w14:paraId="2D2F01BB">
      <w:pPr>
        <w:autoSpaceDN w:val="0"/>
        <w:spacing w:line="360" w:lineRule="auto"/>
        <w:ind w:firstLine="840" w:firstLineChars="280"/>
        <w:rPr>
          <w:rFonts w:ascii="宋体" w:hAnsi="宋体"/>
          <w:color w:val="auto"/>
          <w:sz w:val="30"/>
          <w:szCs w:val="30"/>
          <w:highlight w:val="none"/>
        </w:rPr>
      </w:pPr>
      <w:r>
        <w:rPr>
          <w:rFonts w:hint="eastAsia" w:ascii="宋体" w:hAnsi="宋体"/>
          <w:color w:val="auto"/>
          <w:sz w:val="30"/>
          <w:szCs w:val="30"/>
          <w:highlight w:val="none"/>
        </w:rPr>
        <w:t xml:space="preserve">        合同编号：</w:t>
      </w:r>
      <w:r>
        <w:rPr>
          <w:rFonts w:hint="eastAsia" w:ascii="宋体" w:hAnsi="宋体"/>
          <w:color w:val="auto"/>
          <w:sz w:val="30"/>
          <w:szCs w:val="30"/>
          <w:highlight w:val="none"/>
          <w:u w:val="single"/>
        </w:rPr>
        <w:t>LNSSWY-JP-079</w:t>
      </w:r>
    </w:p>
    <w:p w14:paraId="680B29BD">
      <w:pPr>
        <w:autoSpaceDN w:val="0"/>
        <w:spacing w:line="360" w:lineRule="auto"/>
        <w:ind w:firstLine="840" w:firstLineChars="280"/>
        <w:rPr>
          <w:rFonts w:ascii="宋体" w:hAnsi="宋体"/>
          <w:color w:val="auto"/>
          <w:sz w:val="30"/>
          <w:szCs w:val="30"/>
          <w:highlight w:val="none"/>
        </w:rPr>
      </w:pPr>
    </w:p>
    <w:p w14:paraId="7E51E660">
      <w:pPr>
        <w:pStyle w:val="17"/>
        <w:rPr>
          <w:rFonts w:ascii="宋体" w:hAnsi="宋体"/>
          <w:color w:val="auto"/>
          <w:sz w:val="30"/>
          <w:szCs w:val="30"/>
          <w:highlight w:val="none"/>
        </w:rPr>
      </w:pPr>
    </w:p>
    <w:p w14:paraId="3A908862">
      <w:pPr>
        <w:pStyle w:val="18"/>
        <w:rPr>
          <w:rFonts w:ascii="宋体" w:hAnsi="宋体"/>
          <w:color w:val="auto"/>
          <w:sz w:val="30"/>
          <w:szCs w:val="30"/>
          <w:highlight w:val="none"/>
        </w:rPr>
      </w:pPr>
    </w:p>
    <w:p w14:paraId="47BC5E85">
      <w:pPr>
        <w:pStyle w:val="19"/>
      </w:pPr>
    </w:p>
    <w:p w14:paraId="6A1617ED">
      <w:pPr>
        <w:pStyle w:val="2"/>
        <w:autoSpaceDN w:val="0"/>
        <w:spacing w:line="360" w:lineRule="auto"/>
        <w:ind w:firstLine="843" w:firstLineChars="280"/>
        <w:rPr>
          <w:rFonts w:hAnsi="宋体"/>
          <w:color w:val="auto"/>
          <w:sz w:val="30"/>
          <w:szCs w:val="30"/>
          <w:highlight w:val="none"/>
        </w:rPr>
      </w:pPr>
    </w:p>
    <w:p w14:paraId="38F9AF5D">
      <w:pPr>
        <w:pStyle w:val="18"/>
        <w:rPr>
          <w:color w:val="auto"/>
          <w:highlight w:val="none"/>
        </w:rPr>
      </w:pPr>
    </w:p>
    <w:p w14:paraId="7A6F60EE">
      <w:pPr>
        <w:ind w:firstLine="1506" w:firstLineChars="500"/>
        <w:jc w:val="left"/>
        <w:rPr>
          <w:rFonts w:hint="eastAsia" w:ascii="宋体" w:hAnsi="宋体" w:eastAsia="宋体"/>
          <w:color w:val="auto"/>
          <w:kern w:val="0"/>
          <w:sz w:val="30"/>
          <w:szCs w:val="30"/>
          <w:highlight w:val="none"/>
          <w:lang w:eastAsia="zh-CN"/>
        </w:rPr>
      </w:pPr>
      <w:r>
        <w:rPr>
          <w:rFonts w:hint="eastAsia" w:ascii="宋体" w:hAnsi="宋体"/>
          <w:b/>
          <w:color w:val="auto"/>
          <w:kern w:val="0"/>
          <w:sz w:val="30"/>
          <w:szCs w:val="30"/>
          <w:highlight w:val="none"/>
        </w:rPr>
        <w:t>发 包 人：</w:t>
      </w:r>
      <w:r>
        <w:rPr>
          <w:rFonts w:hint="eastAsia" w:cs="宋体" w:asciiTheme="minorEastAsia" w:hAnsiTheme="minorEastAsia" w:eastAsiaTheme="minorEastAsia"/>
          <w:b/>
          <w:bCs/>
          <w:color w:val="auto"/>
          <w:sz w:val="30"/>
          <w:szCs w:val="30"/>
          <w:highlight w:val="none"/>
          <w:u w:val="single"/>
        </w:rPr>
        <w:t>洛阳浩德浩康置业有限公司</w:t>
      </w:r>
    </w:p>
    <w:p w14:paraId="5A1D9187">
      <w:pPr>
        <w:ind w:firstLine="1506" w:firstLineChars="500"/>
        <w:jc w:val="left"/>
        <w:rPr>
          <w:rFonts w:ascii="宋体" w:hAnsi="宋体"/>
          <w:b/>
          <w:color w:val="auto"/>
          <w:kern w:val="0"/>
          <w:sz w:val="30"/>
          <w:szCs w:val="30"/>
          <w:highlight w:val="none"/>
          <w:u w:val="single"/>
        </w:rPr>
      </w:pPr>
      <w:r>
        <w:rPr>
          <w:rFonts w:hint="eastAsia" w:ascii="宋体" w:hAnsi="宋体"/>
          <w:b/>
          <w:color w:val="auto"/>
          <w:kern w:val="0"/>
          <w:sz w:val="30"/>
          <w:szCs w:val="30"/>
          <w:highlight w:val="none"/>
        </w:rPr>
        <w:t>承 包 人：</w:t>
      </w:r>
      <w:r>
        <w:rPr>
          <w:rFonts w:hint="eastAsia" w:cs="宋体" w:asciiTheme="minorEastAsia" w:hAnsiTheme="minorEastAsia" w:eastAsiaTheme="minorEastAsia"/>
          <w:b/>
          <w:bCs/>
          <w:i w:val="0"/>
          <w:iCs w:val="0"/>
          <w:caps w:val="0"/>
          <w:color w:val="auto"/>
          <w:spacing w:val="0"/>
          <w:sz w:val="30"/>
          <w:szCs w:val="30"/>
          <w:highlight w:val="none"/>
          <w:u w:val="single"/>
          <w:shd w:val="clear"/>
        </w:rPr>
        <w:t>浙江中驰环境建设有限公司</w:t>
      </w:r>
    </w:p>
    <w:p w14:paraId="20C9D668">
      <w:pPr>
        <w:ind w:firstLine="1506" w:firstLineChars="500"/>
        <w:jc w:val="left"/>
        <w:rPr>
          <w:rFonts w:ascii="宋体" w:hAnsi="宋体"/>
          <w:b/>
          <w:color w:val="auto"/>
          <w:kern w:val="0"/>
          <w:sz w:val="30"/>
          <w:szCs w:val="30"/>
          <w:highlight w:val="none"/>
        </w:rPr>
      </w:pPr>
      <w:r>
        <w:rPr>
          <w:rFonts w:hint="eastAsia" w:ascii="宋体" w:hAnsi="宋体"/>
          <w:b/>
          <w:color w:val="auto"/>
          <w:kern w:val="0"/>
          <w:sz w:val="30"/>
          <w:szCs w:val="30"/>
          <w:highlight w:val="none"/>
        </w:rPr>
        <w:t>签订时间：</w:t>
      </w:r>
      <w:r>
        <w:rPr>
          <w:rFonts w:hint="eastAsia" w:ascii="宋体" w:hAnsi="宋体"/>
          <w:b/>
          <w:color w:val="auto"/>
          <w:kern w:val="0"/>
          <w:sz w:val="30"/>
          <w:szCs w:val="30"/>
          <w:highlight w:val="none"/>
          <w:u w:val="single"/>
          <w:lang w:val="en-US" w:eastAsia="zh-CN"/>
        </w:rPr>
        <w:t>2024</w:t>
      </w:r>
      <w:r>
        <w:rPr>
          <w:rFonts w:hint="eastAsia" w:ascii="宋体" w:hAnsi="宋体"/>
          <w:b/>
          <w:color w:val="auto"/>
          <w:kern w:val="0"/>
          <w:sz w:val="30"/>
          <w:szCs w:val="30"/>
          <w:highlight w:val="none"/>
        </w:rPr>
        <w:t>年</w:t>
      </w:r>
      <w:r>
        <w:rPr>
          <w:rFonts w:hint="eastAsia" w:ascii="宋体" w:hAnsi="宋体"/>
          <w:b/>
          <w:color w:val="auto"/>
          <w:kern w:val="0"/>
          <w:sz w:val="30"/>
          <w:szCs w:val="30"/>
          <w:highlight w:val="none"/>
          <w:u w:val="single"/>
          <w:lang w:eastAsia="zh-CN"/>
        </w:rPr>
        <w:t>8月</w:t>
      </w:r>
      <w:r>
        <w:rPr>
          <w:rFonts w:hint="eastAsia" w:ascii="宋体" w:hAnsi="宋体"/>
          <w:b/>
          <w:color w:val="auto"/>
          <w:kern w:val="0"/>
          <w:sz w:val="30"/>
          <w:szCs w:val="30"/>
          <w:highlight w:val="none"/>
          <w:u w:val="single"/>
        </w:rPr>
        <w:t xml:space="preserve">  </w:t>
      </w:r>
      <w:r>
        <w:rPr>
          <w:rFonts w:hint="eastAsia" w:ascii="宋体" w:hAnsi="宋体"/>
          <w:b/>
          <w:color w:val="auto"/>
          <w:kern w:val="0"/>
          <w:sz w:val="30"/>
          <w:szCs w:val="30"/>
          <w:highlight w:val="none"/>
        </w:rPr>
        <w:t>日</w:t>
      </w:r>
    </w:p>
    <w:p w14:paraId="13DEC188">
      <w:pPr>
        <w:pStyle w:val="2"/>
        <w:rPr>
          <w:rFonts w:hAnsi="宋体"/>
          <w:color w:val="auto"/>
          <w:szCs w:val="24"/>
          <w:highlight w:val="none"/>
        </w:rPr>
      </w:pPr>
    </w:p>
    <w:p w14:paraId="5D2E9E62">
      <w:pPr>
        <w:autoSpaceDN w:val="0"/>
        <w:spacing w:line="360" w:lineRule="auto"/>
        <w:jc w:val="center"/>
        <w:rPr>
          <w:rFonts w:hAnsi="宋体"/>
          <w:color w:val="auto"/>
          <w:szCs w:val="24"/>
          <w:highlight w:val="none"/>
        </w:rPr>
      </w:pPr>
      <w:r>
        <w:rPr>
          <w:rFonts w:hint="eastAsia" w:ascii="宋体" w:hAnsi="宋体"/>
          <w:b/>
          <w:bCs/>
          <w:color w:val="auto"/>
          <w:sz w:val="32"/>
          <w:szCs w:val="32"/>
          <w:highlight w:val="none"/>
          <w:lang w:eastAsia="zh-CN"/>
        </w:rPr>
        <w:t>洛宁山水文苑项目一批次景观及雨污水管网工程</w:t>
      </w:r>
      <w:r>
        <w:rPr>
          <w:rFonts w:hint="eastAsia" w:ascii="宋体" w:hAnsi="宋体"/>
          <w:b/>
          <w:bCs/>
          <w:color w:val="auto"/>
          <w:sz w:val="32"/>
          <w:szCs w:val="32"/>
          <w:highlight w:val="none"/>
          <w:lang w:val="en-US" w:eastAsia="zh-CN"/>
        </w:rPr>
        <w:t>合同</w:t>
      </w:r>
    </w:p>
    <w:p w14:paraId="769F8C18">
      <w:pPr>
        <w:autoSpaceDN w:val="0"/>
        <w:spacing w:line="360" w:lineRule="auto"/>
        <w:rPr>
          <w:rFonts w:hint="eastAsia" w:ascii="宋体" w:hAnsi="宋体" w:eastAsia="宋体" w:cs="宋体"/>
          <w:color w:val="auto"/>
          <w:szCs w:val="24"/>
          <w:highlight w:val="none"/>
          <w:u w:val="single"/>
          <w:lang w:eastAsia="zh-CN"/>
        </w:rPr>
      </w:pPr>
      <w:r>
        <w:rPr>
          <w:rFonts w:hint="eastAsia" w:ascii="宋体" w:hAnsi="宋体" w:cs="宋体"/>
          <w:b/>
          <w:bCs/>
          <w:color w:val="auto"/>
          <w:szCs w:val="24"/>
          <w:highlight w:val="none"/>
        </w:rPr>
        <w:t>发包人</w:t>
      </w:r>
      <w:r>
        <w:rPr>
          <w:rFonts w:hint="eastAsia" w:ascii="宋体" w:hAnsi="宋体" w:cs="宋体"/>
          <w:color w:val="auto"/>
          <w:szCs w:val="24"/>
          <w:highlight w:val="none"/>
        </w:rPr>
        <w:t>（以下简称甲方）：</w:t>
      </w:r>
      <w:r>
        <w:rPr>
          <w:rFonts w:hint="eastAsia" w:ascii="宋体" w:hAnsi="宋体" w:cs="宋体"/>
          <w:color w:val="auto"/>
          <w:szCs w:val="24"/>
          <w:highlight w:val="none"/>
          <w:u w:val="single"/>
        </w:rPr>
        <w:t>洛阳浩德浩康置业有限公司</w:t>
      </w:r>
    </w:p>
    <w:p w14:paraId="0A4196E5">
      <w:pPr>
        <w:pStyle w:val="2"/>
        <w:rPr>
          <w:color w:val="auto"/>
          <w:highlight w:val="none"/>
        </w:rPr>
      </w:pPr>
      <w:r>
        <w:rPr>
          <w:rFonts w:hint="eastAsia" w:hAnsi="宋体" w:cs="宋体"/>
          <w:color w:val="auto"/>
          <w:highlight w:val="none"/>
        </w:rPr>
        <w:t>统一社会信用代码：</w:t>
      </w:r>
      <w:r>
        <w:rPr>
          <w:rFonts w:hint="eastAsia" w:hAnsi="宋体" w:cs="宋体"/>
          <w:b w:val="0"/>
          <w:bCs/>
          <w:color w:val="auto"/>
          <w:highlight w:val="none"/>
          <w:u w:val="single"/>
        </w:rPr>
        <w:t>91410328MA9K9J8A5F</w:t>
      </w:r>
    </w:p>
    <w:p w14:paraId="7C128399">
      <w:pPr>
        <w:autoSpaceDN w:val="0"/>
        <w:spacing w:line="360" w:lineRule="auto"/>
        <w:rPr>
          <w:rFonts w:ascii="宋体" w:hAnsi="宋体" w:cs="宋体"/>
          <w:color w:val="auto"/>
          <w:szCs w:val="24"/>
          <w:highlight w:val="none"/>
          <w:u w:val="single"/>
        </w:rPr>
      </w:pPr>
      <w:r>
        <w:rPr>
          <w:rFonts w:hint="eastAsia" w:ascii="宋体" w:hAnsi="宋体" w:cs="宋体"/>
          <w:b/>
          <w:bCs/>
          <w:color w:val="auto"/>
          <w:szCs w:val="24"/>
          <w:highlight w:val="none"/>
        </w:rPr>
        <w:t>承包人</w:t>
      </w:r>
      <w:r>
        <w:rPr>
          <w:rFonts w:hint="eastAsia" w:ascii="宋体" w:hAnsi="宋体" w:cs="宋体"/>
          <w:color w:val="auto"/>
          <w:szCs w:val="24"/>
          <w:highlight w:val="none"/>
        </w:rPr>
        <w:t>（以下简称乙方）：</w:t>
      </w:r>
      <w:r>
        <w:rPr>
          <w:rFonts w:hint="eastAsia" w:ascii="宋体" w:hAnsi="宋体" w:eastAsia="宋体" w:cs="宋体"/>
          <w:i w:val="0"/>
          <w:iCs w:val="0"/>
          <w:caps w:val="0"/>
          <w:color w:val="auto"/>
          <w:spacing w:val="0"/>
          <w:sz w:val="24"/>
          <w:szCs w:val="24"/>
          <w:highlight w:val="none"/>
          <w:u w:val="single"/>
          <w:shd w:val="clear"/>
        </w:rPr>
        <w:t>浙江中驰环境建设有限公司</w:t>
      </w:r>
    </w:p>
    <w:p w14:paraId="37425D86">
      <w:pPr>
        <w:pStyle w:val="2"/>
        <w:rPr>
          <w:color w:val="auto"/>
          <w:highlight w:val="none"/>
        </w:rPr>
      </w:pPr>
      <w:r>
        <w:rPr>
          <w:rFonts w:hint="eastAsia" w:hAnsi="宋体" w:cs="宋体"/>
          <w:color w:val="auto"/>
          <w:highlight w:val="none"/>
        </w:rPr>
        <w:t>统一社会信用代码：</w:t>
      </w:r>
      <w:r>
        <w:rPr>
          <w:rFonts w:hint="eastAsia" w:ascii="宋体" w:hAnsi="宋体" w:eastAsia="宋体" w:cs="宋体"/>
          <w:b w:val="0"/>
          <w:bCs/>
          <w:color w:val="auto"/>
          <w:kern w:val="0"/>
          <w:position w:val="-10"/>
          <w:szCs w:val="22"/>
          <w:highlight w:val="none"/>
          <w:u w:val="single"/>
        </w:rPr>
        <w:t>91330700722751690K</w:t>
      </w:r>
    </w:p>
    <w:p w14:paraId="49041F7F">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依照《中华人民共和国民法典》、《中华人民共和国建筑法》及其他有关法律、行政法规，遵循平等、自愿、公平和诚实信用的原则，双方就</w:t>
      </w:r>
      <w:r>
        <w:rPr>
          <w:rFonts w:hint="eastAsia" w:ascii="宋体" w:hAnsi="宋体" w:cs="宋体"/>
          <w:color w:val="auto"/>
          <w:szCs w:val="24"/>
          <w:highlight w:val="none"/>
          <w:u w:val="single"/>
          <w:lang w:eastAsia="zh-CN"/>
        </w:rPr>
        <w:t>洛宁山水文苑项目一批次景观及雨污水管网工程</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事项协商一致，订立本合同。</w:t>
      </w:r>
    </w:p>
    <w:p w14:paraId="35B9D7BC">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一、工程概况</w:t>
      </w:r>
    </w:p>
    <w:p w14:paraId="32B0FFDC">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1、工程名称：</w:t>
      </w:r>
      <w:r>
        <w:rPr>
          <w:rFonts w:hint="eastAsia" w:ascii="宋体" w:hAnsi="宋体" w:cs="宋体"/>
          <w:color w:val="auto"/>
          <w:szCs w:val="24"/>
          <w:highlight w:val="none"/>
          <w:lang w:eastAsia="zh-CN"/>
        </w:rPr>
        <w:t>洛宁山水文苑项目一批次景观及雨污水管网工程</w:t>
      </w:r>
      <w:r>
        <w:rPr>
          <w:rFonts w:hint="eastAsia" w:ascii="宋体" w:hAnsi="宋体" w:cs="宋体"/>
          <w:color w:val="auto"/>
          <w:szCs w:val="24"/>
          <w:highlight w:val="none"/>
        </w:rPr>
        <w:t>。</w:t>
      </w:r>
    </w:p>
    <w:p w14:paraId="0B4A84A7">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、工程地点：</w:t>
      </w:r>
      <w:r>
        <w:rPr>
          <w:rFonts w:hint="eastAsia"/>
          <w:lang w:eastAsia="zh-CN"/>
        </w:rPr>
        <w:t>洛阳市洛宁县陈吴乡新宁大道与姑洗路交叉口西北角山水文苑项目</w:t>
      </w:r>
      <w:r>
        <w:rPr>
          <w:rFonts w:hint="eastAsia" w:ascii="宋体" w:hAnsi="宋体" w:cs="宋体"/>
          <w:color w:val="auto"/>
          <w:szCs w:val="24"/>
          <w:highlight w:val="none"/>
        </w:rPr>
        <w:t>。</w:t>
      </w:r>
    </w:p>
    <w:p w14:paraId="2DA75713">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二、工程承包范围</w:t>
      </w:r>
    </w:p>
    <w:p w14:paraId="41DDBE6A">
      <w:pPr>
        <w:pStyle w:val="17"/>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kern w:val="2"/>
          <w:sz w:val="24"/>
          <w:szCs w:val="24"/>
          <w:highlight w:val="none"/>
        </w:rPr>
        <w:t>1、承包范围：</w:t>
      </w:r>
      <w:r>
        <w:rPr>
          <w:rFonts w:hint="eastAsia" w:ascii="宋体" w:hAnsi="宋体" w:cs="宋体"/>
          <w:color w:val="auto"/>
          <w:kern w:val="2"/>
          <w:sz w:val="24"/>
          <w:szCs w:val="24"/>
          <w:highlight w:val="none"/>
          <w:lang w:eastAsia="zh-CN"/>
        </w:rPr>
        <w:t>洛宁山水文苑项目一批次景观及雨污水管网工程，</w:t>
      </w:r>
      <w:r>
        <w:rPr>
          <w:rFonts w:hint="eastAsia" w:ascii="宋体" w:hAnsi="宋体" w:cs="宋体"/>
          <w:color w:val="auto"/>
          <w:sz w:val="24"/>
          <w:szCs w:val="24"/>
          <w:highlight w:val="none"/>
        </w:rPr>
        <w:t>工程内容和承包范围包括但不限于以下内容：</w:t>
      </w:r>
    </w:p>
    <w:p w14:paraId="6D9F9203">
      <w:pPr>
        <w:tabs>
          <w:tab w:val="left" w:pos="579"/>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1、景观工程</w:t>
      </w:r>
    </w:p>
    <w:p w14:paraId="5AE02AED">
      <w:pPr>
        <w:tabs>
          <w:tab w:val="left" w:pos="579"/>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1.1、</w:t>
      </w:r>
      <w:r>
        <w:rPr>
          <w:rFonts w:hint="eastAsia" w:ascii="宋体"/>
          <w:color w:val="auto"/>
          <w:sz w:val="24"/>
          <w:szCs w:val="24"/>
          <w:highlight w:val="none"/>
          <w:lang w:eastAsia="zh-CN"/>
        </w:rPr>
        <w:t>园建工程：场地内道路（含场内道路与市政道路对接）、硬质铺装（包含与原景观工程及市政路面的收边收口）、花池、树池、水景、园建景观小品、铁艺、挡土墙、小区围墙、小区大门（不含主体结构）、亭子、廊架、绿化喷灌、景点石的布置及与之相应基础结构和内外饰面工程、材料的倒运、土方开挖、回填、平整及夯实等；材料及已铺装区域的成品保护、汽车坡道雨棚、</w:t>
      </w:r>
      <w:r>
        <w:rPr>
          <w:rFonts w:hint="eastAsia" w:ascii="宋体"/>
          <w:color w:val="auto"/>
          <w:sz w:val="24"/>
          <w:szCs w:val="24"/>
          <w:highlight w:val="none"/>
          <w:lang w:val="en-US" w:eastAsia="zh-CN"/>
        </w:rPr>
        <w:t>西大门装修</w:t>
      </w:r>
      <w:r>
        <w:rPr>
          <w:rFonts w:hint="eastAsia" w:ascii="宋体"/>
          <w:color w:val="auto"/>
          <w:sz w:val="24"/>
          <w:szCs w:val="24"/>
          <w:highlight w:val="none"/>
          <w:lang w:eastAsia="zh-CN"/>
        </w:rPr>
        <w:t>、临时增加的其他工作内容及施工图包含的全部内容，施工图中需要二次深化设计及加工</w:t>
      </w:r>
      <w:r>
        <w:rPr>
          <w:rFonts w:hint="eastAsia" w:ascii="宋体"/>
          <w:color w:val="auto"/>
          <w:sz w:val="24"/>
          <w:szCs w:val="24"/>
          <w:highlight w:val="none"/>
          <w:lang w:val="en-US" w:eastAsia="zh-CN"/>
        </w:rPr>
        <w:t>的工作</w:t>
      </w:r>
      <w:r>
        <w:rPr>
          <w:rFonts w:hint="eastAsia" w:ascii="宋体"/>
          <w:color w:val="auto"/>
          <w:sz w:val="24"/>
          <w:szCs w:val="24"/>
          <w:highlight w:val="none"/>
          <w:lang w:eastAsia="zh-CN"/>
        </w:rPr>
        <w:t>。</w:t>
      </w:r>
    </w:p>
    <w:p w14:paraId="398EE335">
      <w:pPr>
        <w:tabs>
          <w:tab w:val="left" w:pos="579"/>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1.2、</w:t>
      </w:r>
      <w:r>
        <w:rPr>
          <w:rFonts w:hint="eastAsia" w:ascii="宋体"/>
          <w:color w:val="auto"/>
          <w:sz w:val="24"/>
          <w:szCs w:val="24"/>
          <w:highlight w:val="none"/>
          <w:lang w:eastAsia="zh-CN"/>
        </w:rPr>
        <w:t>绿化工程</w:t>
      </w:r>
      <w:r>
        <w:rPr>
          <w:rFonts w:hint="eastAsia" w:ascii="宋体"/>
          <w:color w:val="auto"/>
          <w:sz w:val="24"/>
          <w:szCs w:val="24"/>
          <w:highlight w:val="none"/>
        </w:rPr>
        <w:t>：包括但不限于绿化工程（如乔木、灌木、地被、草花等）及相应图纸的全部内容</w:t>
      </w:r>
      <w:r>
        <w:rPr>
          <w:rFonts w:hint="eastAsia" w:ascii="宋体"/>
          <w:color w:val="auto"/>
          <w:sz w:val="24"/>
          <w:szCs w:val="24"/>
          <w:highlight w:val="none"/>
          <w:lang w:eastAsia="zh-CN"/>
        </w:rPr>
        <w:t>。</w:t>
      </w:r>
      <w:r>
        <w:rPr>
          <w:rFonts w:hint="eastAsia" w:ascii="宋体"/>
          <w:color w:val="auto"/>
          <w:sz w:val="24"/>
          <w:szCs w:val="24"/>
          <w:highlight w:val="none"/>
        </w:rPr>
        <w:t>树池内种植土的回填、种植区域</w:t>
      </w:r>
      <w:r>
        <w:rPr>
          <w:rFonts w:hint="eastAsia" w:ascii="宋体"/>
          <w:color w:val="auto"/>
          <w:sz w:val="24"/>
          <w:szCs w:val="24"/>
          <w:highlight w:val="none"/>
          <w:lang w:eastAsia="zh-CN"/>
        </w:rPr>
        <w:t>地形的</w:t>
      </w:r>
      <w:r>
        <w:rPr>
          <w:rFonts w:hint="eastAsia" w:ascii="宋体"/>
          <w:color w:val="auto"/>
          <w:sz w:val="24"/>
          <w:szCs w:val="24"/>
          <w:highlight w:val="none"/>
        </w:rPr>
        <w:t>塑造及整理、种植部分的施工前准备（含种植材料和播种材料）、种植前土壤处理、种植穴、槽的挖掘；花池、花槽的排水；苗木栽植过程所采取的任何措施；土方倒运，苗木的倒运及倒栽；苗木种植前的修剪；树的假植及移植；乔木、灌木、草坪的栽植、修剪、施肥、保养及保活（死亡苗木的更换要及时，</w:t>
      </w:r>
      <w:r>
        <w:rPr>
          <w:rFonts w:hint="eastAsia" w:ascii="宋体"/>
          <w:color w:val="auto"/>
          <w:sz w:val="24"/>
          <w:szCs w:val="24"/>
          <w:highlight w:val="none"/>
          <w:lang w:val="en-US" w:eastAsia="zh-CN"/>
        </w:rPr>
        <w:t>且</w:t>
      </w:r>
      <w:r>
        <w:rPr>
          <w:rFonts w:hint="eastAsia" w:ascii="宋体"/>
          <w:color w:val="auto"/>
          <w:sz w:val="24"/>
          <w:szCs w:val="24"/>
          <w:highlight w:val="none"/>
        </w:rPr>
        <w:t>不得影响整体效果）和甲方临时增加的任务及施工图包含的所有内容。</w:t>
      </w:r>
    </w:p>
    <w:p w14:paraId="48BEF4CE">
      <w:pPr>
        <w:pStyle w:val="52"/>
        <w:rPr>
          <w:rFonts w:hint="eastAsia" w:eastAsia="宋体"/>
          <w:highlight w:val="none"/>
          <w:lang w:val="en-US" w:eastAsia="zh-CN"/>
        </w:rPr>
      </w:pPr>
      <w:r>
        <w:rPr>
          <w:rFonts w:hint="eastAsia" w:ascii="宋体"/>
          <w:color w:val="auto"/>
          <w:sz w:val="24"/>
          <w:szCs w:val="24"/>
          <w:highlight w:val="none"/>
          <w:lang w:val="en-US" w:eastAsia="zh-CN"/>
        </w:rPr>
        <w:t xml:space="preserve">    1.3、雨污水管网工程。</w:t>
      </w:r>
    </w:p>
    <w:p w14:paraId="59162352">
      <w:pPr>
        <w:tabs>
          <w:tab w:val="left" w:pos="579"/>
        </w:tabs>
        <w:autoSpaceDN w:val="0"/>
        <w:spacing w:line="360" w:lineRule="auto"/>
        <w:ind w:firstLine="480" w:firstLineChars="200"/>
        <w:rPr>
          <w:rFonts w:hint="eastAsia" w:ascii="宋体"/>
          <w:color w:val="auto"/>
          <w:sz w:val="24"/>
          <w:szCs w:val="24"/>
          <w:highlight w:val="yellow"/>
        </w:rPr>
      </w:pPr>
      <w:r>
        <w:rPr>
          <w:rFonts w:hint="eastAsia" w:ascii="宋体"/>
          <w:color w:val="auto"/>
          <w:sz w:val="24"/>
          <w:szCs w:val="24"/>
          <w:highlight w:val="none"/>
        </w:rPr>
        <w:t>1.</w:t>
      </w:r>
      <w:r>
        <w:rPr>
          <w:rFonts w:hint="eastAsia" w:ascii="宋体"/>
          <w:color w:val="auto"/>
          <w:sz w:val="24"/>
          <w:szCs w:val="24"/>
          <w:highlight w:val="none"/>
          <w:lang w:val="en-US" w:eastAsia="zh-CN"/>
        </w:rPr>
        <w:t>4</w:t>
      </w:r>
      <w:r>
        <w:rPr>
          <w:rFonts w:hint="eastAsia" w:ascii="宋体"/>
          <w:color w:val="auto"/>
          <w:sz w:val="24"/>
          <w:szCs w:val="24"/>
          <w:highlight w:val="none"/>
        </w:rPr>
        <w:t>、</w:t>
      </w:r>
      <w:r>
        <w:rPr>
          <w:rFonts w:hint="eastAsia" w:ascii="宋体"/>
          <w:color w:val="auto"/>
          <w:sz w:val="24"/>
          <w:szCs w:val="24"/>
          <w:highlight w:val="none"/>
          <w:lang w:eastAsia="zh-CN"/>
        </w:rPr>
        <w:t>水电安装工程</w:t>
      </w:r>
      <w:r>
        <w:rPr>
          <w:rFonts w:hint="eastAsia" w:ascii="宋体"/>
          <w:color w:val="auto"/>
          <w:sz w:val="24"/>
          <w:szCs w:val="24"/>
          <w:highlight w:val="none"/>
        </w:rPr>
        <w:t>：包括景观水电安装工程</w:t>
      </w:r>
      <w:r>
        <w:rPr>
          <w:rFonts w:hint="eastAsia" w:ascii="宋体"/>
          <w:color w:val="auto"/>
          <w:sz w:val="24"/>
          <w:szCs w:val="24"/>
          <w:highlight w:val="none"/>
          <w:lang w:eastAsia="zh-CN"/>
        </w:rPr>
        <w:t>、</w:t>
      </w:r>
      <w:r>
        <w:rPr>
          <w:rFonts w:hint="eastAsia" w:ascii="宋体"/>
          <w:color w:val="auto"/>
          <w:sz w:val="24"/>
          <w:szCs w:val="24"/>
          <w:highlight w:val="none"/>
        </w:rPr>
        <w:t>景观亮化照明工程、景观给排水工程、特色水景、配电箱、管线敷设、设备接地、景观排水（含外网所有雨水、污水管网及检查</w:t>
      </w:r>
      <w:r>
        <w:rPr>
          <w:rFonts w:hint="eastAsia" w:ascii="宋体"/>
          <w:color w:val="auto"/>
          <w:sz w:val="24"/>
          <w:szCs w:val="24"/>
          <w:highlight w:val="none"/>
          <w:lang w:val="en-US" w:eastAsia="zh-CN"/>
        </w:rPr>
        <w:t>井砌筑并</w:t>
      </w:r>
      <w:r>
        <w:rPr>
          <w:rFonts w:hint="eastAsia" w:ascii="宋体"/>
          <w:color w:val="auto"/>
          <w:sz w:val="24"/>
          <w:szCs w:val="24"/>
          <w:highlight w:val="none"/>
        </w:rPr>
        <w:t>井盖安装</w:t>
      </w:r>
      <w:r>
        <w:rPr>
          <w:rFonts w:hint="eastAsia" w:ascii="宋体"/>
          <w:color w:val="auto"/>
          <w:sz w:val="24"/>
          <w:szCs w:val="24"/>
          <w:highlight w:val="none"/>
          <w:lang w:val="en-US" w:eastAsia="zh-CN"/>
        </w:rPr>
        <w:t>调整</w:t>
      </w:r>
      <w:r>
        <w:rPr>
          <w:rFonts w:hint="eastAsia" w:ascii="宋体"/>
          <w:color w:val="auto"/>
          <w:sz w:val="24"/>
          <w:szCs w:val="24"/>
          <w:highlight w:val="none"/>
        </w:rPr>
        <w:t>）、</w:t>
      </w:r>
      <w:r>
        <w:rPr>
          <w:rFonts w:hint="eastAsia" w:ascii="宋体" w:hAnsi="宋体"/>
          <w:bCs/>
          <w:color w:val="auto"/>
          <w:kern w:val="0"/>
          <w:sz w:val="24"/>
          <w:szCs w:val="24"/>
          <w:highlight w:val="none"/>
          <w:lang w:val="en-US" w:eastAsia="zh-CN"/>
        </w:rPr>
        <w:t>园林景观内强电井</w:t>
      </w:r>
      <w:r>
        <w:rPr>
          <w:rFonts w:hint="eastAsia" w:ascii="宋体"/>
          <w:color w:val="auto"/>
          <w:sz w:val="24"/>
          <w:szCs w:val="24"/>
          <w:highlight w:val="none"/>
          <w:lang w:val="en-US" w:eastAsia="zh-CN"/>
        </w:rPr>
        <w:t>砌筑</w:t>
      </w:r>
      <w:r>
        <w:rPr>
          <w:rFonts w:hint="eastAsia" w:ascii="宋体"/>
          <w:color w:val="auto"/>
          <w:sz w:val="24"/>
          <w:szCs w:val="24"/>
          <w:highlight w:val="none"/>
        </w:rPr>
        <w:t>及预埋管含井盖等全部由乙方负责施工。景观供水接</w:t>
      </w:r>
      <w:r>
        <w:rPr>
          <w:rFonts w:hint="eastAsia" w:ascii="宋体"/>
          <w:color w:val="auto"/>
          <w:sz w:val="24"/>
          <w:szCs w:val="24"/>
          <w:highlight w:val="none"/>
          <w:lang w:eastAsia="zh-CN"/>
        </w:rPr>
        <w:t>驳</w:t>
      </w:r>
      <w:r>
        <w:rPr>
          <w:rFonts w:hint="eastAsia" w:ascii="宋体"/>
          <w:color w:val="auto"/>
          <w:sz w:val="24"/>
          <w:szCs w:val="24"/>
          <w:highlight w:val="none"/>
        </w:rPr>
        <w:t>口由供水公司在现场预留的园林总水表后引出均由乙方施工。配合其他单位做好排水支管进井，并做好修复及防渗漏。所</w:t>
      </w:r>
      <w:r>
        <w:rPr>
          <w:rFonts w:hint="eastAsia" w:ascii="宋体"/>
          <w:color w:val="auto"/>
          <w:sz w:val="24"/>
          <w:szCs w:val="24"/>
          <w:highlight w:val="none"/>
          <w:lang w:val="en-US" w:eastAsia="zh-CN"/>
        </w:rPr>
        <w:t>有</w:t>
      </w:r>
      <w:r>
        <w:rPr>
          <w:rFonts w:hint="eastAsia" w:ascii="宋体"/>
          <w:color w:val="auto"/>
          <w:sz w:val="24"/>
          <w:szCs w:val="24"/>
          <w:highlight w:val="none"/>
        </w:rPr>
        <w:t>开挖、预埋、分层回填夯实，避免出现管网沉降渗漏现象</w:t>
      </w:r>
      <w:r>
        <w:rPr>
          <w:rFonts w:hint="eastAsia" w:ascii="宋体"/>
          <w:color w:val="auto"/>
          <w:sz w:val="24"/>
          <w:szCs w:val="24"/>
          <w:highlight w:val="none"/>
          <w:lang w:eastAsia="zh-CN"/>
        </w:rPr>
        <w:t>，</w:t>
      </w:r>
      <w:r>
        <w:rPr>
          <w:rFonts w:hint="eastAsia" w:ascii="宋体"/>
          <w:color w:val="auto"/>
          <w:sz w:val="24"/>
          <w:szCs w:val="24"/>
          <w:highlight w:val="none"/>
        </w:rPr>
        <w:t>施工图包含的所有内容</w:t>
      </w:r>
      <w:r>
        <w:rPr>
          <w:rFonts w:hint="eastAsia" w:ascii="宋体"/>
          <w:color w:val="auto"/>
          <w:sz w:val="24"/>
          <w:szCs w:val="24"/>
          <w:highlight w:val="none"/>
          <w:lang w:val="en-US" w:eastAsia="zh-CN"/>
        </w:rPr>
        <w:t>及</w:t>
      </w:r>
      <w:r>
        <w:rPr>
          <w:rFonts w:hint="eastAsia" w:ascii="宋体"/>
          <w:color w:val="auto"/>
          <w:sz w:val="24"/>
          <w:szCs w:val="24"/>
          <w:highlight w:val="none"/>
        </w:rPr>
        <w:t>甲方临时增加的任务。</w:t>
      </w:r>
    </w:p>
    <w:p w14:paraId="550B47BF">
      <w:pPr>
        <w:tabs>
          <w:tab w:val="left" w:pos="579"/>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w:t>
      </w:r>
      <w:r>
        <w:rPr>
          <w:rFonts w:hint="eastAsia" w:ascii="宋体"/>
          <w:color w:val="auto"/>
          <w:sz w:val="24"/>
          <w:szCs w:val="24"/>
          <w:highlight w:val="none"/>
          <w:lang w:val="en-US" w:eastAsia="zh-CN"/>
        </w:rPr>
        <w:t>5</w:t>
      </w:r>
      <w:r>
        <w:rPr>
          <w:rFonts w:hint="eastAsia" w:ascii="宋体"/>
          <w:color w:val="auto"/>
          <w:sz w:val="24"/>
          <w:szCs w:val="24"/>
          <w:highlight w:val="none"/>
        </w:rPr>
        <w:t>、</w:t>
      </w:r>
      <w:r>
        <w:rPr>
          <w:rFonts w:hint="eastAsia" w:ascii="宋体"/>
          <w:color w:val="auto"/>
          <w:sz w:val="24"/>
          <w:szCs w:val="24"/>
          <w:highlight w:val="none"/>
          <w:lang w:eastAsia="zh-CN"/>
        </w:rPr>
        <w:t>其他工程</w:t>
      </w:r>
      <w:r>
        <w:rPr>
          <w:rFonts w:hint="eastAsia" w:ascii="宋体"/>
          <w:color w:val="auto"/>
          <w:sz w:val="24"/>
          <w:szCs w:val="24"/>
          <w:highlight w:val="none"/>
        </w:rPr>
        <w:t>：</w:t>
      </w:r>
      <w:r>
        <w:rPr>
          <w:rFonts w:hint="eastAsia" w:ascii="宋体"/>
          <w:color w:val="auto"/>
          <w:sz w:val="24"/>
          <w:szCs w:val="24"/>
          <w:highlight w:val="none"/>
          <w:lang w:val="en-US" w:eastAsia="zh-CN"/>
        </w:rPr>
        <w:t>包含但不限于</w:t>
      </w:r>
      <w:r>
        <w:rPr>
          <w:rFonts w:hint="eastAsia" w:ascii="宋体"/>
          <w:color w:val="auto"/>
          <w:sz w:val="24"/>
          <w:szCs w:val="24"/>
          <w:highlight w:val="none"/>
        </w:rPr>
        <w:t>景观灯具</w:t>
      </w:r>
      <w:r>
        <w:rPr>
          <w:rFonts w:hint="eastAsia" w:ascii="宋体"/>
          <w:color w:val="auto"/>
          <w:sz w:val="24"/>
          <w:szCs w:val="24"/>
          <w:highlight w:val="none"/>
          <w:lang w:eastAsia="zh-CN"/>
        </w:rPr>
        <w:t>、</w:t>
      </w:r>
      <w:r>
        <w:rPr>
          <w:rFonts w:ascii="宋体" w:hAnsi="宋体" w:eastAsia="宋体" w:cs="宋体"/>
          <w:sz w:val="24"/>
          <w:szCs w:val="24"/>
        </w:rPr>
        <w:t>大型树木标识标牌的采购</w:t>
      </w:r>
      <w:r>
        <w:rPr>
          <w:rFonts w:hint="eastAsia" w:ascii="宋体" w:hAnsi="宋体" w:eastAsia="宋体" w:cs="宋体"/>
          <w:sz w:val="24"/>
          <w:szCs w:val="24"/>
          <w:lang w:eastAsia="zh-CN"/>
        </w:rPr>
        <w:t>、</w:t>
      </w:r>
      <w:r>
        <w:rPr>
          <w:rFonts w:hint="eastAsia" w:ascii="宋体"/>
          <w:color w:val="auto"/>
          <w:sz w:val="24"/>
          <w:szCs w:val="24"/>
          <w:highlight w:val="none"/>
        </w:rPr>
        <w:t>安装、场地内的搬运</w:t>
      </w:r>
      <w:r>
        <w:rPr>
          <w:rFonts w:hint="eastAsia" w:ascii="宋体"/>
          <w:color w:val="auto"/>
          <w:sz w:val="24"/>
          <w:szCs w:val="24"/>
          <w:highlight w:val="none"/>
          <w:lang w:eastAsia="zh-CN"/>
        </w:rPr>
        <w:t>、</w:t>
      </w:r>
      <w:r>
        <w:rPr>
          <w:rFonts w:hint="eastAsia" w:ascii="宋体"/>
          <w:color w:val="auto"/>
          <w:sz w:val="24"/>
          <w:szCs w:val="24"/>
          <w:highlight w:val="none"/>
        </w:rPr>
        <w:t>安装。</w:t>
      </w:r>
    </w:p>
    <w:p w14:paraId="773410CE">
      <w:pPr>
        <w:tabs>
          <w:tab w:val="left" w:pos="579"/>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1.6</w:t>
      </w:r>
      <w:r>
        <w:rPr>
          <w:rFonts w:hint="eastAsia" w:ascii="宋体"/>
          <w:color w:val="auto"/>
          <w:sz w:val="24"/>
          <w:szCs w:val="24"/>
          <w:highlight w:val="none"/>
        </w:rPr>
        <w:t>、上述各系统的土方开挖、回填均在本次承包范围。</w:t>
      </w:r>
    </w:p>
    <w:p w14:paraId="241A9FA5">
      <w:pPr>
        <w:tabs>
          <w:tab w:val="left" w:pos="579"/>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1.7</w:t>
      </w:r>
      <w:r>
        <w:rPr>
          <w:rFonts w:hint="eastAsia" w:ascii="宋体"/>
          <w:color w:val="auto"/>
          <w:sz w:val="24"/>
          <w:szCs w:val="24"/>
          <w:highlight w:val="none"/>
        </w:rPr>
        <w:t>、乙供材料的采购、运输、保管，资料的编制、移交等工作内容。</w:t>
      </w:r>
    </w:p>
    <w:p w14:paraId="28D41F81">
      <w:pPr>
        <w:pStyle w:val="17"/>
        <w:ind w:firstLine="480"/>
        <w:rPr>
          <w:rFonts w:hint="eastAsia" w:ascii="宋体"/>
          <w:color w:val="auto"/>
          <w:sz w:val="24"/>
          <w:szCs w:val="24"/>
          <w:highlight w:val="none"/>
          <w:lang w:val="en-US" w:eastAsia="zh-CN"/>
        </w:rPr>
      </w:pPr>
      <w:r>
        <w:rPr>
          <w:rFonts w:hint="eastAsia" w:ascii="宋体"/>
          <w:color w:val="auto"/>
          <w:sz w:val="24"/>
          <w:szCs w:val="24"/>
          <w:highlight w:val="none"/>
          <w:lang w:val="en-US" w:eastAsia="zh-CN"/>
        </w:rPr>
        <w:t>2、施工界面划分：</w:t>
      </w:r>
    </w:p>
    <w:tbl>
      <w:tblPr>
        <w:tblStyle w:val="45"/>
        <w:tblW w:w="91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6"/>
        <w:gridCol w:w="7423"/>
      </w:tblGrid>
      <w:tr w14:paraId="214F0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6" w:hRule="atLeast"/>
          <w:jc w:val="center"/>
        </w:trPr>
        <w:tc>
          <w:tcPr>
            <w:tcW w:w="1746" w:type="dxa"/>
            <w:noWrap w:val="0"/>
            <w:vAlign w:val="center"/>
          </w:tcPr>
          <w:p w14:paraId="64CD6C36">
            <w:pPr>
              <w:spacing w:line="360" w:lineRule="auto"/>
              <w:rPr>
                <w:rFonts w:ascii="宋体" w:hAnsi="宋体"/>
                <w:bCs/>
                <w:color w:val="auto"/>
                <w:sz w:val="24"/>
                <w:szCs w:val="24"/>
                <w:highlight w:val="none"/>
              </w:rPr>
            </w:pPr>
            <w:r>
              <w:rPr>
                <w:rFonts w:hint="eastAsia" w:ascii="宋体" w:hAnsi="宋体"/>
                <w:bCs/>
                <w:color w:val="auto"/>
                <w:kern w:val="0"/>
                <w:sz w:val="24"/>
                <w:szCs w:val="24"/>
                <w:highlight w:val="none"/>
              </w:rPr>
              <w:t>土方工程</w:t>
            </w:r>
          </w:p>
        </w:tc>
        <w:tc>
          <w:tcPr>
            <w:tcW w:w="7423" w:type="dxa"/>
            <w:noWrap w:val="0"/>
            <w:vAlign w:val="center"/>
          </w:tcPr>
          <w:p w14:paraId="27671C93">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在土方达到回填标准验收交付后，</w:t>
            </w:r>
            <w:r>
              <w:rPr>
                <w:rFonts w:hint="eastAsia" w:ascii="宋体" w:hAnsi="宋体"/>
                <w:color w:val="auto"/>
                <w:sz w:val="24"/>
                <w:szCs w:val="24"/>
                <w:highlight w:val="none"/>
              </w:rPr>
              <w:t>乙方负责场地</w:t>
            </w:r>
            <w:r>
              <w:rPr>
                <w:rFonts w:hint="eastAsia" w:ascii="宋体" w:hAnsi="宋体"/>
                <w:bCs/>
                <w:color w:val="auto"/>
                <w:sz w:val="24"/>
                <w:szCs w:val="24"/>
                <w:highlight w:val="none"/>
              </w:rPr>
              <w:t>平整、地形塑造、路基及构筑物的土方开挖、土方倒运和景观图纸范围内</w:t>
            </w:r>
            <w:r>
              <w:rPr>
                <w:rFonts w:hint="eastAsia" w:ascii="宋体" w:hAnsi="宋体"/>
                <w:bCs/>
                <w:color w:val="auto"/>
                <w:sz w:val="24"/>
                <w:szCs w:val="24"/>
                <w:highlight w:val="none"/>
                <w:lang w:eastAsia="zh-CN"/>
              </w:rPr>
              <w:t>的其他</w:t>
            </w:r>
            <w:r>
              <w:rPr>
                <w:rFonts w:hint="eastAsia" w:ascii="宋体" w:hAnsi="宋体"/>
                <w:bCs/>
                <w:color w:val="auto"/>
                <w:sz w:val="24"/>
                <w:szCs w:val="24"/>
                <w:highlight w:val="none"/>
              </w:rPr>
              <w:t>土方工程，并达到不小于93%夯实度。</w:t>
            </w:r>
          </w:p>
        </w:tc>
      </w:tr>
      <w:tr w14:paraId="4C957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jc w:val="center"/>
        </w:trPr>
        <w:tc>
          <w:tcPr>
            <w:tcW w:w="1746" w:type="dxa"/>
            <w:noWrap w:val="0"/>
            <w:vAlign w:val="center"/>
          </w:tcPr>
          <w:p w14:paraId="02415D85">
            <w:pPr>
              <w:spacing w:line="360" w:lineRule="auto"/>
              <w:rPr>
                <w:rFonts w:ascii="宋体" w:hAnsi="宋体"/>
                <w:bCs/>
                <w:color w:val="auto"/>
                <w:kern w:val="0"/>
                <w:sz w:val="24"/>
                <w:szCs w:val="24"/>
                <w:highlight w:val="none"/>
              </w:rPr>
            </w:pPr>
            <w:r>
              <w:rPr>
                <w:rFonts w:hint="eastAsia" w:ascii="宋体" w:hAnsi="宋体"/>
                <w:bCs/>
                <w:color w:val="auto"/>
                <w:kern w:val="0"/>
                <w:sz w:val="24"/>
                <w:szCs w:val="24"/>
                <w:highlight w:val="none"/>
              </w:rPr>
              <w:t>室外管网系统</w:t>
            </w:r>
          </w:p>
        </w:tc>
        <w:tc>
          <w:tcPr>
            <w:tcW w:w="7423" w:type="dxa"/>
            <w:noWrap w:val="0"/>
            <w:vAlign w:val="center"/>
          </w:tcPr>
          <w:p w14:paraId="3E608F4B">
            <w:pPr>
              <w:spacing w:line="360" w:lineRule="auto"/>
              <w:rPr>
                <w:rFonts w:hint="default" w:ascii="宋体" w:hAnsi="宋体" w:eastAsia="宋体"/>
                <w:bCs/>
                <w:color w:val="auto"/>
                <w:kern w:val="0"/>
                <w:sz w:val="24"/>
                <w:szCs w:val="24"/>
                <w:highlight w:val="none"/>
                <w:lang w:val="en-US" w:eastAsia="zh-CN"/>
              </w:rPr>
            </w:pPr>
            <w:r>
              <w:rPr>
                <w:rFonts w:hint="eastAsia" w:ascii="宋体" w:hAnsi="宋体"/>
                <w:bCs/>
                <w:color w:val="auto"/>
                <w:kern w:val="0"/>
                <w:sz w:val="24"/>
                <w:szCs w:val="24"/>
                <w:highlight w:val="none"/>
              </w:rPr>
              <w:t>乙方负责景观（路面、绿化、水景）排水、绿化给水、</w:t>
            </w:r>
            <w:r>
              <w:rPr>
                <w:rFonts w:hint="eastAsia"/>
                <w:color w:val="auto"/>
                <w:sz w:val="24"/>
                <w:szCs w:val="24"/>
                <w:highlight w:val="none"/>
              </w:rPr>
              <w:t>景观排水（含雨水排水口到雨水井的管道、井及土方，含外网所有雨</w:t>
            </w:r>
            <w:r>
              <w:rPr>
                <w:rFonts w:hint="eastAsia"/>
                <w:color w:val="auto"/>
                <w:sz w:val="24"/>
                <w:szCs w:val="24"/>
                <w:highlight w:val="none"/>
                <w:lang w:val="en-US" w:eastAsia="zh-CN"/>
              </w:rPr>
              <w:t>水、</w:t>
            </w:r>
            <w:r>
              <w:rPr>
                <w:rFonts w:hint="eastAsia"/>
                <w:color w:val="auto"/>
                <w:sz w:val="24"/>
                <w:szCs w:val="24"/>
                <w:highlight w:val="none"/>
              </w:rPr>
              <w:t>污水管网的</w:t>
            </w:r>
            <w:r>
              <w:rPr>
                <w:rFonts w:hint="eastAsia"/>
                <w:color w:val="auto"/>
                <w:sz w:val="24"/>
                <w:szCs w:val="24"/>
                <w:highlight w:val="none"/>
                <w:lang w:val="en-US" w:eastAsia="zh-CN"/>
              </w:rPr>
              <w:t>开挖、夯实、预埋、回填、检查井砌筑、</w:t>
            </w:r>
            <w:r>
              <w:rPr>
                <w:rFonts w:hint="eastAsia"/>
                <w:color w:val="auto"/>
                <w:sz w:val="24"/>
                <w:szCs w:val="24"/>
                <w:highlight w:val="none"/>
              </w:rPr>
              <w:t>井盖安装</w:t>
            </w:r>
            <w:r>
              <w:rPr>
                <w:rFonts w:hint="eastAsia"/>
                <w:color w:val="auto"/>
                <w:sz w:val="24"/>
                <w:szCs w:val="24"/>
                <w:highlight w:val="none"/>
                <w:lang w:val="en-US" w:eastAsia="zh-CN"/>
              </w:rPr>
              <w:t>等一切关于室外工程</w:t>
            </w:r>
            <w:r>
              <w:rPr>
                <w:rFonts w:hint="eastAsia"/>
                <w:color w:val="auto"/>
                <w:sz w:val="24"/>
                <w:szCs w:val="24"/>
                <w:highlight w:val="none"/>
              </w:rPr>
              <w:t>）</w:t>
            </w:r>
            <w:r>
              <w:rPr>
                <w:rFonts w:hint="eastAsia" w:ascii="宋体" w:hAnsi="宋体"/>
                <w:bCs/>
                <w:color w:val="auto"/>
                <w:kern w:val="0"/>
                <w:sz w:val="24"/>
                <w:szCs w:val="24"/>
                <w:highlight w:val="none"/>
              </w:rPr>
              <w:t>、</w:t>
            </w:r>
            <w:r>
              <w:rPr>
                <w:rFonts w:hint="eastAsia" w:ascii="宋体" w:hAnsi="宋体"/>
                <w:bCs/>
                <w:color w:val="auto"/>
                <w:kern w:val="0"/>
                <w:sz w:val="24"/>
                <w:szCs w:val="24"/>
                <w:highlight w:val="none"/>
                <w:lang w:val="en-US" w:eastAsia="zh-CN"/>
              </w:rPr>
              <w:t>园林景观内强电井</w:t>
            </w:r>
            <w:r>
              <w:rPr>
                <w:rFonts w:hint="eastAsia" w:ascii="宋体"/>
                <w:color w:val="auto"/>
                <w:sz w:val="24"/>
                <w:szCs w:val="24"/>
                <w:highlight w:val="none"/>
                <w:lang w:val="en-US" w:eastAsia="zh-CN"/>
              </w:rPr>
              <w:t>砌筑</w:t>
            </w:r>
            <w:r>
              <w:rPr>
                <w:rFonts w:hint="eastAsia" w:ascii="宋体"/>
                <w:color w:val="auto"/>
                <w:sz w:val="24"/>
                <w:szCs w:val="24"/>
                <w:highlight w:val="none"/>
              </w:rPr>
              <w:t>及预埋管含井盖等全部由乙方负责施工</w:t>
            </w:r>
            <w:r>
              <w:rPr>
                <w:rFonts w:hint="eastAsia" w:ascii="宋体"/>
                <w:color w:val="auto"/>
                <w:sz w:val="24"/>
                <w:szCs w:val="24"/>
                <w:highlight w:val="none"/>
                <w:lang w:eastAsia="zh-CN"/>
              </w:rPr>
              <w:t>。包含但不限于岗亭电源预留、雾森主机配电系统、喷泉泵配电系统等全部由乙方负责施工。</w:t>
            </w:r>
            <w:r>
              <w:rPr>
                <w:rFonts w:hint="eastAsia" w:ascii="宋体"/>
                <w:color w:val="auto"/>
                <w:sz w:val="24"/>
                <w:szCs w:val="24"/>
                <w:highlight w:val="none"/>
                <w:lang w:val="en-US" w:eastAsia="zh-CN"/>
              </w:rPr>
              <w:t>包含雨污水与市政对接，穿红线外市政道路的顶管在本次范围内，破坏恢复市政路在本次范围内。</w:t>
            </w:r>
          </w:p>
        </w:tc>
      </w:tr>
      <w:tr w14:paraId="22444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1870C04D">
            <w:pPr>
              <w:spacing w:line="360" w:lineRule="auto"/>
              <w:rPr>
                <w:rFonts w:ascii="宋体" w:hAnsi="宋体"/>
                <w:bCs/>
                <w:color w:val="auto"/>
                <w:kern w:val="0"/>
                <w:sz w:val="24"/>
                <w:szCs w:val="24"/>
                <w:highlight w:val="none"/>
              </w:rPr>
            </w:pPr>
            <w:r>
              <w:rPr>
                <w:rFonts w:hint="eastAsia" w:ascii="宋体" w:hAnsi="宋体"/>
                <w:bCs/>
                <w:color w:val="auto"/>
                <w:kern w:val="0"/>
                <w:sz w:val="24"/>
                <w:szCs w:val="24"/>
                <w:highlight w:val="none"/>
              </w:rPr>
              <w:t>景观照明系统</w:t>
            </w:r>
          </w:p>
        </w:tc>
        <w:tc>
          <w:tcPr>
            <w:tcW w:w="7423" w:type="dxa"/>
            <w:noWrap w:val="0"/>
            <w:vAlign w:val="center"/>
          </w:tcPr>
          <w:p w14:paraId="35EFBABA">
            <w:pPr>
              <w:spacing w:line="360" w:lineRule="auto"/>
              <w:rPr>
                <w:rFonts w:ascii="宋体" w:hAnsi="宋体"/>
                <w:bCs/>
                <w:color w:val="auto"/>
                <w:kern w:val="0"/>
                <w:sz w:val="24"/>
                <w:szCs w:val="24"/>
                <w:highlight w:val="none"/>
              </w:rPr>
            </w:pPr>
            <w:r>
              <w:rPr>
                <w:rFonts w:hint="eastAsia" w:ascii="宋体" w:hAnsi="宋体"/>
                <w:bCs/>
                <w:color w:val="auto"/>
                <w:kern w:val="0"/>
                <w:sz w:val="24"/>
                <w:szCs w:val="24"/>
                <w:highlight w:val="none"/>
              </w:rPr>
              <w:t>乙方负责景观照明系统（含景观照明箱及</w:t>
            </w:r>
            <w:r>
              <w:rPr>
                <w:rFonts w:hint="eastAsia" w:ascii="宋体" w:hAnsi="宋体"/>
                <w:bCs/>
                <w:color w:val="auto"/>
                <w:kern w:val="0"/>
                <w:sz w:val="24"/>
                <w:szCs w:val="24"/>
                <w:highlight w:val="none"/>
                <w:lang w:val="en-US" w:eastAsia="zh-CN"/>
              </w:rPr>
              <w:t>进</w:t>
            </w:r>
            <w:r>
              <w:rPr>
                <w:rFonts w:hint="eastAsia" w:ascii="宋体" w:hAnsi="宋体"/>
                <w:bCs/>
                <w:color w:val="auto"/>
                <w:kern w:val="0"/>
                <w:sz w:val="24"/>
                <w:szCs w:val="24"/>
                <w:highlight w:val="none"/>
              </w:rPr>
              <w:t>出线部分）所有设备及电缆电线、配管等的供应、安装及接驳、调试，并验收合格。所有水景配电系统，所有设备及电缆电线、配管等的供应、安装及接驳、调试，并验收合格。</w:t>
            </w:r>
          </w:p>
        </w:tc>
      </w:tr>
      <w:tr w14:paraId="69B96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4F51EF9D">
            <w:pPr>
              <w:spacing w:line="360" w:lineRule="auto"/>
              <w:rPr>
                <w:rFonts w:ascii="宋体" w:hAnsi="宋体"/>
                <w:bCs/>
                <w:color w:val="auto"/>
                <w:kern w:val="0"/>
                <w:sz w:val="24"/>
                <w:szCs w:val="24"/>
                <w:highlight w:val="none"/>
              </w:rPr>
            </w:pPr>
            <w:r>
              <w:rPr>
                <w:rFonts w:hint="eastAsia" w:ascii="宋体" w:hAnsi="宋体"/>
                <w:bCs/>
                <w:color w:val="auto"/>
                <w:kern w:val="0"/>
                <w:sz w:val="24"/>
                <w:szCs w:val="24"/>
                <w:highlight w:val="none"/>
              </w:rPr>
              <w:t>室外景观给水系统</w:t>
            </w:r>
          </w:p>
        </w:tc>
        <w:tc>
          <w:tcPr>
            <w:tcW w:w="7423" w:type="dxa"/>
            <w:noWrap w:val="0"/>
            <w:vAlign w:val="center"/>
          </w:tcPr>
          <w:p w14:paraId="497FDC20">
            <w:pPr>
              <w:spacing w:line="360" w:lineRule="auto"/>
              <w:rPr>
                <w:rFonts w:hint="eastAsia" w:ascii="宋体" w:hAnsi="宋体" w:eastAsia="宋体"/>
                <w:bCs/>
                <w:color w:val="auto"/>
                <w:kern w:val="0"/>
                <w:sz w:val="24"/>
                <w:szCs w:val="24"/>
                <w:highlight w:val="none"/>
                <w:lang w:eastAsia="zh-CN"/>
              </w:rPr>
            </w:pPr>
            <w:r>
              <w:rPr>
                <w:rFonts w:hint="eastAsia" w:ascii="宋体" w:hAnsi="宋体"/>
                <w:bCs/>
                <w:color w:val="auto"/>
                <w:kern w:val="0"/>
                <w:sz w:val="24"/>
                <w:szCs w:val="24"/>
                <w:highlight w:val="none"/>
              </w:rPr>
              <w:t>乙方负责所有水景、灌溉相关的给水设备、管道及其检查井的</w:t>
            </w:r>
            <w:r>
              <w:rPr>
                <w:rFonts w:hint="eastAsia" w:ascii="宋体" w:hAnsi="宋体"/>
                <w:bCs/>
                <w:color w:val="auto"/>
                <w:kern w:val="0"/>
                <w:sz w:val="24"/>
                <w:szCs w:val="24"/>
                <w:highlight w:val="none"/>
                <w:lang w:val="en-US" w:eastAsia="zh-CN"/>
              </w:rPr>
              <w:t>材料</w:t>
            </w:r>
            <w:r>
              <w:rPr>
                <w:rFonts w:hint="eastAsia" w:ascii="宋体" w:hAnsi="宋体"/>
                <w:bCs/>
                <w:color w:val="auto"/>
                <w:kern w:val="0"/>
                <w:sz w:val="24"/>
                <w:szCs w:val="24"/>
                <w:highlight w:val="none"/>
              </w:rPr>
              <w:t>供应及安装（含水表及阀门）</w:t>
            </w:r>
            <w:r>
              <w:rPr>
                <w:rFonts w:hint="eastAsia" w:ascii="宋体" w:hAnsi="宋体"/>
                <w:bCs/>
                <w:color w:val="auto"/>
                <w:kern w:val="0"/>
                <w:sz w:val="24"/>
                <w:szCs w:val="24"/>
                <w:highlight w:val="none"/>
                <w:lang w:eastAsia="zh-CN"/>
              </w:rPr>
              <w:t>，压力试验合格，并通水检查调试完成。</w:t>
            </w:r>
          </w:p>
        </w:tc>
      </w:tr>
      <w:tr w14:paraId="2E81C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6" w:type="dxa"/>
            <w:noWrap w:val="0"/>
            <w:vAlign w:val="center"/>
          </w:tcPr>
          <w:p w14:paraId="4D175AEE">
            <w:pPr>
              <w:spacing w:line="360" w:lineRule="auto"/>
              <w:rPr>
                <w:rFonts w:ascii="宋体" w:hAnsi="宋体"/>
                <w:bCs/>
                <w:color w:val="auto"/>
                <w:kern w:val="0"/>
                <w:sz w:val="24"/>
                <w:szCs w:val="24"/>
                <w:highlight w:val="none"/>
              </w:rPr>
            </w:pPr>
            <w:r>
              <w:rPr>
                <w:rFonts w:hint="eastAsia" w:ascii="宋体" w:hAnsi="宋体"/>
                <w:bCs/>
                <w:color w:val="auto"/>
                <w:kern w:val="0"/>
                <w:sz w:val="24"/>
                <w:szCs w:val="24"/>
                <w:highlight w:val="none"/>
              </w:rPr>
              <w:t>连接部分</w:t>
            </w:r>
          </w:p>
        </w:tc>
        <w:tc>
          <w:tcPr>
            <w:tcW w:w="7423" w:type="dxa"/>
            <w:noWrap w:val="0"/>
            <w:vAlign w:val="center"/>
          </w:tcPr>
          <w:p w14:paraId="70A520AD">
            <w:pPr>
              <w:spacing w:line="360" w:lineRule="auto"/>
              <w:rPr>
                <w:rFonts w:ascii="宋体" w:hAnsi="宋体"/>
                <w:bCs/>
                <w:color w:val="auto"/>
                <w:kern w:val="0"/>
                <w:sz w:val="24"/>
                <w:szCs w:val="24"/>
                <w:highlight w:val="none"/>
              </w:rPr>
            </w:pPr>
            <w:r>
              <w:rPr>
                <w:rFonts w:hint="eastAsia" w:ascii="宋体" w:hAnsi="宋体"/>
                <w:bCs/>
                <w:color w:val="auto"/>
                <w:kern w:val="0"/>
                <w:sz w:val="24"/>
                <w:szCs w:val="24"/>
                <w:highlight w:val="none"/>
              </w:rPr>
              <w:t>景观给水系统、景观照明系统等与取水点、低压配电系统的连接部分由乙方负责。</w:t>
            </w:r>
          </w:p>
        </w:tc>
      </w:tr>
    </w:tbl>
    <w:p w14:paraId="46D3A823">
      <w:pPr>
        <w:pStyle w:val="3"/>
        <w:keepNext w:val="0"/>
        <w:keepLines w:val="0"/>
        <w:numPr>
          <w:ilvl w:val="255"/>
          <w:numId w:val="0"/>
        </w:numPr>
        <w:rPr>
          <w:rFonts w:ascii="宋体" w:hAnsi="宋体" w:cs="宋体"/>
          <w:color w:val="auto"/>
          <w:sz w:val="24"/>
          <w:szCs w:val="24"/>
          <w:highlight w:val="none"/>
        </w:rPr>
      </w:pPr>
      <w:r>
        <w:rPr>
          <w:rFonts w:hint="eastAsia" w:ascii="宋体" w:hAnsi="宋体" w:cs="宋体"/>
          <w:color w:val="auto"/>
          <w:sz w:val="24"/>
          <w:szCs w:val="24"/>
          <w:highlight w:val="none"/>
        </w:rPr>
        <w:t>三、承包方式</w:t>
      </w:r>
    </w:p>
    <w:p w14:paraId="4F1642EB">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1、乙方包工包料、包质量、包工期、包安全文明（临时围档的拆除、移动、搭设均含在内）、包材料差价、包保修、包工程相关备案、包扬尘治理、人员调配、措施费、赶工、窝工费等全部内容。 </w:t>
      </w:r>
    </w:p>
    <w:p w14:paraId="4E5228AD">
      <w:pPr>
        <w:spacing w:line="360" w:lineRule="auto"/>
        <w:ind w:firstLine="480" w:firstLineChars="200"/>
        <w:rPr>
          <w:rFonts w:hint="default" w:ascii="宋体" w:hAnsi="宋体" w:eastAsia="宋体" w:cs="宋体"/>
          <w:color w:val="auto"/>
          <w:szCs w:val="24"/>
          <w:highlight w:val="none"/>
          <w:lang w:val="en-US" w:eastAsia="zh-CN"/>
        </w:rPr>
      </w:pPr>
      <w:r>
        <w:rPr>
          <w:rFonts w:ascii="宋体" w:hAnsi="宋体" w:eastAsia="宋体" w:cs="宋体"/>
          <w:sz w:val="24"/>
          <w:szCs w:val="24"/>
        </w:rPr>
        <w:t>2、</w:t>
      </w:r>
      <w:r>
        <w:rPr>
          <w:rFonts w:hint="eastAsia" w:ascii="宋体" w:hAnsi="宋体" w:cs="宋体"/>
          <w:color w:val="auto"/>
          <w:szCs w:val="24"/>
          <w:highlight w:val="none"/>
        </w:rPr>
        <w:t>合同</w:t>
      </w:r>
      <w:r>
        <w:rPr>
          <w:rFonts w:hint="eastAsia" w:ascii="宋体" w:hAnsi="宋体" w:cs="宋体"/>
          <w:color w:val="auto"/>
          <w:szCs w:val="24"/>
          <w:highlight w:val="none"/>
          <w:lang w:eastAsia="zh-CN"/>
        </w:rPr>
        <w:t>承包</w:t>
      </w:r>
      <w:r>
        <w:rPr>
          <w:rFonts w:hint="eastAsia" w:ascii="宋体" w:hAnsi="宋体" w:cs="宋体"/>
          <w:color w:val="auto"/>
          <w:szCs w:val="24"/>
          <w:highlight w:val="none"/>
        </w:rPr>
        <w:t>方式：</w:t>
      </w:r>
      <w:r>
        <w:rPr>
          <w:rFonts w:ascii="宋体" w:hAnsi="宋体" w:eastAsia="宋体" w:cs="宋体"/>
          <w:sz w:val="24"/>
          <w:szCs w:val="24"/>
        </w:rPr>
        <w:t>景观工程中的土建、安装（含</w:t>
      </w:r>
      <w:r>
        <w:rPr>
          <w:rFonts w:hint="eastAsia" w:ascii="宋体" w:hAnsi="宋体" w:eastAsia="宋体" w:cs="宋体"/>
          <w:sz w:val="24"/>
          <w:szCs w:val="24"/>
        </w:rPr>
        <w:t>外网雨污水</w:t>
      </w:r>
      <w:r>
        <w:rPr>
          <w:rFonts w:ascii="宋体" w:hAnsi="宋体" w:eastAsia="宋体" w:cs="宋体"/>
          <w:sz w:val="24"/>
          <w:szCs w:val="24"/>
        </w:rPr>
        <w:t>系统）采用</w:t>
      </w:r>
      <w:r>
        <w:rPr>
          <w:rFonts w:hint="eastAsia" w:ascii="宋体" w:hAnsi="宋体" w:eastAsia="宋体" w:cs="宋体"/>
          <w:sz w:val="24"/>
          <w:szCs w:val="24"/>
          <w:lang w:val="en-US" w:eastAsia="zh-CN"/>
        </w:rPr>
        <w:t>含税</w:t>
      </w:r>
      <w:r>
        <w:rPr>
          <w:rFonts w:ascii="宋体" w:hAnsi="宋体" w:eastAsia="宋体" w:cs="宋体"/>
          <w:sz w:val="24"/>
          <w:szCs w:val="24"/>
        </w:rPr>
        <w:t>固定总价包干的承包方式，除甲方认可的变更、签证及甲方允许调整的内容外，不因其他任何因素的变动而调整；苗木绿化部分、软装摆件部分采用</w:t>
      </w:r>
      <w:r>
        <w:rPr>
          <w:rFonts w:hint="eastAsia" w:ascii="宋体" w:hAnsi="宋体" w:eastAsia="宋体" w:cs="宋体"/>
          <w:sz w:val="24"/>
          <w:szCs w:val="24"/>
          <w:lang w:val="en-US" w:eastAsia="zh-CN"/>
        </w:rPr>
        <w:t>含税</w:t>
      </w:r>
      <w:r>
        <w:rPr>
          <w:rFonts w:ascii="宋体" w:hAnsi="宋体" w:eastAsia="宋体" w:cs="宋体"/>
          <w:sz w:val="24"/>
          <w:szCs w:val="24"/>
        </w:rPr>
        <w:t>固定综合单价包干的承包方式，以合同约定的结算办法进行结算</w:t>
      </w:r>
      <w:r>
        <w:rPr>
          <w:rFonts w:hint="eastAsia" w:ascii="宋体" w:hAnsi="宋体" w:eastAsia="宋体" w:cs="宋体"/>
          <w:sz w:val="24"/>
          <w:szCs w:val="24"/>
          <w:lang w:eastAsia="zh-CN"/>
        </w:rPr>
        <w:t>。</w:t>
      </w:r>
      <w:r>
        <w:rPr>
          <w:rFonts w:hint="eastAsia" w:ascii="宋体" w:hAnsi="宋体" w:cs="宋体"/>
          <w:color w:val="auto"/>
          <w:szCs w:val="24"/>
          <w:highlight w:val="none"/>
          <w:lang w:eastAsia="zh-CN"/>
        </w:rPr>
        <w:t>雨污水管网工程</w:t>
      </w:r>
      <w:r>
        <w:rPr>
          <w:rFonts w:hint="eastAsia" w:ascii="宋体" w:hAnsi="宋体" w:cs="宋体"/>
          <w:color w:val="auto"/>
          <w:szCs w:val="24"/>
          <w:highlight w:val="none"/>
          <w:lang w:val="en-US" w:eastAsia="zh-CN"/>
        </w:rPr>
        <w:t>清单中部分清单项标注暂定工程量的清单，按现场实际工程量结算。</w:t>
      </w:r>
    </w:p>
    <w:p w14:paraId="5B427D9D">
      <w:pPr>
        <w:pStyle w:val="2"/>
        <w:kinsoku w:val="0"/>
        <w:wordWrap w:val="0"/>
        <w:topLinePunct/>
        <w:autoSpaceDE w:val="0"/>
        <w:spacing w:line="360" w:lineRule="auto"/>
        <w:ind w:firstLine="480" w:firstLineChars="200"/>
        <w:rPr>
          <w:rFonts w:hint="default" w:hAnsi="宋体" w:cs="宋体"/>
          <w:b w:val="0"/>
          <w:color w:val="auto"/>
          <w:kern w:val="2"/>
          <w:position w:val="0"/>
          <w:szCs w:val="24"/>
          <w:highlight w:val="none"/>
          <w:lang w:val="en-US" w:eastAsia="zh-CN"/>
        </w:rPr>
      </w:pPr>
      <w:r>
        <w:rPr>
          <w:rFonts w:hint="eastAsia" w:hAnsi="宋体" w:cs="宋体"/>
          <w:b w:val="0"/>
          <w:color w:val="auto"/>
          <w:kern w:val="2"/>
          <w:position w:val="0"/>
          <w:szCs w:val="24"/>
          <w:highlight w:val="none"/>
          <w:lang w:val="en-US" w:eastAsia="zh-CN"/>
        </w:rPr>
        <w:t>3、含税固定综合单价</w:t>
      </w:r>
      <w:r>
        <w:rPr>
          <w:rFonts w:hint="eastAsia" w:hAnsi="宋体" w:cs="宋体"/>
          <w:b w:val="0"/>
          <w:color w:val="auto"/>
          <w:kern w:val="2"/>
          <w:position w:val="0"/>
          <w:szCs w:val="24"/>
          <w:highlight w:val="none"/>
          <w:lang w:eastAsia="zh-CN"/>
        </w:rPr>
        <w:t>包括但不限于人工费、材料费（包括材料损耗、材料加工费、材料检验试验费）、甲供材保管费、设备费、机械使用费</w:t>
      </w:r>
      <w:r>
        <w:rPr>
          <w:rFonts w:hint="eastAsia" w:hAnsi="宋体" w:cs="宋体"/>
          <w:b w:val="0"/>
          <w:color w:val="auto"/>
          <w:kern w:val="2"/>
          <w:position w:val="0"/>
          <w:szCs w:val="24"/>
          <w:highlight w:val="none"/>
          <w:lang w:val="en-US" w:eastAsia="zh-CN"/>
        </w:rPr>
        <w:t>及进出场费</w:t>
      </w:r>
      <w:r>
        <w:rPr>
          <w:rFonts w:hint="eastAsia" w:hAnsi="宋体" w:cs="宋体"/>
          <w:b w:val="0"/>
          <w:color w:val="auto"/>
          <w:kern w:val="2"/>
          <w:position w:val="0"/>
          <w:szCs w:val="24"/>
          <w:highlight w:val="none"/>
          <w:lang w:eastAsia="zh-CN"/>
        </w:rPr>
        <w:t>、合同工期内的赶工费、施工水电费、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等其他费用。此费用不随材料市场价格波动、工资、物价、费率的变动或的政府颁发的任何调价文件而发生变化；材料风险费不再调整。</w:t>
      </w:r>
      <w:r>
        <w:rPr>
          <w:rFonts w:hint="eastAsia" w:hAnsi="宋体" w:cs="宋体"/>
          <w:b w:val="0"/>
          <w:color w:val="auto"/>
          <w:kern w:val="2"/>
          <w:position w:val="0"/>
          <w:szCs w:val="24"/>
          <w:highlight w:val="none"/>
          <w:lang w:val="en-US" w:eastAsia="zh-CN"/>
        </w:rPr>
        <w:t>除此之外，甲方不向乙方及任何第三方支付其他相关费用。</w:t>
      </w:r>
    </w:p>
    <w:p w14:paraId="2BD991B3">
      <w:pPr>
        <w:pStyle w:val="2"/>
        <w:kinsoku w:val="0"/>
        <w:wordWrap w:val="0"/>
        <w:topLinePunct/>
        <w:autoSpaceDE w:val="0"/>
        <w:spacing w:line="360" w:lineRule="auto"/>
        <w:ind w:firstLine="480" w:firstLineChars="200"/>
        <w:rPr>
          <w:rFonts w:hint="eastAsia" w:hAnsi="宋体" w:cs="宋体"/>
          <w:b w:val="0"/>
          <w:color w:val="auto"/>
          <w:kern w:val="2"/>
          <w:position w:val="0"/>
          <w:szCs w:val="24"/>
          <w:highlight w:val="none"/>
          <w:lang w:val="en-US" w:eastAsia="zh-CN"/>
        </w:rPr>
      </w:pPr>
      <w:r>
        <w:rPr>
          <w:rFonts w:hint="eastAsia" w:hAnsi="宋体" w:cs="宋体"/>
          <w:b w:val="0"/>
          <w:color w:val="auto"/>
          <w:kern w:val="2"/>
          <w:position w:val="0"/>
          <w:szCs w:val="24"/>
          <w:highlight w:val="none"/>
          <w:lang w:val="en-US" w:eastAsia="zh-CN"/>
        </w:rPr>
        <w:t>4、无论原材料市场有何变动，任何一方均不能以任何理由调整本合同的各分项工程含税固定综合单价。</w:t>
      </w:r>
    </w:p>
    <w:p w14:paraId="754065C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5、各分项工程</w:t>
      </w:r>
      <w:r>
        <w:rPr>
          <w:rFonts w:hint="eastAsia" w:ascii="宋体" w:hAnsi="宋体" w:cs="宋体"/>
          <w:color w:val="auto"/>
          <w:sz w:val="24"/>
          <w:szCs w:val="24"/>
          <w:highlight w:val="none"/>
        </w:rPr>
        <w:t>施工图或报价清单中没有说明但在施工过程中为完成</w:t>
      </w:r>
      <w:r>
        <w:rPr>
          <w:rFonts w:hint="eastAsia" w:ascii="宋体" w:hAnsi="宋体" w:cs="宋体"/>
          <w:color w:val="auto"/>
          <w:sz w:val="24"/>
          <w:szCs w:val="24"/>
          <w:highlight w:val="none"/>
          <w:lang w:val="en-US" w:eastAsia="zh-CN"/>
        </w:rPr>
        <w:t>各分项工程</w:t>
      </w:r>
      <w:r>
        <w:rPr>
          <w:rFonts w:hint="eastAsia" w:ascii="宋体" w:hAnsi="宋体" w:cs="宋体"/>
          <w:color w:val="auto"/>
          <w:sz w:val="24"/>
          <w:szCs w:val="24"/>
          <w:highlight w:val="none"/>
        </w:rPr>
        <w:t>必须完成的所有工作，视为已经包含在</w:t>
      </w:r>
      <w:r>
        <w:rPr>
          <w:rFonts w:hint="eastAsia" w:ascii="宋体" w:hAnsi="宋体" w:cs="宋体"/>
          <w:color w:val="auto"/>
          <w:szCs w:val="24"/>
          <w:highlight w:val="none"/>
        </w:rPr>
        <w:t>各分项工程固定综合单价</w:t>
      </w:r>
      <w:r>
        <w:rPr>
          <w:rFonts w:hint="eastAsia" w:ascii="宋体" w:hAnsi="宋体" w:cs="宋体"/>
          <w:color w:val="auto"/>
          <w:sz w:val="24"/>
          <w:szCs w:val="24"/>
          <w:highlight w:val="none"/>
        </w:rPr>
        <w:t>中。</w:t>
      </w:r>
      <w:r>
        <w:rPr>
          <w:rFonts w:hint="eastAsia" w:hAnsi="宋体" w:cs="宋体"/>
          <w:b w:val="0"/>
          <w:color w:val="auto"/>
          <w:kern w:val="2"/>
          <w:position w:val="0"/>
          <w:szCs w:val="24"/>
          <w:highlight w:val="none"/>
          <w:lang w:val="en-US" w:eastAsia="zh-CN"/>
        </w:rPr>
        <w:t>各分项工程固定综合单价</w:t>
      </w:r>
      <w:r>
        <w:rPr>
          <w:rFonts w:hint="eastAsia" w:ascii="宋体" w:hAnsi="宋体" w:cs="宋体"/>
          <w:color w:val="auto"/>
          <w:sz w:val="24"/>
          <w:szCs w:val="24"/>
          <w:highlight w:val="none"/>
        </w:rPr>
        <w:t>结算时不</w:t>
      </w:r>
      <w:r>
        <w:rPr>
          <w:rFonts w:hint="eastAsia" w:ascii="宋体" w:hAnsi="宋体" w:cs="宋体"/>
          <w:color w:val="auto"/>
          <w:sz w:val="24"/>
          <w:szCs w:val="24"/>
          <w:highlight w:val="none"/>
          <w:lang w:eastAsia="zh-CN"/>
        </w:rPr>
        <w:t>作</w:t>
      </w:r>
      <w:r>
        <w:rPr>
          <w:rFonts w:hint="eastAsia" w:ascii="宋体" w:hAnsi="宋体" w:cs="宋体"/>
          <w:color w:val="auto"/>
          <w:sz w:val="24"/>
          <w:szCs w:val="24"/>
          <w:highlight w:val="none"/>
        </w:rPr>
        <w:t>任何调整。</w:t>
      </w:r>
    </w:p>
    <w:p w14:paraId="5673384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w:t>
      </w:r>
      <w:r>
        <w:rPr>
          <w:rFonts w:hint="eastAsia" w:ascii="宋体" w:hAnsi="宋体" w:cs="宋体"/>
          <w:color w:val="auto"/>
          <w:sz w:val="24"/>
          <w:szCs w:val="24"/>
          <w:highlight w:val="none"/>
          <w:lang w:eastAsia="zh-CN"/>
        </w:rPr>
        <w:t>做出</w:t>
      </w:r>
      <w:r>
        <w:rPr>
          <w:rFonts w:hint="eastAsia" w:ascii="宋体" w:hAnsi="宋体" w:cs="宋体"/>
          <w:color w:val="auto"/>
          <w:sz w:val="24"/>
          <w:szCs w:val="24"/>
          <w:highlight w:val="none"/>
        </w:rPr>
        <w:t>任何变更签证或增加工程款，但是，由于甲方改变工程范围或工作量的设计变更除外。乙方为完成本合同规定的工作所需施工组织中的所有费用均已包含在本合同价格内，不再另外计取。</w:t>
      </w:r>
    </w:p>
    <w:p w14:paraId="1ED9A7E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、施工过程中经甲方认可的实际施工方案仅作为甲方对乙方技术方案的肯定，不作为计价依据，甲方不接受乙方重新组价或者调价的要求。</w:t>
      </w:r>
    </w:p>
    <w:p w14:paraId="6DF4662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、本项目由乙方对施工图纸进行深化，乙方应在保证招标图纸的</w:t>
      </w:r>
      <w:r>
        <w:rPr>
          <w:rFonts w:hint="eastAsia" w:ascii="宋体" w:hAnsi="宋体" w:cs="宋体"/>
          <w:color w:val="auto"/>
          <w:sz w:val="24"/>
          <w:szCs w:val="24"/>
          <w:highlight w:val="none"/>
          <w:lang w:eastAsia="zh-CN"/>
        </w:rPr>
        <w:t>最终</w:t>
      </w:r>
      <w:r>
        <w:rPr>
          <w:rFonts w:hint="eastAsia" w:ascii="宋体" w:hAnsi="宋体" w:cs="宋体"/>
          <w:color w:val="auto"/>
          <w:sz w:val="24"/>
          <w:szCs w:val="24"/>
          <w:highlight w:val="none"/>
        </w:rPr>
        <w:t>效果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不再另计，乙方的报价必须考虑深化后的施工图纸基层做法，不因施工过程中对图纸的深化、做法的不同而增加基层施工的费用。</w:t>
      </w:r>
    </w:p>
    <w:p w14:paraId="0EF5F464">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四、工期要求</w:t>
      </w:r>
    </w:p>
    <w:p w14:paraId="6B9AB35C">
      <w:pPr>
        <w:kinsoku w:val="0"/>
        <w:wordWrap w:val="0"/>
        <w:topLinePunct/>
        <w:autoSpaceDE w:val="0"/>
        <w:spacing w:line="360" w:lineRule="auto"/>
        <w:ind w:firstLine="480" w:firstLineChars="200"/>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1、</w:t>
      </w:r>
      <w:r>
        <w:rPr>
          <w:rFonts w:hint="eastAsia" w:ascii="宋体" w:hAnsi="宋体" w:cs="宋体"/>
          <w:color w:val="auto"/>
          <w:szCs w:val="24"/>
          <w:highlight w:val="none"/>
          <w:lang w:eastAsia="zh-CN"/>
        </w:rPr>
        <w:t>总工期为</w:t>
      </w:r>
      <w:r>
        <w:rPr>
          <w:rFonts w:hint="eastAsia" w:ascii="宋体" w:hAnsi="宋体" w:cs="宋体"/>
          <w:color w:val="auto"/>
          <w:szCs w:val="24"/>
          <w:highlight w:val="none"/>
          <w:lang w:val="en-US" w:eastAsia="zh-CN"/>
        </w:rPr>
        <w:t>110日历天</w:t>
      </w:r>
      <w:r>
        <w:rPr>
          <w:rFonts w:hint="eastAsia" w:ascii="宋体" w:hAnsi="宋体" w:cs="宋体"/>
          <w:color w:val="auto"/>
          <w:szCs w:val="24"/>
          <w:highlight w:val="none"/>
        </w:rPr>
        <w:t>。</w:t>
      </w:r>
      <w:r>
        <w:rPr>
          <w:rFonts w:hint="eastAsia" w:ascii="宋体" w:hAnsi="宋体" w:cs="宋体"/>
          <w:color w:val="auto"/>
          <w:szCs w:val="24"/>
          <w:highlight w:val="none"/>
          <w:lang w:eastAsia="zh-CN"/>
        </w:rPr>
        <w:t>具体开工时间以甲方发出的书面通知为准，乙方承诺满足甲方施工工期要求并不因此要求工期补偿/赔偿。</w:t>
      </w:r>
    </w:p>
    <w:p w14:paraId="56F27CBF">
      <w:pPr>
        <w:kinsoku w:val="0"/>
        <w:wordWrap w:val="0"/>
        <w:topLinePunct/>
        <w:autoSpaceDE w:val="0"/>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w:t>
      </w:r>
      <w:r>
        <w:rPr>
          <w:rFonts w:hint="eastAsia" w:ascii="宋体" w:hAnsi="宋体" w:cs="宋体"/>
          <w:color w:val="auto"/>
          <w:szCs w:val="24"/>
          <w:highlight w:val="none"/>
          <w:lang w:eastAsia="zh-CN"/>
        </w:rPr>
        <w:t>施工</w:t>
      </w:r>
      <w:r>
        <w:rPr>
          <w:rFonts w:hint="eastAsia" w:ascii="宋体" w:hAnsi="宋体" w:cs="宋体"/>
          <w:color w:val="auto"/>
          <w:szCs w:val="24"/>
          <w:highlight w:val="none"/>
        </w:rPr>
        <w:t>过程中如遇甲方责任或不可抗力等因素所延误的工期，经甲、乙双方签证认可后予以调整，并在此基础上确定完工日期。</w:t>
      </w:r>
      <w:r>
        <w:rPr>
          <w:rFonts w:hint="eastAsia" w:ascii="宋体" w:hAnsi="宋体" w:cs="宋体"/>
          <w:color w:val="auto"/>
          <w:szCs w:val="24"/>
          <w:highlight w:val="none"/>
          <w:lang w:val="en-US" w:eastAsia="zh-CN"/>
        </w:rPr>
        <w:t xml:space="preserve"> </w:t>
      </w:r>
    </w:p>
    <w:p w14:paraId="163186C8">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rPr>
        <w:t>五、合同价格</w:t>
      </w:r>
    </w:p>
    <w:p w14:paraId="114D8BDC">
      <w:pPr>
        <w:spacing w:line="360" w:lineRule="auto"/>
        <w:ind w:firstLine="420" w:firstLineChars="175"/>
        <w:rPr>
          <w:rFonts w:hint="eastAsia" w:ascii="宋体" w:hAnsi="宋体" w:cs="宋体"/>
          <w:color w:val="auto"/>
          <w:szCs w:val="24"/>
          <w:highlight w:val="none"/>
        </w:rPr>
      </w:pPr>
      <w:r>
        <w:rPr>
          <w:rFonts w:hint="eastAsia" w:ascii="宋体" w:hAnsi="宋体" w:cs="宋体"/>
          <w:color w:val="auto"/>
          <w:szCs w:val="24"/>
          <w:highlight w:val="none"/>
        </w:rPr>
        <w:t>1、合同含税总金额为¥</w:t>
      </w:r>
      <w:r>
        <w:rPr>
          <w:rFonts w:hint="eastAsia" w:ascii="宋体" w:hAnsi="宋体" w:eastAsia="宋体" w:cs="宋体"/>
          <w:i w:val="0"/>
          <w:iCs w:val="0"/>
          <w:caps w:val="0"/>
          <w:color w:val="auto"/>
          <w:spacing w:val="0"/>
          <w:sz w:val="24"/>
          <w:szCs w:val="24"/>
          <w:highlight w:val="none"/>
          <w:shd w:val="clear"/>
        </w:rPr>
        <w:t>6022235.41</w:t>
      </w:r>
      <w:r>
        <w:rPr>
          <w:rFonts w:hint="eastAsia" w:ascii="宋体" w:hAnsi="宋体" w:cs="宋体"/>
          <w:color w:val="auto"/>
          <w:szCs w:val="24"/>
          <w:highlight w:val="none"/>
        </w:rPr>
        <w:t>元（大写人民币</w:t>
      </w:r>
      <w:r>
        <w:rPr>
          <w:rFonts w:hint="eastAsia" w:ascii="宋体" w:hAnsi="宋体" w:cs="宋体"/>
          <w:color w:val="auto"/>
          <w:szCs w:val="24"/>
          <w:highlight w:val="none"/>
          <w:u w:val="single"/>
          <w:lang w:eastAsia="zh-CN"/>
        </w:rPr>
        <w:t>陆佰零贰万贰仟贰佰叁拾伍元肆角壹分</w:t>
      </w:r>
      <w:r>
        <w:rPr>
          <w:rFonts w:hint="eastAsia" w:ascii="宋体" w:hAnsi="宋体" w:cs="宋体"/>
          <w:color w:val="auto"/>
          <w:szCs w:val="24"/>
          <w:highlight w:val="none"/>
          <w:u w:val="single"/>
        </w:rPr>
        <w:t>（以下简称“合同总价”</w:t>
      </w:r>
      <w:r>
        <w:rPr>
          <w:rFonts w:hint="eastAsia" w:ascii="宋体" w:hAnsi="宋体" w:cs="宋体"/>
          <w:color w:val="auto"/>
          <w:szCs w:val="24"/>
          <w:highlight w:val="none"/>
        </w:rPr>
        <w:t>）。其中不含税金额为¥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5524986.62</w:t>
      </w:r>
      <w:r>
        <w:rPr>
          <w:rFonts w:hint="eastAsia" w:ascii="宋体" w:hAnsi="宋体" w:cs="宋体"/>
          <w:color w:val="auto"/>
          <w:szCs w:val="24"/>
          <w:highlight w:val="none"/>
        </w:rPr>
        <w:t>元（大写人民币</w:t>
      </w:r>
      <w:r>
        <w:rPr>
          <w:rFonts w:hint="eastAsia" w:ascii="宋体" w:hAnsi="宋体" w:cs="宋体"/>
          <w:color w:val="auto"/>
          <w:szCs w:val="24"/>
          <w:highlight w:val="none"/>
          <w:u w:val="single"/>
          <w:lang w:eastAsia="zh-CN"/>
        </w:rPr>
        <w:t>伍佰伍拾贰万肆仟玖佰捌拾陆元陆角贰分</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），增值税税金为¥</w:t>
      </w:r>
      <w:r>
        <w:rPr>
          <w:rFonts w:hint="eastAsia" w:ascii="宋体" w:hAnsi="宋体" w:cs="宋体"/>
          <w:color w:val="auto"/>
          <w:szCs w:val="24"/>
          <w:highlight w:val="none"/>
          <w:u w:val="single"/>
          <w:lang w:val="en-US" w:eastAsia="zh-CN"/>
        </w:rPr>
        <w:t>497248.79</w:t>
      </w:r>
      <w:r>
        <w:rPr>
          <w:rFonts w:hint="eastAsia" w:ascii="宋体" w:hAnsi="宋体" w:cs="宋体"/>
          <w:color w:val="auto"/>
          <w:szCs w:val="24"/>
          <w:highlight w:val="none"/>
        </w:rPr>
        <w:t>元（大写人民币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eastAsia="zh-CN"/>
        </w:rPr>
        <w:t>肆拾玖万柒仟贰佰肆拾捌元柒角玖分</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增值税专用发票</w:t>
      </w:r>
      <w:r>
        <w:rPr>
          <w:rFonts w:hint="eastAsia" w:ascii="宋体" w:hAnsi="宋体" w:cs="宋体"/>
          <w:color w:val="auto"/>
          <w:szCs w:val="24"/>
          <w:highlight w:val="none"/>
        </w:rPr>
        <w:t>税率</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9</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%。详见附件</w:t>
      </w:r>
      <w:r>
        <w:rPr>
          <w:rFonts w:hint="eastAsia" w:ascii="宋体" w:hAnsi="宋体" w:cs="宋体"/>
          <w:color w:val="auto"/>
          <w:szCs w:val="24"/>
          <w:highlight w:val="none"/>
          <w:lang w:eastAsia="zh-CN"/>
        </w:rPr>
        <w:t>三</w:t>
      </w:r>
      <w:r>
        <w:rPr>
          <w:rFonts w:hint="eastAsia" w:ascii="宋体" w:hAnsi="宋体" w:cs="宋体"/>
          <w:color w:val="auto"/>
          <w:szCs w:val="24"/>
          <w:highlight w:val="none"/>
        </w:rPr>
        <w:t>《</w:t>
      </w:r>
      <w:r>
        <w:rPr>
          <w:rFonts w:hint="eastAsia" w:ascii="宋体" w:hAnsi="宋体" w:cs="宋体"/>
          <w:color w:val="auto"/>
          <w:szCs w:val="24"/>
          <w:highlight w:val="none"/>
          <w:lang w:eastAsia="zh-CN"/>
        </w:rPr>
        <w:t>价格清单</w:t>
      </w:r>
      <w:r>
        <w:rPr>
          <w:rFonts w:hint="eastAsia" w:ascii="宋体" w:hAnsi="宋体" w:cs="宋体"/>
          <w:color w:val="auto"/>
          <w:szCs w:val="24"/>
          <w:highlight w:val="none"/>
        </w:rPr>
        <w:t>》。</w:t>
      </w:r>
    </w:p>
    <w:p w14:paraId="4CEB03E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合同价中已包括但不限于完成承包范围内所有工程的成本、利润、税金、措施费（含扬尘防治费）、规费（专项费用）、机械进出场费、风险费用、安全文明施工费、疫情增加费、管理费、调试、材料检测检验费、办理验收手续及质保期内所需的费用等一切与之相关的全部费用。</w:t>
      </w:r>
    </w:p>
    <w:p w14:paraId="5229A5E1">
      <w:pPr>
        <w:spacing w:line="360" w:lineRule="auto"/>
        <w:ind w:firstLine="420" w:firstLineChars="175"/>
        <w:rPr>
          <w:rFonts w:ascii="宋体" w:hAnsi="宋体" w:cs="宋体"/>
          <w:color w:val="auto"/>
          <w:szCs w:val="24"/>
          <w:highlight w:val="none"/>
        </w:rPr>
      </w:pP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、增值税税率说明：</w:t>
      </w:r>
    </w:p>
    <w:p w14:paraId="09CCB0B0">
      <w:pPr>
        <w:spacing w:line="360" w:lineRule="auto"/>
        <w:ind w:firstLine="420" w:firstLineChars="175"/>
        <w:rPr>
          <w:rFonts w:hint="eastAsia" w:ascii="宋体" w:hAnsi="宋体" w:cs="宋体"/>
          <w:color w:val="auto"/>
          <w:szCs w:val="24"/>
          <w:highlight w:val="none"/>
        </w:rPr>
      </w:pP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.1、合同价增值税</w:t>
      </w:r>
      <w:r>
        <w:rPr>
          <w:rFonts w:hint="eastAsia" w:ascii="宋体" w:hAnsi="宋体" w:cs="宋体"/>
          <w:color w:val="auto"/>
          <w:szCs w:val="24"/>
          <w:highlight w:val="none"/>
          <w:lang w:val="en-US" w:eastAsia="zh-CN"/>
        </w:rPr>
        <w:t>专用发票</w:t>
      </w:r>
      <w:r>
        <w:rPr>
          <w:rFonts w:hint="eastAsia" w:ascii="宋体" w:hAnsi="宋体" w:cs="宋体"/>
          <w:color w:val="auto"/>
          <w:szCs w:val="24"/>
          <w:highlight w:val="none"/>
        </w:rPr>
        <w:t>税率按</w:t>
      </w:r>
      <w:r>
        <w:rPr>
          <w:rFonts w:hint="eastAsia" w:ascii="宋体" w:hAnsi="宋体" w:cs="宋体"/>
          <w:color w:val="auto"/>
          <w:szCs w:val="24"/>
          <w:highlight w:val="none"/>
          <w:u w:val="single"/>
          <w:lang w:val="en-US" w:eastAsia="zh-CN"/>
        </w:rPr>
        <w:t>9</w:t>
      </w:r>
      <w:r>
        <w:rPr>
          <w:rFonts w:hint="eastAsia" w:ascii="宋体" w:hAnsi="宋体" w:cs="宋体"/>
          <w:color w:val="auto"/>
          <w:szCs w:val="24"/>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5294F661">
      <w:pPr>
        <w:spacing w:line="360" w:lineRule="auto"/>
        <w:ind w:firstLine="420" w:firstLineChars="175"/>
        <w:rPr>
          <w:rFonts w:hint="eastAsia" w:ascii="宋体" w:hAnsi="宋体" w:cs="宋体"/>
          <w:color w:val="auto"/>
          <w:szCs w:val="24"/>
          <w:highlight w:val="none"/>
        </w:rPr>
      </w:pP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.2、如因乙方纳税资格变更引起增值税税率变化，风险由乙方自行承担（税率增加的，</w:t>
      </w:r>
      <w:r>
        <w:rPr>
          <w:rFonts w:hint="eastAsia" w:ascii="宋体" w:hAnsi="宋体" w:cs="宋体"/>
          <w:color w:val="auto"/>
          <w:szCs w:val="24"/>
          <w:highlight w:val="none"/>
          <w:lang w:eastAsia="zh-CN"/>
        </w:rPr>
        <w:t>甲方</w:t>
      </w:r>
      <w:r>
        <w:rPr>
          <w:rFonts w:hint="eastAsia" w:ascii="宋体" w:hAnsi="宋体" w:cs="宋体"/>
          <w:color w:val="auto"/>
          <w:szCs w:val="24"/>
          <w:highlight w:val="none"/>
        </w:rPr>
        <w:t>仍按原税率支付税金；税率减小的，</w:t>
      </w:r>
      <w:r>
        <w:rPr>
          <w:rFonts w:hint="eastAsia" w:ascii="宋体" w:hAnsi="宋体" w:cs="宋体"/>
          <w:color w:val="auto"/>
          <w:szCs w:val="24"/>
          <w:highlight w:val="none"/>
          <w:lang w:eastAsia="zh-CN"/>
        </w:rPr>
        <w:t>甲方</w:t>
      </w:r>
      <w:r>
        <w:rPr>
          <w:rFonts w:hint="eastAsia" w:ascii="宋体" w:hAnsi="宋体" w:cs="宋体"/>
          <w:color w:val="auto"/>
          <w:szCs w:val="24"/>
          <w:highlight w:val="none"/>
        </w:rPr>
        <w:t>按减小后的税率支付税金）。</w:t>
      </w:r>
    </w:p>
    <w:p w14:paraId="1FA3702E">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rPr>
        <w:t>工程价款支付</w:t>
      </w:r>
    </w:p>
    <w:p w14:paraId="6E1F75AB">
      <w:pPr>
        <w:autoSpaceDN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、土建、安装、雨污水管网系统付款方式：</w:t>
      </w:r>
    </w:p>
    <w:p w14:paraId="12A4BFE7">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1</w:t>
      </w:r>
      <w:r>
        <w:rPr>
          <w:rFonts w:hint="eastAsia" w:ascii="宋体" w:hAnsi="宋体"/>
          <w:color w:val="auto"/>
          <w:kern w:val="0"/>
          <w:sz w:val="24"/>
          <w:szCs w:val="24"/>
          <w:highlight w:val="none"/>
        </w:rPr>
        <w:t>.1、施工阶段按月度形象进度付款，</w:t>
      </w:r>
      <w:r>
        <w:rPr>
          <w:rFonts w:ascii="宋体" w:hAnsi="宋体"/>
          <w:color w:val="auto"/>
          <w:kern w:val="0"/>
          <w:sz w:val="24"/>
          <w:szCs w:val="24"/>
          <w:highlight w:val="none"/>
        </w:rPr>
        <w:t>经甲方、监理验收合格后，支付</w:t>
      </w:r>
      <w:r>
        <w:rPr>
          <w:rFonts w:hint="eastAsia" w:ascii="宋体" w:hAnsi="宋体"/>
          <w:color w:val="auto"/>
          <w:kern w:val="0"/>
          <w:sz w:val="24"/>
          <w:szCs w:val="24"/>
          <w:highlight w:val="none"/>
        </w:rPr>
        <w:t>至月度已完工程造价的7</w:t>
      </w:r>
      <w:r>
        <w:rPr>
          <w:rFonts w:hint="eastAsia" w:ascii="宋体" w:hAnsi="宋体"/>
          <w:color w:val="auto"/>
          <w:kern w:val="0"/>
          <w:sz w:val="24"/>
          <w:szCs w:val="24"/>
          <w:highlight w:val="none"/>
          <w:lang w:val="en-US" w:eastAsia="zh-CN"/>
        </w:rPr>
        <w:t>5</w:t>
      </w:r>
      <w:r>
        <w:rPr>
          <w:rFonts w:hint="eastAsia" w:ascii="宋体" w:hAnsi="宋体"/>
          <w:color w:val="auto"/>
          <w:kern w:val="0"/>
          <w:sz w:val="24"/>
          <w:szCs w:val="24"/>
          <w:highlight w:val="none"/>
        </w:rPr>
        <w:t>%</w:t>
      </w:r>
      <w:r>
        <w:rPr>
          <w:rFonts w:ascii="宋体" w:hAnsi="宋体"/>
          <w:color w:val="auto"/>
          <w:kern w:val="0"/>
          <w:sz w:val="24"/>
          <w:szCs w:val="24"/>
          <w:highlight w:val="none"/>
        </w:rPr>
        <w:t>；</w:t>
      </w:r>
    </w:p>
    <w:p w14:paraId="7D11DF79">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1</w:t>
      </w:r>
      <w:r>
        <w:rPr>
          <w:rFonts w:hint="eastAsia" w:ascii="宋体" w:hAnsi="宋体"/>
          <w:color w:val="auto"/>
          <w:kern w:val="0"/>
          <w:sz w:val="24"/>
          <w:szCs w:val="24"/>
          <w:highlight w:val="none"/>
        </w:rPr>
        <w:t>.2、</w:t>
      </w:r>
      <w:r>
        <w:rPr>
          <w:rFonts w:ascii="宋体" w:hAnsi="宋体"/>
          <w:color w:val="auto"/>
          <w:kern w:val="0"/>
          <w:sz w:val="24"/>
          <w:szCs w:val="24"/>
          <w:highlight w:val="none"/>
        </w:rPr>
        <w:t>承包范围内工程</w:t>
      </w:r>
      <w:r>
        <w:rPr>
          <w:rFonts w:hint="eastAsia" w:ascii="宋体" w:hAnsi="宋体"/>
          <w:color w:val="auto"/>
          <w:kern w:val="0"/>
          <w:sz w:val="24"/>
          <w:szCs w:val="24"/>
          <w:highlight w:val="none"/>
        </w:rPr>
        <w:t>施工内容</w:t>
      </w:r>
      <w:r>
        <w:rPr>
          <w:rFonts w:ascii="宋体" w:hAnsi="宋体"/>
          <w:color w:val="auto"/>
          <w:kern w:val="0"/>
          <w:sz w:val="24"/>
          <w:szCs w:val="24"/>
          <w:highlight w:val="none"/>
        </w:rPr>
        <w:t>全部完工，经甲方、监理验收合格后，支付</w:t>
      </w:r>
      <w:r>
        <w:rPr>
          <w:rFonts w:hint="eastAsia" w:ascii="宋体" w:hAnsi="宋体"/>
          <w:color w:val="auto"/>
          <w:kern w:val="0"/>
          <w:sz w:val="24"/>
          <w:szCs w:val="24"/>
          <w:highlight w:val="none"/>
        </w:rPr>
        <w:t>至</w:t>
      </w:r>
      <w:r>
        <w:rPr>
          <w:rFonts w:hint="eastAsia" w:ascii="宋体"/>
          <w:color w:val="auto"/>
          <w:sz w:val="24"/>
          <w:szCs w:val="24"/>
          <w:highlight w:val="none"/>
        </w:rPr>
        <w:t>景观工程中土建、安装部分及</w:t>
      </w:r>
      <w:r>
        <w:rPr>
          <w:rFonts w:hint="eastAsia" w:ascii="宋体"/>
          <w:color w:val="auto"/>
          <w:sz w:val="24"/>
          <w:szCs w:val="24"/>
          <w:highlight w:val="none"/>
          <w:lang w:eastAsia="zh-CN"/>
        </w:rPr>
        <w:t>雨污水</w:t>
      </w:r>
      <w:r>
        <w:rPr>
          <w:rFonts w:hint="eastAsia" w:ascii="宋体"/>
          <w:color w:val="auto"/>
          <w:sz w:val="24"/>
          <w:szCs w:val="24"/>
          <w:highlight w:val="none"/>
        </w:rPr>
        <w:t>管网工程</w:t>
      </w:r>
      <w:r>
        <w:rPr>
          <w:rFonts w:hint="eastAsia" w:ascii="宋体" w:hAnsi="宋体"/>
          <w:color w:val="auto"/>
          <w:kern w:val="0"/>
          <w:sz w:val="24"/>
          <w:szCs w:val="24"/>
          <w:highlight w:val="none"/>
        </w:rPr>
        <w:t>已完工程造价的</w:t>
      </w:r>
      <w:r>
        <w:rPr>
          <w:rFonts w:hint="eastAsia" w:ascii="宋体" w:hAnsi="宋体"/>
          <w:color w:val="auto"/>
          <w:kern w:val="0"/>
          <w:sz w:val="24"/>
          <w:szCs w:val="24"/>
          <w:highlight w:val="none"/>
          <w:lang w:val="en-US" w:eastAsia="zh-CN"/>
        </w:rPr>
        <w:t>8</w:t>
      </w:r>
      <w:r>
        <w:rPr>
          <w:rFonts w:hint="default" w:ascii="宋体" w:hAnsi="宋体"/>
          <w:color w:val="auto"/>
          <w:kern w:val="0"/>
          <w:sz w:val="24"/>
          <w:szCs w:val="24"/>
          <w:highlight w:val="none"/>
          <w:lang w:val="en-US" w:eastAsia="zh-CN"/>
        </w:rPr>
        <w:t>0</w:t>
      </w:r>
      <w:r>
        <w:rPr>
          <w:rFonts w:hint="eastAsia" w:ascii="宋体" w:hAnsi="宋体"/>
          <w:color w:val="auto"/>
          <w:kern w:val="0"/>
          <w:sz w:val="24"/>
          <w:szCs w:val="24"/>
          <w:highlight w:val="none"/>
        </w:rPr>
        <w:t>%；</w:t>
      </w:r>
    </w:p>
    <w:p w14:paraId="18C89B5E">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1</w:t>
      </w:r>
      <w:r>
        <w:rPr>
          <w:rFonts w:hint="eastAsia" w:ascii="宋体" w:hAnsi="宋体"/>
          <w:color w:val="auto"/>
          <w:kern w:val="0"/>
          <w:sz w:val="24"/>
          <w:szCs w:val="24"/>
          <w:highlight w:val="none"/>
        </w:rPr>
        <w:t>.3、配合甲方完成</w:t>
      </w:r>
      <w:r>
        <w:rPr>
          <w:rFonts w:hint="eastAsia" w:ascii="宋体" w:hAnsi="宋体"/>
          <w:color w:val="auto"/>
          <w:kern w:val="0"/>
          <w:sz w:val="24"/>
          <w:szCs w:val="24"/>
          <w:highlight w:val="none"/>
          <w:lang w:val="en-US" w:eastAsia="zh-CN"/>
        </w:rPr>
        <w:t>竣工</w:t>
      </w:r>
      <w:r>
        <w:rPr>
          <w:rFonts w:hint="eastAsia" w:ascii="宋体" w:hAnsi="宋体"/>
          <w:color w:val="auto"/>
          <w:kern w:val="0"/>
          <w:sz w:val="24"/>
          <w:szCs w:val="24"/>
          <w:highlight w:val="none"/>
        </w:rPr>
        <w:t>结算后支付至</w:t>
      </w:r>
      <w:r>
        <w:rPr>
          <w:rFonts w:hint="eastAsia" w:ascii="宋体"/>
          <w:color w:val="auto"/>
          <w:sz w:val="24"/>
          <w:szCs w:val="24"/>
          <w:highlight w:val="none"/>
          <w:lang w:val="en-US" w:eastAsia="zh-CN"/>
        </w:rPr>
        <w:t>土建、安装、</w:t>
      </w:r>
      <w:r>
        <w:rPr>
          <w:rFonts w:hint="eastAsia" w:ascii="宋体" w:hAnsi="宋体" w:cs="宋体"/>
          <w:color w:val="auto"/>
          <w:szCs w:val="24"/>
          <w:highlight w:val="none"/>
          <w:lang w:eastAsia="zh-CN"/>
        </w:rPr>
        <w:t>雨污水管网</w:t>
      </w:r>
      <w:r>
        <w:rPr>
          <w:rFonts w:hint="eastAsia" w:ascii="宋体" w:hAnsi="宋体"/>
          <w:color w:val="auto"/>
          <w:kern w:val="0"/>
          <w:sz w:val="24"/>
          <w:szCs w:val="24"/>
          <w:highlight w:val="none"/>
        </w:rPr>
        <w:t>结算价款的</w:t>
      </w:r>
      <w:r>
        <w:rPr>
          <w:rFonts w:hint="eastAsia" w:ascii="宋体" w:hAnsi="宋体"/>
          <w:color w:val="auto"/>
          <w:kern w:val="0"/>
          <w:sz w:val="24"/>
          <w:szCs w:val="24"/>
          <w:highlight w:val="none"/>
          <w:lang w:val="en-US" w:eastAsia="zh-CN"/>
        </w:rPr>
        <w:t>97</w:t>
      </w:r>
      <w:r>
        <w:rPr>
          <w:rFonts w:ascii="宋体" w:hAnsi="宋体"/>
          <w:color w:val="auto"/>
          <w:kern w:val="0"/>
          <w:sz w:val="24"/>
          <w:szCs w:val="24"/>
          <w:highlight w:val="none"/>
        </w:rPr>
        <w:t>%</w:t>
      </w:r>
      <w:r>
        <w:rPr>
          <w:rFonts w:hint="eastAsia" w:ascii="宋体" w:hAnsi="宋体"/>
          <w:color w:val="auto"/>
          <w:kern w:val="0"/>
          <w:sz w:val="24"/>
          <w:szCs w:val="24"/>
          <w:highlight w:val="none"/>
        </w:rPr>
        <w:t>；</w:t>
      </w:r>
    </w:p>
    <w:p w14:paraId="070AC674">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1</w:t>
      </w:r>
      <w:r>
        <w:rPr>
          <w:rFonts w:hint="eastAsia" w:ascii="宋体" w:hAnsi="宋体"/>
          <w:color w:val="auto"/>
          <w:kern w:val="0"/>
          <w:sz w:val="24"/>
          <w:szCs w:val="24"/>
          <w:highlight w:val="none"/>
        </w:rPr>
        <w:t>.4、剩余金额（即结算金额的3%）留为质保金。工程质保期为2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5ECD27F4">
      <w:pPr>
        <w:autoSpaceDN w:val="0"/>
        <w:spacing w:line="360" w:lineRule="auto"/>
        <w:rPr>
          <w:rFonts w:hint="eastAsia" w:ascii="宋体" w:hAnsi="宋体"/>
          <w:color w:val="auto"/>
          <w:kern w:val="0"/>
          <w:sz w:val="24"/>
          <w:szCs w:val="24"/>
          <w:highlight w:val="none"/>
        </w:rPr>
      </w:pPr>
      <w:r>
        <w:rPr>
          <w:rFonts w:hint="eastAsia" w:ascii="宋体" w:hAnsi="宋体"/>
          <w:color w:val="auto"/>
          <w:kern w:val="0"/>
          <w:sz w:val="24"/>
          <w:szCs w:val="24"/>
          <w:highlight w:val="none"/>
        </w:rPr>
        <w:t xml:space="preserve">   </w:t>
      </w:r>
      <w:r>
        <w:rPr>
          <w:rFonts w:hint="eastAsia" w:ascii="宋体" w:hAnsi="宋体"/>
          <w:color w:val="auto"/>
          <w:kern w:val="0"/>
          <w:sz w:val="24"/>
          <w:szCs w:val="24"/>
          <w:highlight w:val="none"/>
          <w:lang w:val="en-US" w:eastAsia="zh-CN"/>
        </w:rPr>
        <w:t xml:space="preserve"> 2</w:t>
      </w:r>
      <w:r>
        <w:rPr>
          <w:rFonts w:hint="eastAsia" w:ascii="宋体" w:hAnsi="宋体"/>
          <w:color w:val="auto"/>
          <w:kern w:val="0"/>
          <w:sz w:val="24"/>
          <w:szCs w:val="24"/>
          <w:highlight w:val="none"/>
        </w:rPr>
        <w:t>、</w:t>
      </w:r>
      <w:r>
        <w:rPr>
          <w:rFonts w:hint="eastAsia" w:ascii="宋体"/>
          <w:color w:val="auto"/>
          <w:sz w:val="24"/>
          <w:szCs w:val="24"/>
          <w:highlight w:val="none"/>
        </w:rPr>
        <w:t>景观工程中</w:t>
      </w:r>
      <w:r>
        <w:rPr>
          <w:rFonts w:hint="eastAsia" w:ascii="宋体" w:hAnsi="宋体"/>
          <w:color w:val="auto"/>
          <w:kern w:val="0"/>
          <w:sz w:val="24"/>
          <w:szCs w:val="24"/>
          <w:highlight w:val="none"/>
          <w:lang w:eastAsia="zh-CN"/>
        </w:rPr>
        <w:t>绿化工程、</w:t>
      </w:r>
      <w:r>
        <w:rPr>
          <w:rFonts w:hint="eastAsia" w:ascii="宋体" w:hAnsi="宋体"/>
          <w:color w:val="auto"/>
          <w:kern w:val="0"/>
          <w:sz w:val="24"/>
          <w:szCs w:val="24"/>
          <w:highlight w:val="none"/>
          <w:lang w:val="en-US" w:eastAsia="zh-CN"/>
        </w:rPr>
        <w:t>软装摆件</w:t>
      </w:r>
      <w:r>
        <w:rPr>
          <w:rFonts w:hint="eastAsia" w:ascii="宋体"/>
          <w:color w:val="auto"/>
          <w:sz w:val="24"/>
          <w:szCs w:val="24"/>
          <w:highlight w:val="none"/>
        </w:rPr>
        <w:t>付款方式</w:t>
      </w:r>
      <w:r>
        <w:rPr>
          <w:rFonts w:hint="eastAsia" w:ascii="宋体" w:hAnsi="宋体"/>
          <w:color w:val="auto"/>
          <w:kern w:val="0"/>
          <w:sz w:val="24"/>
          <w:szCs w:val="24"/>
          <w:highlight w:val="none"/>
        </w:rPr>
        <w:t>：</w:t>
      </w:r>
    </w:p>
    <w:p w14:paraId="13349040">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2</w:t>
      </w:r>
      <w:r>
        <w:rPr>
          <w:rFonts w:hint="eastAsia" w:ascii="宋体" w:hAnsi="宋体"/>
          <w:color w:val="auto"/>
          <w:kern w:val="0"/>
          <w:sz w:val="24"/>
          <w:szCs w:val="24"/>
          <w:highlight w:val="none"/>
        </w:rPr>
        <w:t>.1、施工阶段按月度形象进度付款，</w:t>
      </w:r>
      <w:r>
        <w:rPr>
          <w:rFonts w:ascii="宋体" w:hAnsi="宋体"/>
          <w:color w:val="auto"/>
          <w:kern w:val="0"/>
          <w:sz w:val="24"/>
          <w:szCs w:val="24"/>
          <w:highlight w:val="none"/>
        </w:rPr>
        <w:t>经甲方、监理验收合格后，支付</w:t>
      </w:r>
      <w:r>
        <w:rPr>
          <w:rFonts w:hint="eastAsia" w:ascii="宋体" w:hAnsi="宋体"/>
          <w:color w:val="auto"/>
          <w:kern w:val="0"/>
          <w:sz w:val="24"/>
          <w:szCs w:val="24"/>
          <w:highlight w:val="none"/>
        </w:rPr>
        <w:t>至月度已完工程造价的</w:t>
      </w:r>
      <w:r>
        <w:rPr>
          <w:rFonts w:hint="eastAsia" w:ascii="宋体" w:hAnsi="宋体"/>
          <w:color w:val="auto"/>
          <w:kern w:val="0"/>
          <w:sz w:val="24"/>
          <w:szCs w:val="24"/>
          <w:highlight w:val="none"/>
          <w:lang w:val="en-US" w:eastAsia="zh-CN"/>
        </w:rPr>
        <w:t>75</w:t>
      </w:r>
      <w:r>
        <w:rPr>
          <w:rFonts w:hint="eastAsia" w:ascii="宋体" w:hAnsi="宋体"/>
          <w:color w:val="auto"/>
          <w:kern w:val="0"/>
          <w:sz w:val="24"/>
          <w:szCs w:val="24"/>
          <w:highlight w:val="none"/>
        </w:rPr>
        <w:t>%</w:t>
      </w:r>
      <w:r>
        <w:rPr>
          <w:rFonts w:ascii="宋体" w:hAnsi="宋体"/>
          <w:color w:val="auto"/>
          <w:kern w:val="0"/>
          <w:sz w:val="24"/>
          <w:szCs w:val="24"/>
          <w:highlight w:val="none"/>
        </w:rPr>
        <w:t>；</w:t>
      </w:r>
    </w:p>
    <w:p w14:paraId="2E0CD6CB">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2</w:t>
      </w:r>
      <w:r>
        <w:rPr>
          <w:rFonts w:hint="eastAsia" w:ascii="宋体" w:hAnsi="宋体"/>
          <w:color w:val="auto"/>
          <w:kern w:val="0"/>
          <w:sz w:val="24"/>
          <w:szCs w:val="24"/>
          <w:highlight w:val="none"/>
        </w:rPr>
        <w:t>.2、</w:t>
      </w:r>
      <w:r>
        <w:rPr>
          <w:rFonts w:ascii="宋体" w:hAnsi="宋体"/>
          <w:color w:val="auto"/>
          <w:kern w:val="0"/>
          <w:sz w:val="24"/>
          <w:szCs w:val="24"/>
          <w:highlight w:val="none"/>
        </w:rPr>
        <w:t>承包范围内</w:t>
      </w:r>
      <w:r>
        <w:rPr>
          <w:rFonts w:hint="eastAsia" w:ascii="宋体" w:hAnsi="宋体"/>
          <w:color w:val="auto"/>
          <w:kern w:val="0"/>
          <w:sz w:val="24"/>
          <w:szCs w:val="24"/>
          <w:highlight w:val="none"/>
        </w:rPr>
        <w:t>苗木绿化全部种植完毕</w:t>
      </w:r>
      <w:r>
        <w:rPr>
          <w:rFonts w:hint="eastAsia" w:ascii="宋体" w:hAnsi="宋体"/>
          <w:color w:val="auto"/>
          <w:kern w:val="0"/>
          <w:sz w:val="24"/>
          <w:szCs w:val="24"/>
          <w:highlight w:val="none"/>
          <w:lang w:eastAsia="zh-CN"/>
        </w:rPr>
        <w:t>、</w:t>
      </w:r>
      <w:r>
        <w:rPr>
          <w:rFonts w:hint="eastAsia" w:ascii="宋体" w:hAnsi="宋体"/>
          <w:color w:val="auto"/>
          <w:kern w:val="0"/>
          <w:sz w:val="24"/>
          <w:szCs w:val="24"/>
          <w:highlight w:val="none"/>
          <w:lang w:val="en-US" w:eastAsia="zh-CN"/>
        </w:rPr>
        <w:t>器材及软装摆放完成</w:t>
      </w:r>
      <w:r>
        <w:rPr>
          <w:rFonts w:ascii="宋体" w:hAnsi="宋体"/>
          <w:color w:val="auto"/>
          <w:kern w:val="0"/>
          <w:sz w:val="24"/>
          <w:szCs w:val="24"/>
          <w:highlight w:val="none"/>
        </w:rPr>
        <w:t>，经甲方、监理验收合格后，支付</w:t>
      </w:r>
      <w:r>
        <w:rPr>
          <w:rFonts w:hint="eastAsia" w:ascii="宋体" w:hAnsi="宋体"/>
          <w:color w:val="auto"/>
          <w:kern w:val="0"/>
          <w:sz w:val="24"/>
          <w:szCs w:val="24"/>
          <w:highlight w:val="none"/>
        </w:rPr>
        <w:t>至</w:t>
      </w:r>
      <w:r>
        <w:rPr>
          <w:rFonts w:hint="eastAsia" w:ascii="宋体" w:hAnsi="宋体"/>
          <w:color w:val="auto"/>
          <w:kern w:val="0"/>
          <w:sz w:val="24"/>
          <w:szCs w:val="24"/>
          <w:highlight w:val="none"/>
          <w:lang w:val="en-US" w:eastAsia="zh-CN"/>
        </w:rPr>
        <w:t>苗木、器材、软装部分</w:t>
      </w:r>
      <w:r>
        <w:rPr>
          <w:rFonts w:hint="eastAsia" w:ascii="宋体" w:hAnsi="宋体"/>
          <w:color w:val="auto"/>
          <w:kern w:val="0"/>
          <w:sz w:val="24"/>
          <w:szCs w:val="24"/>
          <w:highlight w:val="none"/>
        </w:rPr>
        <w:t>已完工程造价的</w:t>
      </w:r>
      <w:r>
        <w:rPr>
          <w:rFonts w:hint="eastAsia" w:ascii="宋体" w:hAnsi="宋体"/>
          <w:color w:val="auto"/>
          <w:kern w:val="0"/>
          <w:sz w:val="24"/>
          <w:szCs w:val="24"/>
          <w:highlight w:val="none"/>
          <w:lang w:val="en-US" w:eastAsia="zh-CN"/>
        </w:rPr>
        <w:t>80</w:t>
      </w:r>
      <w:r>
        <w:rPr>
          <w:rFonts w:hint="eastAsia" w:ascii="宋体" w:hAnsi="宋体"/>
          <w:color w:val="auto"/>
          <w:kern w:val="0"/>
          <w:sz w:val="24"/>
          <w:szCs w:val="24"/>
          <w:highlight w:val="none"/>
        </w:rPr>
        <w:t>%；</w:t>
      </w:r>
    </w:p>
    <w:p w14:paraId="5CB9A1A2">
      <w:pPr>
        <w:autoSpaceDN w:val="0"/>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2</w:t>
      </w:r>
      <w:r>
        <w:rPr>
          <w:rFonts w:hint="eastAsia" w:ascii="宋体" w:hAnsi="宋体"/>
          <w:color w:val="auto"/>
          <w:kern w:val="0"/>
          <w:sz w:val="24"/>
          <w:szCs w:val="24"/>
          <w:highlight w:val="none"/>
        </w:rPr>
        <w:t>.3、配合甲方完成结算后支付至苗木绿化部分结算价款</w:t>
      </w:r>
      <w:r>
        <w:rPr>
          <w:rFonts w:hint="eastAsia" w:ascii="宋体" w:hAnsi="宋体"/>
          <w:color w:val="auto"/>
          <w:kern w:val="0"/>
          <w:sz w:val="24"/>
          <w:szCs w:val="24"/>
          <w:highlight w:val="none"/>
          <w:lang w:val="en-US" w:eastAsia="zh-CN"/>
        </w:rPr>
        <w:t>的90</w:t>
      </w:r>
      <w:r>
        <w:rPr>
          <w:rFonts w:hint="eastAsia" w:ascii="宋体" w:hAnsi="宋体"/>
          <w:color w:val="auto"/>
          <w:kern w:val="0"/>
          <w:sz w:val="24"/>
          <w:szCs w:val="24"/>
          <w:highlight w:val="none"/>
        </w:rPr>
        <w:t>%</w:t>
      </w:r>
      <w:r>
        <w:rPr>
          <w:rFonts w:hint="eastAsia" w:ascii="宋体" w:hAnsi="宋体"/>
          <w:color w:val="auto"/>
          <w:kern w:val="0"/>
          <w:sz w:val="24"/>
          <w:szCs w:val="24"/>
          <w:highlight w:val="none"/>
          <w:lang w:eastAsia="zh-CN"/>
        </w:rPr>
        <w:t>、</w:t>
      </w:r>
      <w:r>
        <w:rPr>
          <w:rFonts w:hint="eastAsia" w:ascii="宋体" w:hAnsi="宋体"/>
          <w:color w:val="auto"/>
          <w:kern w:val="0"/>
          <w:sz w:val="24"/>
          <w:szCs w:val="24"/>
          <w:highlight w:val="none"/>
          <w:lang w:val="en-US" w:eastAsia="zh-CN"/>
        </w:rPr>
        <w:t>结算完成后支付至软装摆件的97%</w:t>
      </w:r>
      <w:r>
        <w:rPr>
          <w:rFonts w:hint="eastAsia" w:ascii="宋体" w:hAnsi="宋体"/>
          <w:color w:val="auto"/>
          <w:kern w:val="0"/>
          <w:sz w:val="24"/>
          <w:szCs w:val="24"/>
          <w:highlight w:val="none"/>
        </w:rPr>
        <w:t>；</w:t>
      </w:r>
    </w:p>
    <w:p w14:paraId="6F8F91E3">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lang w:val="en-US" w:eastAsia="zh-CN"/>
        </w:rPr>
        <w:t>2</w:t>
      </w:r>
      <w:r>
        <w:rPr>
          <w:rFonts w:hint="eastAsia" w:ascii="宋体" w:hAnsi="宋体"/>
          <w:color w:val="auto"/>
          <w:kern w:val="0"/>
          <w:sz w:val="24"/>
          <w:szCs w:val="24"/>
          <w:highlight w:val="none"/>
        </w:rPr>
        <w:t>.4、剩余</w:t>
      </w:r>
      <w:r>
        <w:rPr>
          <w:rFonts w:hint="eastAsia" w:ascii="宋体" w:hAnsi="宋体"/>
          <w:color w:val="auto"/>
          <w:kern w:val="0"/>
          <w:sz w:val="24"/>
          <w:szCs w:val="24"/>
          <w:highlight w:val="none"/>
          <w:lang w:val="en-US" w:eastAsia="zh-CN"/>
        </w:rPr>
        <w:t>苗木、软装</w:t>
      </w:r>
      <w:r>
        <w:rPr>
          <w:rFonts w:hint="eastAsia" w:ascii="宋体" w:hAnsi="宋体"/>
          <w:color w:val="auto"/>
          <w:kern w:val="0"/>
          <w:sz w:val="24"/>
          <w:szCs w:val="24"/>
          <w:highlight w:val="none"/>
        </w:rPr>
        <w:t>金额（即</w:t>
      </w:r>
      <w:r>
        <w:rPr>
          <w:rFonts w:hint="eastAsia" w:ascii="宋体" w:hAnsi="宋体"/>
          <w:color w:val="auto"/>
          <w:kern w:val="0"/>
          <w:sz w:val="24"/>
          <w:szCs w:val="24"/>
          <w:highlight w:val="none"/>
          <w:lang w:val="en-US" w:eastAsia="zh-CN"/>
        </w:rPr>
        <w:t>苗木</w:t>
      </w:r>
      <w:r>
        <w:rPr>
          <w:rFonts w:hint="eastAsia" w:ascii="宋体" w:hAnsi="宋体"/>
          <w:color w:val="auto"/>
          <w:kern w:val="0"/>
          <w:sz w:val="24"/>
          <w:szCs w:val="24"/>
          <w:highlight w:val="none"/>
        </w:rPr>
        <w:t>结算金额的</w:t>
      </w:r>
      <w:r>
        <w:rPr>
          <w:rFonts w:hint="eastAsia" w:ascii="宋体" w:hAnsi="宋体"/>
          <w:color w:val="auto"/>
          <w:kern w:val="0"/>
          <w:sz w:val="24"/>
          <w:szCs w:val="24"/>
          <w:highlight w:val="none"/>
          <w:lang w:val="en-US" w:eastAsia="zh-CN"/>
        </w:rPr>
        <w:t>10</w:t>
      </w:r>
      <w:r>
        <w:rPr>
          <w:rFonts w:hint="eastAsia" w:ascii="宋体" w:hAnsi="宋体"/>
          <w:color w:val="auto"/>
          <w:kern w:val="0"/>
          <w:sz w:val="24"/>
          <w:szCs w:val="24"/>
          <w:highlight w:val="none"/>
        </w:rPr>
        <w:t>%</w:t>
      </w:r>
      <w:r>
        <w:rPr>
          <w:rFonts w:hint="eastAsia" w:ascii="宋体" w:hAnsi="宋体"/>
          <w:color w:val="auto"/>
          <w:kern w:val="0"/>
          <w:sz w:val="24"/>
          <w:szCs w:val="24"/>
          <w:highlight w:val="none"/>
          <w:lang w:eastAsia="zh-CN"/>
        </w:rPr>
        <w:t>、</w:t>
      </w:r>
      <w:r>
        <w:rPr>
          <w:rFonts w:hint="eastAsia" w:ascii="宋体" w:hAnsi="宋体"/>
          <w:color w:val="auto"/>
          <w:kern w:val="0"/>
          <w:sz w:val="24"/>
          <w:szCs w:val="24"/>
          <w:highlight w:val="none"/>
          <w:lang w:val="en-US" w:eastAsia="zh-CN"/>
        </w:rPr>
        <w:t>软装结算金额的3%</w:t>
      </w:r>
      <w:r>
        <w:rPr>
          <w:rFonts w:hint="eastAsia" w:ascii="宋体" w:hAnsi="宋体"/>
          <w:color w:val="auto"/>
          <w:kern w:val="0"/>
          <w:sz w:val="24"/>
          <w:szCs w:val="24"/>
          <w:highlight w:val="none"/>
        </w:rPr>
        <w:t>）留为质保金。工程质保期为2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4497A9CA">
      <w:pPr>
        <w:pStyle w:val="2"/>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eastAsia="宋体"/>
          <w:b w:val="0"/>
          <w:bCs/>
          <w:lang w:val="en-US" w:eastAsia="zh-CN"/>
        </w:rPr>
      </w:pPr>
      <w:r>
        <w:rPr>
          <w:rFonts w:hint="eastAsia" w:hAnsi="宋体"/>
          <w:b w:val="0"/>
          <w:bCs/>
          <w:color w:val="auto"/>
          <w:kern w:val="0"/>
          <w:sz w:val="24"/>
          <w:szCs w:val="24"/>
          <w:highlight w:val="none"/>
          <w:lang w:val="en-US" w:eastAsia="zh-CN"/>
        </w:rPr>
        <w:t>2.5、当月产值低于60万元累计至次月申请付款。</w:t>
      </w:r>
    </w:p>
    <w:p w14:paraId="61594106">
      <w:pPr>
        <w:pStyle w:val="2"/>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宋体" w:hAnsi="宋体" w:eastAsia="宋体" w:cs="Times New Roman"/>
          <w:b w:val="0"/>
          <w:bCs/>
          <w:color w:val="auto"/>
          <w:kern w:val="0"/>
          <w:position w:val="0"/>
          <w:sz w:val="24"/>
          <w:szCs w:val="24"/>
          <w:highlight w:val="none"/>
          <w:lang w:val="en-US" w:eastAsia="zh-CN" w:bidi="ar-SA"/>
        </w:rPr>
      </w:pPr>
      <w:r>
        <w:rPr>
          <w:rFonts w:hint="eastAsia" w:ascii="宋体" w:hAnsi="宋体" w:eastAsia="宋体" w:cs="Times New Roman"/>
          <w:b w:val="0"/>
          <w:bCs/>
          <w:color w:val="auto"/>
          <w:kern w:val="0"/>
          <w:position w:val="0"/>
          <w:sz w:val="24"/>
          <w:szCs w:val="24"/>
          <w:highlight w:val="none"/>
          <w:lang w:val="en-US" w:eastAsia="zh-CN" w:bidi="ar-SA"/>
        </w:rPr>
        <w:t>2.</w:t>
      </w:r>
      <w:r>
        <w:rPr>
          <w:rFonts w:hint="eastAsia" w:hAnsi="宋体" w:cs="Times New Roman"/>
          <w:b w:val="0"/>
          <w:bCs/>
          <w:color w:val="auto"/>
          <w:kern w:val="0"/>
          <w:position w:val="0"/>
          <w:sz w:val="24"/>
          <w:szCs w:val="24"/>
          <w:highlight w:val="none"/>
          <w:lang w:val="en-US" w:eastAsia="zh-CN" w:bidi="ar-SA"/>
        </w:rPr>
        <w:t>6</w:t>
      </w:r>
      <w:r>
        <w:rPr>
          <w:rFonts w:hint="eastAsia" w:ascii="宋体" w:hAnsi="宋体" w:eastAsia="宋体" w:cs="Times New Roman"/>
          <w:b w:val="0"/>
          <w:bCs/>
          <w:color w:val="auto"/>
          <w:kern w:val="0"/>
          <w:position w:val="0"/>
          <w:sz w:val="24"/>
          <w:szCs w:val="24"/>
          <w:highlight w:val="none"/>
          <w:lang w:val="en-US" w:eastAsia="zh-CN" w:bidi="ar-SA"/>
        </w:rPr>
        <w:t>、</w:t>
      </w:r>
      <w:r>
        <w:rPr>
          <w:rFonts w:hint="eastAsia" w:hAnsi="宋体" w:cs="Times New Roman"/>
          <w:b w:val="0"/>
          <w:bCs/>
          <w:color w:val="auto"/>
          <w:kern w:val="0"/>
          <w:position w:val="0"/>
          <w:sz w:val="24"/>
          <w:szCs w:val="24"/>
          <w:highlight w:val="none"/>
          <w:lang w:val="en-US" w:eastAsia="zh-CN" w:bidi="ar-SA"/>
        </w:rPr>
        <w:t>园建、绿化除质保金外付至合同造价的75%，乙方配合结算完成后，剩余对应的</w:t>
      </w:r>
      <w:r>
        <w:rPr>
          <w:rFonts w:hint="default" w:hAnsi="宋体" w:cs="Times New Roman"/>
          <w:b w:val="0"/>
          <w:bCs/>
          <w:color w:val="auto"/>
          <w:kern w:val="0"/>
          <w:position w:val="0"/>
          <w:sz w:val="24"/>
          <w:szCs w:val="24"/>
          <w:highlight w:val="none"/>
          <w:lang w:val="en-US" w:eastAsia="zh-CN" w:bidi="ar-SA"/>
        </w:rPr>
        <w:t>结算</w:t>
      </w:r>
      <w:r>
        <w:rPr>
          <w:rFonts w:hint="eastAsia" w:hAnsi="宋体" w:cs="Times New Roman"/>
          <w:b w:val="0"/>
          <w:bCs/>
          <w:color w:val="auto"/>
          <w:kern w:val="0"/>
          <w:position w:val="0"/>
          <w:sz w:val="24"/>
          <w:szCs w:val="24"/>
          <w:highlight w:val="none"/>
          <w:lang w:val="en-US" w:eastAsia="zh-CN" w:bidi="ar-SA"/>
        </w:rPr>
        <w:t>款双方同意进行商品房工抵。</w:t>
      </w:r>
    </w:p>
    <w:p w14:paraId="74E92128">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、每次付款前，乙方应按甲方要求出具</w:t>
      </w:r>
      <w:r>
        <w:rPr>
          <w:rFonts w:hint="eastAsia" w:ascii="宋体" w:hAnsi="宋体"/>
          <w:color w:val="auto"/>
          <w:highlight w:val="none"/>
          <w:lang w:val="en-US" w:eastAsia="zh-CN"/>
        </w:rPr>
        <w:t>等额</w:t>
      </w:r>
      <w:r>
        <w:rPr>
          <w:rFonts w:hint="eastAsia" w:ascii="宋体" w:hAnsi="宋体"/>
          <w:color w:val="auto"/>
          <w:highlight w:val="none"/>
        </w:rPr>
        <w:t>合法有效的增值税专用发票。</w:t>
      </w:r>
      <w:r>
        <w:rPr>
          <w:rFonts w:hint="eastAsia" w:ascii="宋体" w:hAnsi="宋体"/>
          <w:lang w:val="en-US" w:eastAsia="zh-CN"/>
        </w:rPr>
        <w:t>如乙方延期开具发票或开具的发票有瑕疵，甲方可延迟付款且不视为违约。</w:t>
      </w:r>
      <w:r>
        <w:rPr>
          <w:rFonts w:hint="eastAsia" w:ascii="宋体" w:hAnsi="宋体"/>
          <w:color w:val="auto"/>
          <w:highlight w:val="none"/>
        </w:rPr>
        <w:t>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宋体" w:hAnsi="宋体"/>
          <w:color w:val="auto"/>
          <w:highlight w:val="none"/>
        </w:rPr>
        <w:tab/>
      </w:r>
    </w:p>
    <w:p w14:paraId="27D2B1D0">
      <w:pPr>
        <w:spacing w:line="360" w:lineRule="auto"/>
        <w:ind w:firstLine="480" w:firstLineChars="200"/>
        <w:rPr>
          <w:rFonts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722E2ED2">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、对发票不合规的约定：</w:t>
      </w:r>
    </w:p>
    <w:p w14:paraId="36AC1A20">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.1、乙方提供的发票为增值税专用发票的，因乙方迟延送达、开具错误等原因导致其提供的增值税专用发票没有通过税务部门认证，造成甲方不能抵扣的，甲方有权拒绝接收。</w:t>
      </w:r>
    </w:p>
    <w:p w14:paraId="3BE48FBA">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5</w:t>
      </w:r>
      <w:r>
        <w:rPr>
          <w:rFonts w:hint="eastAsia" w:ascii="宋体" w:hAnsi="宋体"/>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671D4A71">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、其他税务风险的合同约定：</w:t>
      </w:r>
    </w:p>
    <w:p w14:paraId="32E2C9AD">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.1、如果甲方丢失增值税专用发票联和抵扣联，乙方应向甲方提供专用发票记账联复印件，并加盖乙方发票专用章。</w:t>
      </w:r>
    </w:p>
    <w:p w14:paraId="4980D396">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6</w:t>
      </w:r>
      <w:r>
        <w:rPr>
          <w:rFonts w:hint="eastAsia" w:ascii="宋体" w:hAnsi="宋体"/>
          <w:color w:val="auto"/>
          <w:highlight w:val="none"/>
        </w:rPr>
        <w:t>.2、如果获得开具的汇总专用发票，则乙方应提供其防伪税控系统开具的《销售货物或者提供应税劳务清单》，并加盖发票专用章。</w:t>
      </w:r>
    </w:p>
    <w:p w14:paraId="1A5E4B45">
      <w:pPr>
        <w:spacing w:line="360" w:lineRule="auto"/>
        <w:ind w:firstLine="480" w:firstLineChars="200"/>
        <w:rPr>
          <w:rFonts w:hint="eastAsia" w:ascii="宋体" w:hAnsi="宋体"/>
          <w:color w:val="auto"/>
          <w:highlight w:val="none"/>
        </w:rPr>
      </w:pPr>
      <w:r>
        <w:rPr>
          <w:rFonts w:hint="eastAsia" w:ascii="宋体" w:hAnsi="宋体"/>
          <w:color w:val="auto"/>
          <w:highlight w:val="none"/>
          <w:lang w:val="en-US" w:eastAsia="zh-CN"/>
        </w:rPr>
        <w:t>7</w:t>
      </w:r>
      <w:r>
        <w:rPr>
          <w:rFonts w:hint="eastAsia" w:ascii="宋体" w:hAnsi="宋体"/>
          <w:color w:val="auto"/>
          <w:highlight w:val="none"/>
        </w:rPr>
        <w:t>、真实发生且合理合规的设计变更、现场签证事项，在按</w:t>
      </w:r>
      <w:r>
        <w:rPr>
          <w:rFonts w:hint="eastAsia" w:ascii="宋体" w:hAnsi="宋体"/>
          <w:color w:val="auto"/>
          <w:highlight w:val="none"/>
          <w:lang w:eastAsia="zh-CN"/>
        </w:rPr>
        <w:t>甲方</w:t>
      </w:r>
      <w:r>
        <w:rPr>
          <w:rFonts w:hint="eastAsia" w:ascii="宋体" w:hAnsi="宋体"/>
          <w:color w:val="auto"/>
          <w:highlight w:val="none"/>
        </w:rPr>
        <w:t>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53F86C37">
      <w:pPr>
        <w:autoSpaceDN w:val="0"/>
        <w:spacing w:line="360" w:lineRule="auto"/>
        <w:rPr>
          <w:rFonts w:hint="eastAsia" w:ascii="宋体"/>
          <w:b/>
          <w:bCs/>
          <w:color w:val="auto"/>
          <w:sz w:val="24"/>
          <w:szCs w:val="24"/>
          <w:highlight w:val="none"/>
        </w:rPr>
      </w:pPr>
      <w:r>
        <w:rPr>
          <w:rFonts w:hint="eastAsia" w:ascii="宋体"/>
          <w:b/>
          <w:bCs/>
          <w:color w:val="auto"/>
          <w:sz w:val="24"/>
          <w:szCs w:val="24"/>
          <w:highlight w:val="none"/>
          <w:lang w:eastAsia="zh-CN"/>
        </w:rPr>
        <w:t>七</w:t>
      </w:r>
      <w:r>
        <w:rPr>
          <w:rFonts w:hint="eastAsia" w:ascii="宋体"/>
          <w:b/>
          <w:bCs/>
          <w:color w:val="auto"/>
          <w:sz w:val="24"/>
          <w:szCs w:val="24"/>
          <w:highlight w:val="none"/>
        </w:rPr>
        <w:t>、施工标准及技术规范</w:t>
      </w:r>
    </w:p>
    <w:p w14:paraId="4AF7312C">
      <w:pPr>
        <w:autoSpaceDN w:val="0"/>
        <w:spacing w:line="360" w:lineRule="auto"/>
        <w:ind w:firstLine="480" w:firstLineChars="200"/>
        <w:rPr>
          <w:rFonts w:hint="eastAsia" w:ascii="宋体"/>
          <w:bCs/>
          <w:color w:val="auto"/>
          <w:sz w:val="24"/>
          <w:szCs w:val="24"/>
          <w:highlight w:val="none"/>
        </w:rPr>
      </w:pPr>
      <w:r>
        <w:rPr>
          <w:rFonts w:hint="eastAsia" w:ascii="宋体"/>
          <w:bCs/>
          <w:color w:val="auto"/>
          <w:sz w:val="24"/>
          <w:szCs w:val="24"/>
          <w:highlight w:val="none"/>
        </w:rPr>
        <w:t>1、景观工程</w:t>
      </w:r>
    </w:p>
    <w:p w14:paraId="6C5C155B">
      <w:pPr>
        <w:spacing w:line="360" w:lineRule="auto"/>
        <w:jc w:val="left"/>
        <w:rPr>
          <w:rFonts w:hint="eastAsia" w:ascii="宋体"/>
          <w:color w:val="auto"/>
          <w:sz w:val="24"/>
          <w:szCs w:val="24"/>
          <w:highlight w:val="none"/>
        </w:rPr>
      </w:pPr>
      <w:r>
        <w:rPr>
          <w:rFonts w:hint="eastAsia" w:ascii="宋体"/>
          <w:color w:val="auto"/>
          <w:sz w:val="24"/>
          <w:szCs w:val="24"/>
          <w:highlight w:val="none"/>
        </w:rPr>
        <w:t xml:space="preserve">    1.1、乙方必须严格按照甲方提供的设计施工图及有关施工说明等设计文件施工。工程质量要达到国家现行施工规范的技术要求和《中浩德地产集团工程精细化手册1.0 工艺标准》以及附件</w:t>
      </w:r>
      <w:r>
        <w:rPr>
          <w:rFonts w:hint="eastAsia" w:ascii="宋体"/>
          <w:color w:val="auto"/>
          <w:sz w:val="24"/>
          <w:szCs w:val="24"/>
          <w:highlight w:val="none"/>
          <w:lang w:eastAsia="zh-CN"/>
        </w:rPr>
        <w:t>二</w:t>
      </w:r>
      <w:r>
        <w:rPr>
          <w:rFonts w:hint="eastAsia" w:ascii="宋体"/>
          <w:color w:val="auto"/>
          <w:sz w:val="24"/>
          <w:szCs w:val="24"/>
          <w:highlight w:val="none"/>
        </w:rPr>
        <w:t>《景观绿化工程施工技术要求》的相关要求。</w:t>
      </w:r>
    </w:p>
    <w:p w14:paraId="547115B9">
      <w:pPr>
        <w:spacing w:line="360" w:lineRule="auto"/>
        <w:ind w:firstLine="480"/>
        <w:jc w:val="left"/>
        <w:rPr>
          <w:rFonts w:hint="eastAsia" w:ascii="宋体"/>
          <w:color w:val="auto"/>
          <w:sz w:val="24"/>
          <w:szCs w:val="24"/>
          <w:highlight w:val="none"/>
        </w:rPr>
      </w:pPr>
      <w:r>
        <w:rPr>
          <w:rFonts w:hint="eastAsia" w:ascii="宋体"/>
          <w:color w:val="auto"/>
          <w:sz w:val="24"/>
          <w:szCs w:val="24"/>
          <w:highlight w:val="none"/>
        </w:rPr>
        <w:t>1.2、园林绿化施工时植物及石材颜色、质量的搭配、造坡、标高应随时和甲方联系，避免不必要返工浪费。</w:t>
      </w:r>
    </w:p>
    <w:p w14:paraId="42290359">
      <w:pPr>
        <w:spacing w:line="360" w:lineRule="auto"/>
        <w:ind w:firstLine="480"/>
        <w:jc w:val="left"/>
        <w:rPr>
          <w:rFonts w:hint="eastAsia" w:ascii="宋体" w:eastAsia="宋体" w:cs="Times New Roman"/>
          <w:color w:val="auto"/>
          <w:sz w:val="24"/>
          <w:szCs w:val="24"/>
          <w:highlight w:val="none"/>
        </w:rPr>
      </w:pPr>
      <w:r>
        <w:rPr>
          <w:rFonts w:hint="eastAsia" w:ascii="宋体" w:eastAsia="宋体" w:cs="Times New Roman"/>
          <w:color w:val="auto"/>
          <w:sz w:val="24"/>
          <w:szCs w:val="24"/>
          <w:highlight w:val="none"/>
        </w:rPr>
        <w:t>1.3、石材铺装前需做六面防护及排版深化，经甲方确认。</w:t>
      </w:r>
    </w:p>
    <w:p w14:paraId="64DF82FC">
      <w:pPr>
        <w:spacing w:line="360" w:lineRule="auto"/>
        <w:ind w:firstLine="480"/>
        <w:jc w:val="left"/>
        <w:rPr>
          <w:rFonts w:hint="eastAsia" w:ascii="宋体" w:eastAsia="宋体" w:cs="Times New Roman"/>
          <w:color w:val="auto"/>
          <w:sz w:val="24"/>
          <w:szCs w:val="24"/>
          <w:highlight w:val="none"/>
        </w:rPr>
      </w:pPr>
      <w:r>
        <w:rPr>
          <w:rFonts w:hint="eastAsia" w:ascii="宋体" w:eastAsia="宋体" w:cs="Times New Roman"/>
          <w:color w:val="auto"/>
          <w:sz w:val="24"/>
          <w:szCs w:val="24"/>
          <w:highlight w:val="none"/>
        </w:rPr>
        <w:t>1.4、苗木种植时，优先使用甲方确认的前期移栽苗木，乙方必须无条件服从，移植及养护费用详见清单，清单中没有的，双方友好协商。</w:t>
      </w:r>
    </w:p>
    <w:p w14:paraId="174DEE37">
      <w:pPr>
        <w:spacing w:line="360" w:lineRule="auto"/>
        <w:ind w:firstLine="480"/>
        <w:jc w:val="left"/>
        <w:rPr>
          <w:rFonts w:hint="eastAsia" w:ascii="宋体"/>
          <w:color w:val="auto"/>
          <w:sz w:val="24"/>
          <w:szCs w:val="24"/>
          <w:highlight w:val="none"/>
        </w:rPr>
      </w:pPr>
      <w:r>
        <w:rPr>
          <w:rFonts w:hint="eastAsia" w:ascii="宋体"/>
          <w:color w:val="auto"/>
          <w:sz w:val="24"/>
          <w:szCs w:val="24"/>
          <w:highlight w:val="none"/>
        </w:rPr>
        <w:t>2、</w:t>
      </w:r>
      <w:r>
        <w:rPr>
          <w:rFonts w:hint="eastAsia" w:ascii="宋体"/>
          <w:color w:val="auto"/>
          <w:sz w:val="24"/>
          <w:szCs w:val="24"/>
          <w:highlight w:val="none"/>
          <w:lang w:eastAsia="zh-CN"/>
        </w:rPr>
        <w:t>雨污水管网</w:t>
      </w:r>
      <w:r>
        <w:rPr>
          <w:rFonts w:hint="eastAsia" w:ascii="宋体"/>
          <w:color w:val="auto"/>
          <w:sz w:val="24"/>
          <w:szCs w:val="24"/>
          <w:highlight w:val="none"/>
        </w:rPr>
        <w:t>工程</w:t>
      </w:r>
    </w:p>
    <w:p w14:paraId="15A3F470">
      <w:pPr>
        <w:tabs>
          <w:tab w:val="left" w:pos="52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2.1、乙方必须严格按照施工图纸、说明书以及国家有关规定、施工技术规范和管道操作安装规程进行施工，按规定做好试件和材料的试验，确保工程施工质量。</w:t>
      </w:r>
    </w:p>
    <w:p w14:paraId="6657FA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2.2、各种管道在施工前，应对城市接管点的阀门井、污水检查井和雨水检查井的标高和管径进行实测复测。如与施工图标高不一致，应通知设计院进行管道高程调整后，方可施工。</w:t>
      </w:r>
    </w:p>
    <w:p w14:paraId="1E5D82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2.3、现场土方回填及压实由甲方分包单位进行施工，乙方在已完成的工作面上进行开挖、压实管道基础、埋管、砌井、回填压实，并恢复至原工作面高度。</w:t>
      </w:r>
    </w:p>
    <w:p w14:paraId="2CF4CE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2.4、因室外管线较多，施工时遇到管线交叉，遵循以下原则：</w:t>
      </w:r>
    </w:p>
    <w:p w14:paraId="5F8706D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2.4.1、压力管道避让重力流管道；</w:t>
      </w:r>
    </w:p>
    <w:p w14:paraId="3077629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2.4.2、新建管道避让已建管道；</w:t>
      </w:r>
    </w:p>
    <w:p w14:paraId="1D8DF4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2.4.3、小管径管道避让大管径管道；</w:t>
      </w:r>
    </w:p>
    <w:p w14:paraId="541080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2.4.4、临时性管道避让永久性管道。</w:t>
      </w:r>
    </w:p>
    <w:p w14:paraId="000E1C3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2.5、生活给水及消防管道试验压力按图纸设计要求，管道安装完毕后应进行水压试验。</w:t>
      </w:r>
    </w:p>
    <w:p w14:paraId="7446EAE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2.6、直埋的生活及消防给水管道的埋设深度按图纸设计要求，当塑料管管径≥150㎜时应铺平、夯实。</w:t>
      </w:r>
    </w:p>
    <w:p w14:paraId="3217AE1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2.7、管顶上部500mm以内，不得回填块石、碎石砖和冻土</w:t>
      </w:r>
      <w:r>
        <w:rPr>
          <w:rFonts w:hint="eastAsia" w:ascii="宋体" w:hAnsi="宋体"/>
          <w:color w:val="auto"/>
          <w:sz w:val="24"/>
          <w:szCs w:val="24"/>
          <w:highlight w:val="none"/>
          <w:lang w:eastAsia="zh-CN"/>
        </w:rPr>
        <w:t>块</w:t>
      </w:r>
      <w:r>
        <w:rPr>
          <w:rFonts w:hint="eastAsia" w:ascii="宋体" w:hAnsi="宋体"/>
          <w:color w:val="auto"/>
          <w:sz w:val="24"/>
          <w:szCs w:val="24"/>
          <w:highlight w:val="none"/>
        </w:rPr>
        <w:t>；500mm以上不得集中回填块石、碎石砖、冻土块。污水管道上下部要用</w:t>
      </w:r>
      <w:r>
        <w:rPr>
          <w:rFonts w:hint="eastAsia" w:ascii="宋体" w:hAnsi="宋体"/>
          <w:color w:val="auto"/>
          <w:sz w:val="24"/>
          <w:szCs w:val="24"/>
          <w:highlight w:val="none"/>
          <w:lang w:eastAsia="zh-CN"/>
        </w:rPr>
        <w:t>细砂</w:t>
      </w:r>
      <w:r>
        <w:rPr>
          <w:rFonts w:hint="eastAsia" w:ascii="宋体" w:hAnsi="宋体"/>
          <w:color w:val="auto"/>
          <w:sz w:val="24"/>
          <w:szCs w:val="24"/>
          <w:highlight w:val="none"/>
        </w:rPr>
        <w:t>回填，然后再用细土回填。</w:t>
      </w:r>
    </w:p>
    <w:p w14:paraId="2BDDD5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2.8、沟槽内的回填土应分层夯实。虚填厚度：机械夯实不大于300mm，人工夯实不大于200mm。</w:t>
      </w:r>
    </w:p>
    <w:p w14:paraId="078BCC0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2.9、当给水管敷设在污水管下面时，应采用钢管或钢套管，套管伸出交叉管的长度每边不得小于3.0m，套管两端应采用防水材料封闭。</w:t>
      </w:r>
    </w:p>
    <w:p w14:paraId="7227CB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2.10、排水管道的铺设不得出现无坡、倒坡现象。</w:t>
      </w:r>
    </w:p>
    <w:p w14:paraId="088D46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2.11、两检查井之间的管段的坡度应一致。如有困难时，后段坡度不应小于前段管道坡度。</w:t>
      </w:r>
    </w:p>
    <w:p w14:paraId="400ECC7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2.12、管道附属设施（排水检查井、雨水口、检查井盖、化粪池）的规格及参数要求完全按照图纸说明中要求。</w:t>
      </w:r>
    </w:p>
    <w:p w14:paraId="56D6061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2.13、压力管道试压过程必须在监理全程旁站下完成，在压力管道回填之前必须有监理下发的试压验收单。</w:t>
      </w:r>
    </w:p>
    <w:p w14:paraId="0DB8D70C">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3、本工程应满足但不限于下列规范、标准：</w:t>
      </w:r>
    </w:p>
    <w:p w14:paraId="6D85119B">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3.1、《城市绿化工程施工及验收规范》（CJJ/T82-99）</w:t>
      </w:r>
    </w:p>
    <w:p w14:paraId="680A6270">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3.2、《工程测量规范》（GB50026-2007）</w:t>
      </w:r>
    </w:p>
    <w:p w14:paraId="105305C8">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3.3、《城市园林绿化评价标准》（GB/T 50563-2010）</w:t>
      </w:r>
    </w:p>
    <w:p w14:paraId="6391542C">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3.4、《建筑装饰工程质量验收规范》（GB50210-2013）</w:t>
      </w:r>
    </w:p>
    <w:p w14:paraId="40038297">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3.5、《园林绿化工程施工及验收规范》（CJJ/T82-2012）</w:t>
      </w:r>
    </w:p>
    <w:p w14:paraId="39CE5C24">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3.6、《施工现场临时用电安全技术规范》（JGJ46-2012）</w:t>
      </w:r>
    </w:p>
    <w:p w14:paraId="42B295EA">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3.7、《园林绿化施工规范》（DB4403001/T8-99）</w:t>
      </w:r>
    </w:p>
    <w:p w14:paraId="16484619">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3.8、《园林绿化管养规范》（GB4403001/T6-99）</w:t>
      </w:r>
    </w:p>
    <w:p w14:paraId="7D9BB82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3.9、《建筑机械使用安全技术规程》（JGJ33-2012）</w:t>
      </w:r>
    </w:p>
    <w:p w14:paraId="22059B5D">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3.10、《建筑安装工人安全技术操作规程》</w:t>
      </w:r>
    </w:p>
    <w:p w14:paraId="21AA8646">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3.11、《给水排水管道施工及验收规范》（GB50268-2008）</w:t>
      </w:r>
    </w:p>
    <w:p w14:paraId="00849CB9">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4、国内没有相应标准、规范的，乙方应按甲方要求的时间和技术要求提出施工工艺，经甲方、监理组织有关专家论证认可后执行。</w:t>
      </w:r>
    </w:p>
    <w:p w14:paraId="0DC22614">
      <w:pPr>
        <w:autoSpaceDN w:val="0"/>
        <w:spacing w:line="360" w:lineRule="auto"/>
        <w:jc w:val="left"/>
        <w:rPr>
          <w:rFonts w:hint="eastAsia" w:ascii="宋体"/>
          <w:b/>
          <w:bCs/>
          <w:color w:val="auto"/>
          <w:sz w:val="24"/>
          <w:szCs w:val="24"/>
          <w:highlight w:val="none"/>
        </w:rPr>
      </w:pPr>
      <w:r>
        <w:rPr>
          <w:rFonts w:hint="eastAsia" w:ascii="宋体"/>
          <w:b/>
          <w:bCs/>
          <w:color w:val="auto"/>
          <w:sz w:val="24"/>
          <w:szCs w:val="24"/>
          <w:highlight w:val="none"/>
          <w:lang w:eastAsia="zh-CN"/>
        </w:rPr>
        <w:t>八</w:t>
      </w:r>
      <w:r>
        <w:rPr>
          <w:rFonts w:hint="eastAsia" w:ascii="宋体"/>
          <w:b/>
          <w:bCs/>
          <w:color w:val="auto"/>
          <w:sz w:val="24"/>
          <w:szCs w:val="24"/>
          <w:highlight w:val="none"/>
        </w:rPr>
        <w:t>、质量与验收</w:t>
      </w:r>
    </w:p>
    <w:p w14:paraId="7380845B">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1、工程质量</w:t>
      </w:r>
    </w:p>
    <w:p w14:paraId="5CCC90BE">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1.1、工程质量应当达到合同约定的质量标准，质量标准的评定以现行国家或行业的质量检验评定标准为依据，同时应达到甲方制定的相关质量标准，并符合相关的检查制度。乙方必须充分考虑冬季低气温施工的防护措施，确保工程质量达标，确保苗木成活率，因此造成的质量返工或者苗木补栽均由乙方无条件承担。</w:t>
      </w:r>
    </w:p>
    <w:p w14:paraId="2CBCAB01">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1.2、施工中，凡出现质量不合格的分项工程经甲方、监理单位或政府相关部门提出进行返工的，乙方必须认真执行，并承担由此发生的全部费用，且并不能因此而获得工期延长。</w:t>
      </w:r>
    </w:p>
    <w:p w14:paraId="121DD2F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1.3、双方对工程质量有争议，由双方同意的工程质量检测机构鉴定，所需费用及因此造成的损失，由责任方承担。双方均有责任，由双方根据责任分别承担。</w:t>
      </w:r>
    </w:p>
    <w:p w14:paraId="733BF096">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1.4、景观铺装施工，需先做样板铺装，经甲方确认后方可全面展开施工。</w:t>
      </w:r>
    </w:p>
    <w:p w14:paraId="5A57C579">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1.5、施工过程中，乙方必须服从甲方的监督检查和质量管理，如因质量问题造成返工，返工期间全部费用由乙方负责；</w:t>
      </w:r>
    </w:p>
    <w:p w14:paraId="39C4D1FC">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1.6、乙方应认真按照合同约定的标准、规范和设计图纸要求以及甲方、监理依据合同发出的指令施工，随时接受甲方、监理的检查检验，为检查、检验提供便利条件，并根据要求向甲方及监理提供与工程质量有关的技术资料。</w:t>
      </w:r>
    </w:p>
    <w:p w14:paraId="7010FB2A">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2、检查和返工</w:t>
      </w:r>
    </w:p>
    <w:p w14:paraId="7C65CFC2">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2.1、施工期间乙方必须认真执行甲方及监理单位对工程施工的管理要求。如乙方不能认真完成相关的管理要求，甲方及监理单位将根据情况对乙方下发《整改通知书》，《整改通知书》下发后2天（48小时）内乙方按《整改通知书》要求对工程进行整改，若乙方不能按照《整改通知书》的要求完成工程的整改，则乙方向甲方支付违约金5000元/次，并且赔偿由此对甲方造成的</w:t>
      </w:r>
      <w:r>
        <w:rPr>
          <w:rFonts w:hint="eastAsia" w:ascii="宋体"/>
          <w:color w:val="auto"/>
          <w:sz w:val="24"/>
          <w:szCs w:val="24"/>
          <w:highlight w:val="none"/>
          <w:lang w:val="en-US" w:eastAsia="zh-CN"/>
        </w:rPr>
        <w:t>全部</w:t>
      </w:r>
      <w:r>
        <w:rPr>
          <w:rFonts w:hint="eastAsia" w:ascii="宋体"/>
          <w:color w:val="auto"/>
          <w:sz w:val="24"/>
          <w:szCs w:val="24"/>
          <w:highlight w:val="none"/>
        </w:rPr>
        <w:t>损失。</w:t>
      </w:r>
    </w:p>
    <w:p w14:paraId="47663C0B">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若工程质量达不到约定的标准，甲方、监理工程师一经发现，要求乙方拆除和重新施工，乙方应按甲方、监理工程师要求拆除和重新施工，直到符合约定的标准为止。因乙方原因达不到约定的标准，由乙方承担拆除和重新施工的费用，工期不予以顺延。甲方、监理工程师的检查检验不应影响施工正常进行。若乙方连续整改三次仍达不到要求，甲方有权解除合同，乙方应无条件配合退场。</w:t>
      </w:r>
    </w:p>
    <w:p w14:paraId="4769B75A">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2.3、因甲方、监理工程师指令失误或其他非乙方原因影响乙方施工的，工期可以相应顺延，但须经过甲方、监理工程师签证确认。</w:t>
      </w:r>
    </w:p>
    <w:p w14:paraId="2F607C86">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2.4、乙方在硬景基础施工过程中，应检查载体土质结构并作出判断处理，如最终施工造成铺装面塌陷、下沉、断裂等质量问题，由乙方</w:t>
      </w:r>
      <w:r>
        <w:rPr>
          <w:rFonts w:hint="eastAsia" w:ascii="宋体"/>
          <w:color w:val="auto"/>
          <w:sz w:val="24"/>
          <w:szCs w:val="24"/>
          <w:highlight w:val="none"/>
          <w:lang w:eastAsia="zh-CN"/>
        </w:rPr>
        <w:t>作出</w:t>
      </w:r>
      <w:r>
        <w:rPr>
          <w:rFonts w:hint="eastAsia" w:ascii="宋体"/>
          <w:color w:val="auto"/>
          <w:sz w:val="24"/>
          <w:szCs w:val="24"/>
          <w:highlight w:val="none"/>
        </w:rPr>
        <w:t>返工处理，费用自理。</w:t>
      </w:r>
    </w:p>
    <w:p w14:paraId="48E2A2FC">
      <w:pPr>
        <w:autoSpaceDN w:val="0"/>
        <w:spacing w:line="360" w:lineRule="auto"/>
        <w:rPr>
          <w:rFonts w:hint="eastAsia" w:ascii="宋体"/>
          <w:color w:val="auto"/>
          <w:sz w:val="24"/>
          <w:szCs w:val="24"/>
          <w:highlight w:val="none"/>
        </w:rPr>
      </w:pPr>
      <w:r>
        <w:rPr>
          <w:rFonts w:hint="eastAsia" w:ascii="宋体"/>
          <w:color w:val="auto"/>
          <w:sz w:val="24"/>
          <w:szCs w:val="24"/>
          <w:highlight w:val="none"/>
        </w:rPr>
        <w:t xml:space="preserve">    3、苗木进场验收</w:t>
      </w:r>
    </w:p>
    <w:p w14:paraId="3A5C3CA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3.1、树形确认：乙方每批次所提的绿化苗木材料进场计划清单必须上报至甲方进行审核确认。在向甲方提报材料进场清单的同时，本批次所采购的苗木必须以照片的形式（照片中需显示拍摄日期</w:t>
      </w:r>
      <w:r>
        <w:rPr>
          <w:rFonts w:hint="eastAsia" w:ascii="宋体"/>
          <w:color w:val="auto"/>
          <w:sz w:val="24"/>
          <w:szCs w:val="24"/>
          <w:highlight w:val="none"/>
        </w:rPr>
        <w:t>，尺量规格等相关数据</w:t>
      </w:r>
      <w:r>
        <w:rPr>
          <w:rFonts w:hint="eastAsia" w:ascii="宋体" w:hAnsi="宋体"/>
          <w:color w:val="auto"/>
          <w:sz w:val="24"/>
          <w:highlight w:val="none"/>
        </w:rPr>
        <w:t>）作为附件，一同上报至甲方，</w:t>
      </w:r>
      <w:r>
        <w:rPr>
          <w:rFonts w:hint="eastAsia" w:ascii="宋体"/>
          <w:color w:val="auto"/>
          <w:sz w:val="24"/>
          <w:szCs w:val="24"/>
          <w:highlight w:val="none"/>
        </w:rPr>
        <w:t>特选苗木数量按实际需要数量的1.5-2倍提供选型照片，甲方将进行实地考察或</w:t>
      </w:r>
      <w:r>
        <w:rPr>
          <w:rFonts w:hint="eastAsia" w:ascii="宋体" w:hAnsi="宋体"/>
          <w:color w:val="auto"/>
          <w:sz w:val="24"/>
          <w:highlight w:val="none"/>
        </w:rPr>
        <w:t>对材料的观感进行确认（规格由乙方把控，材料进场时由甲方、监理、施工单位共同参与规格测量验收），观感确认无误后，乙方才能开始实施采购（甲方亲自到现场选购的苗木除外）。若乙方未向甲方提供材料进场清单及相关附件的情况下，乙方私自进行采购，一经发生，无论苗木质量好坏</w:t>
      </w:r>
      <w:r>
        <w:rPr>
          <w:rFonts w:hint="eastAsia" w:ascii="宋体"/>
          <w:color w:val="auto"/>
          <w:sz w:val="24"/>
          <w:szCs w:val="24"/>
          <w:highlight w:val="none"/>
        </w:rPr>
        <w:t>，甲方将不再支付其该批次的材料及其他相关费用。</w:t>
      </w:r>
    </w:p>
    <w:p w14:paraId="3A8A06C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3.2、进场验收</w:t>
      </w:r>
    </w:p>
    <w:p w14:paraId="5F91CE5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3.2.1、整体观察：①树冠：无破坏树形的短截</w:t>
      </w:r>
      <w:r>
        <w:rPr>
          <w:rFonts w:hint="eastAsia" w:ascii="宋体" w:hAnsi="宋体"/>
          <w:color w:val="auto"/>
          <w:sz w:val="24"/>
          <w:highlight w:val="none"/>
          <w:lang w:eastAsia="zh-CN"/>
        </w:rPr>
        <w:t>枝</w:t>
      </w:r>
      <w:r>
        <w:rPr>
          <w:rFonts w:hint="eastAsia" w:ascii="宋体" w:hAnsi="宋体"/>
          <w:color w:val="auto"/>
          <w:sz w:val="24"/>
          <w:highlight w:val="none"/>
        </w:rPr>
        <w:t>，断折枝；银杏、云杉、雪松等圆锥形苗木有完整“树头”；叶片无大量干枯或萎蔫。②树干：无明显机械损伤。③土球：大小符合约定，草绳紧实，不散坨。④病虫害：无明显病虫害。</w:t>
      </w:r>
    </w:p>
    <w:p w14:paraId="543F8DD3">
      <w:pPr>
        <w:spacing w:line="360" w:lineRule="auto"/>
        <w:ind w:firstLine="480" w:firstLineChars="200"/>
        <w:rPr>
          <w:rFonts w:hint="eastAsia" w:ascii="宋体"/>
          <w:color w:val="auto"/>
          <w:sz w:val="24"/>
          <w:szCs w:val="24"/>
          <w:highlight w:val="none"/>
        </w:rPr>
      </w:pPr>
      <w:r>
        <w:rPr>
          <w:rFonts w:hint="eastAsia" w:ascii="宋体" w:hAnsi="宋体"/>
          <w:color w:val="auto"/>
          <w:sz w:val="24"/>
          <w:highlight w:val="none"/>
        </w:rPr>
        <w:t>3.2.2、树形验收：苗木</w:t>
      </w:r>
      <w:r>
        <w:rPr>
          <w:rFonts w:hint="eastAsia" w:ascii="宋体"/>
          <w:color w:val="auto"/>
          <w:sz w:val="24"/>
          <w:szCs w:val="24"/>
          <w:highlight w:val="none"/>
        </w:rPr>
        <w:t>进场时，监理及甲方将对本批次苗木进行检查，</w:t>
      </w:r>
      <w:r>
        <w:rPr>
          <w:rFonts w:hint="eastAsia" w:ascii="宋体" w:hAnsi="宋体"/>
          <w:color w:val="auto"/>
          <w:sz w:val="24"/>
          <w:highlight w:val="none"/>
        </w:rPr>
        <w:t>树形作为苗木是否合格的第一标准，甲方将按照乙方所提供的材料进场计划清单及附件照片作为验收依据进行检查，同一规格或品种不达标的数量不得超出该项苗木总数量的10%，</w:t>
      </w:r>
      <w:r>
        <w:rPr>
          <w:rFonts w:hint="eastAsia" w:ascii="宋体" w:hAnsi="宋体"/>
          <w:color w:val="auto"/>
          <w:kern w:val="0"/>
          <w:sz w:val="24"/>
          <w:highlight w:val="none"/>
        </w:rPr>
        <w:t>经监理、甲方验收合格后方可种植，</w:t>
      </w:r>
      <w:r>
        <w:rPr>
          <w:rFonts w:hint="eastAsia" w:ascii="宋体" w:hAnsi="宋体"/>
          <w:color w:val="auto"/>
          <w:sz w:val="24"/>
          <w:highlight w:val="none"/>
        </w:rPr>
        <w:t>若进场材料与以上资料不符，乙方必须将不合格材料无条件退场，若乙方私自栽植并拒绝更换不合格苗木，一经发生，</w:t>
      </w:r>
      <w:r>
        <w:rPr>
          <w:rFonts w:hint="eastAsia" w:ascii="宋体"/>
          <w:color w:val="auto"/>
          <w:sz w:val="24"/>
          <w:szCs w:val="24"/>
          <w:highlight w:val="none"/>
        </w:rPr>
        <w:t>甲方有权要求乙方退场或</w:t>
      </w:r>
      <w:r>
        <w:rPr>
          <w:rFonts w:hint="eastAsia" w:ascii="宋体" w:hAnsi="宋体"/>
          <w:color w:val="auto"/>
          <w:sz w:val="24"/>
          <w:highlight w:val="none"/>
        </w:rPr>
        <w:t>不合格苗木不计入结算，并且乙方向甲方支付不低于已种植不合格苗木总价10%的违约金。</w:t>
      </w:r>
      <w:r>
        <w:rPr>
          <w:rFonts w:hint="eastAsia" w:ascii="宋体"/>
          <w:color w:val="auto"/>
          <w:sz w:val="24"/>
          <w:szCs w:val="24"/>
          <w:highlight w:val="none"/>
        </w:rPr>
        <w:t>绿化苗木材料进场时，必须附植物检疫证书。</w:t>
      </w:r>
      <w:r>
        <w:rPr>
          <w:rFonts w:hint="eastAsia" w:ascii="宋体" w:hAnsi="宋体"/>
          <w:color w:val="auto"/>
          <w:sz w:val="24"/>
          <w:highlight w:val="none"/>
        </w:rPr>
        <w:t>同一品种不合格的苗木，经二次更换后，若还达不到要求的，乙方向甲方支付5000元的违约金</w:t>
      </w:r>
      <w:r>
        <w:rPr>
          <w:rFonts w:hint="eastAsia" w:ascii="宋体"/>
          <w:color w:val="auto"/>
          <w:sz w:val="24"/>
          <w:szCs w:val="24"/>
          <w:highlight w:val="none"/>
        </w:rPr>
        <w:t>，若对进度造成严重影响，甲方可</w:t>
      </w:r>
      <w:r>
        <w:rPr>
          <w:rFonts w:hint="eastAsia" w:ascii="宋体" w:hAnsi="宋体"/>
          <w:color w:val="auto"/>
          <w:sz w:val="24"/>
          <w:szCs w:val="20"/>
          <w:highlight w:val="none"/>
        </w:rPr>
        <w:t>另外聘请第三方</w:t>
      </w:r>
      <w:r>
        <w:rPr>
          <w:rFonts w:hint="eastAsia" w:ascii="宋体" w:hAnsi="宋体"/>
          <w:color w:val="auto"/>
          <w:sz w:val="24"/>
          <w:szCs w:val="20"/>
          <w:highlight w:val="none"/>
          <w:lang w:eastAsia="zh-CN"/>
        </w:rPr>
        <w:t>实施</w:t>
      </w:r>
      <w:r>
        <w:rPr>
          <w:rFonts w:hint="eastAsia" w:ascii="宋体" w:hAnsi="宋体"/>
          <w:color w:val="auto"/>
          <w:sz w:val="24"/>
          <w:szCs w:val="20"/>
          <w:highlight w:val="none"/>
        </w:rPr>
        <w:t>，所发生一切费用从乙方工程款中双倍扣除</w:t>
      </w:r>
      <w:r>
        <w:rPr>
          <w:rFonts w:hint="eastAsia" w:ascii="宋体"/>
          <w:color w:val="auto"/>
          <w:sz w:val="24"/>
          <w:szCs w:val="24"/>
          <w:highlight w:val="none"/>
        </w:rPr>
        <w:t>。</w:t>
      </w:r>
    </w:p>
    <w:p w14:paraId="2DCE4717">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4、材料进场验收</w:t>
      </w:r>
    </w:p>
    <w:p w14:paraId="059D39D7">
      <w:pPr>
        <w:tabs>
          <w:tab w:val="left" w:pos="579"/>
        </w:tabs>
        <w:autoSpaceDN w:val="0"/>
        <w:spacing w:line="360" w:lineRule="auto"/>
        <w:ind w:firstLine="480"/>
        <w:rPr>
          <w:rFonts w:hint="eastAsia" w:ascii="宋体"/>
          <w:color w:val="auto"/>
          <w:sz w:val="24"/>
          <w:szCs w:val="24"/>
          <w:highlight w:val="none"/>
        </w:rPr>
      </w:pPr>
      <w:r>
        <w:rPr>
          <w:rFonts w:hint="eastAsia" w:ascii="宋体"/>
          <w:color w:val="auto"/>
          <w:sz w:val="24"/>
          <w:szCs w:val="24"/>
          <w:highlight w:val="none"/>
        </w:rPr>
        <w:t>4</w:t>
      </w:r>
      <w:r>
        <w:rPr>
          <w:rFonts w:ascii="宋体"/>
          <w:color w:val="auto"/>
          <w:sz w:val="24"/>
          <w:szCs w:val="24"/>
          <w:highlight w:val="none"/>
        </w:rPr>
        <w:t>.1</w:t>
      </w:r>
      <w:r>
        <w:rPr>
          <w:rFonts w:hint="eastAsia" w:ascii="宋体"/>
          <w:color w:val="auto"/>
          <w:sz w:val="24"/>
          <w:szCs w:val="24"/>
          <w:highlight w:val="none"/>
        </w:rPr>
        <w:t>、材料封样；由乙方自行选择供货商进行采购，</w:t>
      </w:r>
      <w:r>
        <w:rPr>
          <w:rFonts w:hint="eastAsia" w:ascii="宋体"/>
          <w:color w:val="auto"/>
          <w:sz w:val="24"/>
          <w:szCs w:val="24"/>
          <w:highlight w:val="none"/>
          <w:lang w:eastAsia="zh-CN"/>
        </w:rPr>
        <w:t>涉及</w:t>
      </w:r>
      <w:r>
        <w:rPr>
          <w:rFonts w:hint="eastAsia" w:ascii="宋体"/>
          <w:color w:val="auto"/>
          <w:sz w:val="24"/>
          <w:szCs w:val="24"/>
          <w:highlight w:val="none"/>
        </w:rPr>
        <w:t>石材、面砖、防腐木、钢构件等观感的材料，必须在实施采购前，由</w:t>
      </w:r>
      <w:r>
        <w:rPr>
          <w:rFonts w:hint="eastAsia" w:ascii="宋体"/>
          <w:color w:val="auto"/>
          <w:sz w:val="24"/>
          <w:szCs w:val="24"/>
          <w:highlight w:val="none"/>
          <w:lang w:val="en-US" w:eastAsia="zh-CN"/>
        </w:rPr>
        <w:t>乙</w:t>
      </w:r>
      <w:r>
        <w:rPr>
          <w:rFonts w:hint="eastAsia" w:ascii="宋体"/>
          <w:color w:val="auto"/>
          <w:sz w:val="24"/>
          <w:szCs w:val="24"/>
          <w:highlight w:val="none"/>
        </w:rPr>
        <w:t>方按照甲方确认的设计图纸要求注明的颜色、质量、质感、规格、品牌送实物样品和</w:t>
      </w:r>
      <w:r>
        <w:rPr>
          <w:rFonts w:ascii="宋体" w:hAnsi="宋体"/>
          <w:color w:val="auto"/>
          <w:sz w:val="24"/>
          <w:szCs w:val="24"/>
          <w:highlight w:val="none"/>
        </w:rPr>
        <w:t>供应商资料</w:t>
      </w:r>
      <w:r>
        <w:rPr>
          <w:rFonts w:hint="eastAsia" w:ascii="宋体" w:hAnsi="宋体"/>
          <w:color w:val="auto"/>
          <w:sz w:val="24"/>
          <w:szCs w:val="24"/>
          <w:highlight w:val="none"/>
        </w:rPr>
        <w:t>（</w:t>
      </w:r>
      <w:r>
        <w:rPr>
          <w:rFonts w:ascii="宋体" w:hAnsi="宋体"/>
          <w:color w:val="auto"/>
          <w:sz w:val="24"/>
          <w:szCs w:val="24"/>
          <w:highlight w:val="none"/>
        </w:rPr>
        <w:t>包括</w:t>
      </w:r>
      <w:r>
        <w:rPr>
          <w:rFonts w:hint="eastAsia" w:ascii="宋体" w:hAnsi="宋体"/>
          <w:color w:val="auto"/>
          <w:sz w:val="24"/>
          <w:szCs w:val="24"/>
          <w:highlight w:val="none"/>
        </w:rPr>
        <w:t>出厂合格证、</w:t>
      </w:r>
      <w:r>
        <w:rPr>
          <w:rFonts w:ascii="宋体" w:hAnsi="宋体"/>
          <w:color w:val="auto"/>
          <w:sz w:val="24"/>
          <w:szCs w:val="24"/>
          <w:highlight w:val="none"/>
        </w:rPr>
        <w:t>各种质量证明</w:t>
      </w:r>
      <w:r>
        <w:rPr>
          <w:rFonts w:hint="eastAsia" w:ascii="宋体" w:hAnsi="宋体"/>
          <w:color w:val="auto"/>
          <w:sz w:val="24"/>
          <w:szCs w:val="24"/>
          <w:highlight w:val="none"/>
        </w:rPr>
        <w:t>文件</w:t>
      </w:r>
      <w:r>
        <w:rPr>
          <w:rFonts w:ascii="宋体" w:hAnsi="宋体"/>
          <w:color w:val="auto"/>
          <w:sz w:val="24"/>
          <w:szCs w:val="24"/>
          <w:highlight w:val="none"/>
        </w:rPr>
        <w:t>和其他有关技术资料</w:t>
      </w:r>
      <w:r>
        <w:rPr>
          <w:rFonts w:hint="eastAsia" w:ascii="宋体" w:hAnsi="宋体"/>
          <w:color w:val="auto"/>
          <w:sz w:val="24"/>
          <w:szCs w:val="24"/>
          <w:highlight w:val="none"/>
        </w:rPr>
        <w:t>）</w:t>
      </w:r>
      <w:r>
        <w:rPr>
          <w:rFonts w:hint="eastAsia" w:ascii="宋体"/>
          <w:color w:val="auto"/>
          <w:sz w:val="24"/>
          <w:szCs w:val="24"/>
          <w:highlight w:val="none"/>
        </w:rPr>
        <w:t>，报监理、甲方对相关材料进行封样确认后，乙方按甲方确认的实物样板自行采购；按甲方要求需要进行封样的材料，若未进行封样直接使用，我方将不予支付该部分工程款；按甲方要求不需封样的材料，必须符合国标要求或甲方标准化质量要求。</w:t>
      </w:r>
      <w:r>
        <w:rPr>
          <w:rFonts w:hint="eastAsia"/>
          <w:bCs/>
          <w:color w:val="auto"/>
          <w:sz w:val="24"/>
          <w:szCs w:val="24"/>
          <w:highlight w:val="none"/>
        </w:rPr>
        <w:t>使用前应按有关规定进行检验或试验，不合</w:t>
      </w:r>
      <w:r>
        <w:rPr>
          <w:rFonts w:hint="eastAsia" w:ascii="宋体"/>
          <w:color w:val="auto"/>
          <w:sz w:val="24"/>
          <w:szCs w:val="24"/>
          <w:highlight w:val="none"/>
        </w:rPr>
        <w:t>格的不得使用，检验或试验费用由乙方承担。</w:t>
      </w:r>
    </w:p>
    <w:p w14:paraId="7944EBAE">
      <w:pPr>
        <w:tabs>
          <w:tab w:val="left" w:pos="579"/>
        </w:tabs>
        <w:autoSpaceDN w:val="0"/>
        <w:spacing w:line="360" w:lineRule="auto"/>
        <w:ind w:firstLine="480"/>
        <w:rPr>
          <w:rFonts w:hint="eastAsia"/>
          <w:bCs/>
          <w:color w:val="auto"/>
          <w:sz w:val="24"/>
          <w:szCs w:val="24"/>
          <w:highlight w:val="none"/>
        </w:rPr>
      </w:pPr>
      <w:r>
        <w:rPr>
          <w:rFonts w:hint="eastAsia" w:ascii="宋体"/>
          <w:color w:val="auto"/>
          <w:sz w:val="24"/>
          <w:szCs w:val="24"/>
          <w:highlight w:val="none"/>
        </w:rPr>
        <w:t>4.2、进场验收；材料进场时，监理及甲方将对本批次材料进行检查，</w:t>
      </w:r>
      <w:r>
        <w:rPr>
          <w:rFonts w:hint="eastAsia" w:ascii="宋体" w:hAnsi="宋体"/>
          <w:color w:val="auto"/>
          <w:sz w:val="24"/>
          <w:highlight w:val="none"/>
        </w:rPr>
        <w:t>甲方将按照双方确认的实物样板作为验收依据进行检查，</w:t>
      </w:r>
      <w:r>
        <w:rPr>
          <w:rFonts w:hint="eastAsia" w:ascii="宋体" w:hAnsi="宋体"/>
          <w:color w:val="auto"/>
          <w:kern w:val="0"/>
          <w:sz w:val="24"/>
          <w:highlight w:val="none"/>
        </w:rPr>
        <w:t>经监理、甲方验收合格后方可使用，</w:t>
      </w:r>
      <w:r>
        <w:rPr>
          <w:rFonts w:hint="eastAsia" w:ascii="宋体"/>
          <w:color w:val="auto"/>
          <w:sz w:val="24"/>
          <w:szCs w:val="24"/>
          <w:highlight w:val="none"/>
        </w:rPr>
        <w:t>若几何尺寸、平整度、色系与</w:t>
      </w:r>
      <w:r>
        <w:rPr>
          <w:rFonts w:hint="eastAsia" w:ascii="宋体" w:hAnsi="宋体"/>
          <w:color w:val="auto"/>
          <w:sz w:val="24"/>
          <w:highlight w:val="none"/>
        </w:rPr>
        <w:t>实物样板</w:t>
      </w:r>
      <w:r>
        <w:rPr>
          <w:rFonts w:hint="eastAsia" w:ascii="宋体"/>
          <w:color w:val="auto"/>
          <w:sz w:val="24"/>
          <w:szCs w:val="24"/>
          <w:highlight w:val="none"/>
        </w:rPr>
        <w:t>或国标要求不符时，乙方必须将不合格材料无条件退场，若乙方拒绝更换或私自使用不合格材料，一经发生，甲方有权要求乙方退场，并且乙方向甲方支付不合格工程总价10%的违约金。所有材料进场时（除石材外），必须附出厂合格证及相关检测报告。同一种类材料，经二次更换后，若还达不到要求的，乙方向甲方支付不低于5000元/次的违约金，若对进度造成严重影响，甲方可</w:t>
      </w:r>
      <w:r>
        <w:rPr>
          <w:rFonts w:hint="eastAsia" w:ascii="宋体" w:hAnsi="宋体"/>
          <w:color w:val="auto"/>
          <w:sz w:val="24"/>
          <w:szCs w:val="20"/>
          <w:highlight w:val="none"/>
        </w:rPr>
        <w:t>另外聘请第三方</w:t>
      </w:r>
      <w:r>
        <w:rPr>
          <w:rFonts w:hint="eastAsia" w:ascii="宋体" w:hAnsi="宋体"/>
          <w:color w:val="auto"/>
          <w:sz w:val="24"/>
          <w:szCs w:val="20"/>
          <w:highlight w:val="none"/>
          <w:lang w:eastAsia="zh-CN"/>
        </w:rPr>
        <w:t>实施</w:t>
      </w:r>
      <w:r>
        <w:rPr>
          <w:rFonts w:hint="eastAsia" w:ascii="宋体" w:hAnsi="宋体"/>
          <w:color w:val="auto"/>
          <w:sz w:val="24"/>
          <w:szCs w:val="20"/>
          <w:highlight w:val="none"/>
        </w:rPr>
        <w:t>，所发生一切费用从乙方工程款中双倍扣除</w:t>
      </w:r>
      <w:r>
        <w:rPr>
          <w:rFonts w:hint="eastAsia" w:ascii="宋体"/>
          <w:color w:val="auto"/>
          <w:sz w:val="24"/>
          <w:szCs w:val="24"/>
          <w:highlight w:val="none"/>
        </w:rPr>
        <w:t>。</w:t>
      </w:r>
    </w:p>
    <w:p w14:paraId="30A46918">
      <w:pPr>
        <w:tabs>
          <w:tab w:val="left" w:pos="579"/>
        </w:tabs>
        <w:autoSpaceDN w:val="0"/>
        <w:spacing w:line="360" w:lineRule="auto"/>
        <w:ind w:firstLine="480"/>
        <w:rPr>
          <w:rFonts w:hint="eastAsia" w:ascii="宋体"/>
          <w:color w:val="auto"/>
          <w:sz w:val="24"/>
          <w:szCs w:val="24"/>
          <w:highlight w:val="none"/>
        </w:rPr>
      </w:pPr>
      <w:r>
        <w:rPr>
          <w:rFonts w:hint="eastAsia" w:ascii="宋体"/>
          <w:color w:val="auto"/>
          <w:sz w:val="24"/>
          <w:szCs w:val="24"/>
          <w:highlight w:val="none"/>
        </w:rPr>
        <w:t>5、所有材料（包括苗木及各种施工材料）退场时均需经过甲方签字认可后方可出场。</w:t>
      </w:r>
    </w:p>
    <w:p w14:paraId="091B2E1C">
      <w:pPr>
        <w:tabs>
          <w:tab w:val="left" w:pos="579"/>
        </w:tabs>
        <w:autoSpaceDN w:val="0"/>
        <w:spacing w:line="360" w:lineRule="auto"/>
        <w:ind w:firstLine="480"/>
        <w:rPr>
          <w:rFonts w:hint="eastAsia" w:ascii="宋体"/>
          <w:color w:val="auto"/>
          <w:sz w:val="24"/>
          <w:szCs w:val="24"/>
          <w:highlight w:val="none"/>
        </w:rPr>
      </w:pPr>
      <w:r>
        <w:rPr>
          <w:rFonts w:hint="eastAsia" w:ascii="宋体"/>
          <w:color w:val="auto"/>
          <w:sz w:val="24"/>
          <w:szCs w:val="24"/>
          <w:highlight w:val="none"/>
        </w:rPr>
        <w:t>6、隐蔽工程和中间验收</w:t>
      </w:r>
    </w:p>
    <w:p w14:paraId="27F89D4A">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6</w:t>
      </w:r>
      <w:r>
        <w:rPr>
          <w:rFonts w:ascii="宋体"/>
          <w:color w:val="auto"/>
          <w:sz w:val="24"/>
          <w:szCs w:val="24"/>
          <w:highlight w:val="none"/>
        </w:rPr>
        <w:t>.1</w:t>
      </w:r>
      <w:r>
        <w:rPr>
          <w:rFonts w:hint="eastAsia" w:ascii="宋体"/>
          <w:color w:val="auto"/>
          <w:sz w:val="24"/>
          <w:szCs w:val="24"/>
          <w:highlight w:val="none"/>
        </w:rPr>
        <w:t>、双方约定中间验收部位：现行施工验收规范规定的隐蔽工程、分项工程及检验批。</w:t>
      </w:r>
    </w:p>
    <w:p w14:paraId="1F575502">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6.2、工程具备隐蔽验收条件或达到本合同约定的中间验收部位，乙方进行自检，并在隐蔽或中间验收前24小时以书面形式通知监理和甲方验收，通知须包括隐蔽或中间验收的内容，验收时间、地点。乙方施工</w:t>
      </w:r>
      <w:r>
        <w:rPr>
          <w:rFonts w:hint="eastAsia" w:ascii="宋体"/>
          <w:color w:val="auto"/>
          <w:sz w:val="24"/>
          <w:szCs w:val="24"/>
          <w:highlight w:val="none"/>
          <w:lang w:val="en-US" w:eastAsia="zh-CN"/>
        </w:rPr>
        <w:t>人</w:t>
      </w:r>
      <w:r>
        <w:rPr>
          <w:rFonts w:hint="eastAsia" w:ascii="宋体"/>
          <w:color w:val="auto"/>
          <w:sz w:val="24"/>
          <w:szCs w:val="24"/>
          <w:highlight w:val="none"/>
        </w:rPr>
        <w:t>员须全程陪同监理和甲方进行隐蔽验收工作，乙方准备验收记录，经验收合格且监理在验收记录单上签字确认后，乙方才可进行隐蔽和后续施工。一旦验收不合格，乙方须在监理和甲方限定的时间内整改后重新验收。隐蔽工程乙方未经验收擅自隐蔽的，相应工程量甲方不予计量，且根据情节严重性，乙方向甲方支付500-10000元/次的违约金。</w:t>
      </w:r>
    </w:p>
    <w:p w14:paraId="645D2C14">
      <w:pPr>
        <w:autoSpaceDN w:val="0"/>
        <w:spacing w:line="360" w:lineRule="auto"/>
        <w:ind w:firstLine="480" w:firstLineChars="200"/>
        <w:rPr>
          <w:rFonts w:hint="eastAsia" w:ascii="宋体" w:hAnsi="宋体"/>
          <w:color w:val="auto"/>
          <w:sz w:val="24"/>
          <w:szCs w:val="24"/>
          <w:highlight w:val="none"/>
        </w:rPr>
      </w:pPr>
      <w:r>
        <w:rPr>
          <w:rFonts w:hint="eastAsia" w:ascii="宋体"/>
          <w:color w:val="auto"/>
          <w:sz w:val="24"/>
          <w:szCs w:val="24"/>
          <w:highlight w:val="none"/>
        </w:rPr>
        <w:t>6.3、</w:t>
      </w:r>
      <w:r>
        <w:rPr>
          <w:rFonts w:ascii="宋体" w:hAnsi="宋体"/>
          <w:color w:val="auto"/>
          <w:sz w:val="24"/>
          <w:szCs w:val="24"/>
          <w:highlight w:val="none"/>
        </w:rPr>
        <w:t>对于合同定义的关键工序施工完毕后，必须经监理、甲方验收合格并签字后，方可进行下道工序施工，否则甲方暂停支付该部分进度款，直至甲方确认该部分工程合格为止</w:t>
      </w:r>
      <w:r>
        <w:rPr>
          <w:rFonts w:hint="eastAsia" w:ascii="宋体" w:hAnsi="宋体"/>
          <w:color w:val="auto"/>
          <w:sz w:val="24"/>
          <w:szCs w:val="24"/>
          <w:highlight w:val="none"/>
        </w:rPr>
        <w:t>。</w:t>
      </w:r>
    </w:p>
    <w:p w14:paraId="33CB3ACB">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7、竣工验收</w:t>
      </w:r>
    </w:p>
    <w:p w14:paraId="6C3C38A9">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7.1、如果土建、安装工程质量经整改仍无法达到要求的，甲方有权选择按以下方式之一执行：</w:t>
      </w:r>
    </w:p>
    <w:p w14:paraId="0DD054FD">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7.1.1、甲方同意降级接收的，乙方应向甲方支付土建、安装结算总额</w:t>
      </w:r>
      <w:r>
        <w:rPr>
          <w:rFonts w:hint="eastAsia" w:ascii="宋体" w:hAnsi="宋体"/>
          <w:color w:val="auto"/>
          <w:sz w:val="24"/>
          <w:szCs w:val="20"/>
          <w:highlight w:val="none"/>
          <w:lang w:eastAsia="zh-CN"/>
        </w:rPr>
        <w:t>0.5%-2%</w:t>
      </w:r>
      <w:r>
        <w:rPr>
          <w:rFonts w:hint="eastAsia" w:ascii="宋体" w:hAnsi="宋体"/>
          <w:color w:val="auto"/>
          <w:sz w:val="24"/>
          <w:szCs w:val="20"/>
          <w:highlight w:val="none"/>
        </w:rPr>
        <w:t>的违约金。</w:t>
      </w:r>
    </w:p>
    <w:p w14:paraId="281068CA">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7.1.2、甲方不同意接收的，且乙方在</w:t>
      </w:r>
      <w:r>
        <w:rPr>
          <w:rFonts w:hint="eastAsia" w:ascii="宋体" w:hAnsi="宋体"/>
          <w:color w:val="auto"/>
          <w:sz w:val="24"/>
          <w:szCs w:val="20"/>
          <w:highlight w:val="none"/>
          <w:lang w:val="en-US" w:eastAsia="zh-CN"/>
        </w:rPr>
        <w:t>甲方要求</w:t>
      </w:r>
      <w:r>
        <w:rPr>
          <w:rFonts w:hint="eastAsia" w:ascii="宋体" w:hAnsi="宋体"/>
          <w:color w:val="auto"/>
          <w:sz w:val="24"/>
          <w:szCs w:val="20"/>
          <w:highlight w:val="none"/>
        </w:rPr>
        <w:t>日期内没有进行整改的，可以不经乙方同意，由甲方</w:t>
      </w:r>
      <w:r>
        <w:rPr>
          <w:rFonts w:hint="eastAsia" w:ascii="宋体" w:hAnsi="宋体"/>
          <w:color w:val="auto"/>
          <w:sz w:val="24"/>
          <w:szCs w:val="20"/>
          <w:highlight w:val="none"/>
          <w:lang w:val="en-US" w:eastAsia="zh-CN"/>
        </w:rPr>
        <w:t>直接</w:t>
      </w:r>
      <w:r>
        <w:rPr>
          <w:rFonts w:hint="eastAsia" w:ascii="宋体" w:hAnsi="宋体"/>
          <w:color w:val="auto"/>
          <w:sz w:val="24"/>
          <w:szCs w:val="20"/>
          <w:highlight w:val="none"/>
        </w:rPr>
        <w:t>另外聘请第三方</w:t>
      </w:r>
      <w:r>
        <w:rPr>
          <w:rFonts w:hint="eastAsia" w:ascii="宋体" w:hAnsi="宋体"/>
          <w:color w:val="auto"/>
          <w:sz w:val="24"/>
          <w:szCs w:val="20"/>
          <w:highlight w:val="none"/>
          <w:lang w:eastAsia="zh-CN"/>
        </w:rPr>
        <w:t>实施</w:t>
      </w:r>
      <w:r>
        <w:rPr>
          <w:rFonts w:hint="eastAsia" w:ascii="宋体" w:hAnsi="宋体"/>
          <w:color w:val="auto"/>
          <w:sz w:val="24"/>
          <w:szCs w:val="20"/>
          <w:highlight w:val="none"/>
        </w:rPr>
        <w:t>，所产生的一切费用由乙方支付，且乙方不得对所产生的费用有任何</w:t>
      </w:r>
      <w:r>
        <w:rPr>
          <w:rFonts w:hint="eastAsia" w:ascii="宋体" w:hAnsi="宋体"/>
          <w:color w:val="auto"/>
          <w:sz w:val="24"/>
          <w:szCs w:val="20"/>
          <w:highlight w:val="none"/>
          <w:lang w:eastAsia="zh-CN"/>
        </w:rPr>
        <w:t>异议</w:t>
      </w:r>
      <w:r>
        <w:rPr>
          <w:rFonts w:hint="eastAsia" w:ascii="宋体" w:hAnsi="宋体"/>
          <w:color w:val="auto"/>
          <w:sz w:val="24"/>
          <w:szCs w:val="20"/>
          <w:highlight w:val="none"/>
        </w:rPr>
        <w:t>，因此造成的一切损失全部由乙方负责。</w:t>
      </w:r>
      <w:r>
        <w:rPr>
          <w:rFonts w:hint="eastAsia" w:ascii="宋体" w:hAnsi="宋体"/>
          <w:color w:val="auto"/>
          <w:sz w:val="24"/>
          <w:szCs w:val="20"/>
          <w:highlight w:val="none"/>
          <w:lang w:val="en-US" w:eastAsia="zh-CN"/>
        </w:rPr>
        <w:t>该费用和损失，甲方可直接从乙方工程款中扣除。</w:t>
      </w:r>
    </w:p>
    <w:p w14:paraId="6DC986F9">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7.2、苗木绿化验收原则</w:t>
      </w:r>
    </w:p>
    <w:p w14:paraId="72B04DBC">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7.2.1、以树形效果为主，胸径/地径、高度、冠幅的主次顺序为冠幅（占比50%）-</w:t>
      </w:r>
      <w:r>
        <w:rPr>
          <w:rFonts w:hint="eastAsia" w:ascii="宋体" w:hAnsi="宋体"/>
          <w:color w:val="auto"/>
          <w:sz w:val="24"/>
          <w:szCs w:val="20"/>
          <w:highlight w:val="none"/>
          <w:lang w:eastAsia="zh-CN"/>
        </w:rPr>
        <w:t>－</w:t>
      </w:r>
      <w:r>
        <w:rPr>
          <w:rFonts w:hint="eastAsia" w:ascii="宋体" w:hAnsi="宋体"/>
          <w:color w:val="auto"/>
          <w:sz w:val="24"/>
          <w:szCs w:val="20"/>
          <w:highlight w:val="none"/>
        </w:rPr>
        <w:t>高度（占比30%）-</w:t>
      </w:r>
      <w:r>
        <w:rPr>
          <w:rFonts w:hint="eastAsia" w:ascii="宋体" w:hAnsi="宋体"/>
          <w:color w:val="auto"/>
          <w:sz w:val="24"/>
          <w:szCs w:val="20"/>
          <w:highlight w:val="none"/>
          <w:lang w:eastAsia="zh-CN"/>
        </w:rPr>
        <w:t>－</w:t>
      </w:r>
      <w:r>
        <w:rPr>
          <w:rFonts w:hint="eastAsia" w:ascii="宋体" w:hAnsi="宋体"/>
          <w:color w:val="auto"/>
          <w:sz w:val="24"/>
          <w:szCs w:val="20"/>
          <w:highlight w:val="none"/>
        </w:rPr>
        <w:t>胸径/地径（占比20%）；如树形效果达到要求，但规格不足的折价处理，乙方对折价不满意的可以更换至达到合同规格为止，如树形效果达不到效果要求的，要求乙方更换至符合合同要求为止。</w:t>
      </w:r>
    </w:p>
    <w:p w14:paraId="5183CAB0">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7.2.2、在树形效果合格的前提下，苗木胸径/地径、冠幅、高度、净杆高的允许偏差范围应符合附图的要求，在胸径/地径、高度、冠幅均在允许偏差规格范围内的情况下，按合同综合单价执行。附图：植物材料规格允许偏差范围（图1）</w:t>
      </w:r>
    </w:p>
    <w:p w14:paraId="5DEA735D">
      <w:pPr>
        <w:spacing w:line="360" w:lineRule="auto"/>
        <w:jc w:val="center"/>
        <w:rPr>
          <w:rFonts w:hint="eastAsia" w:ascii="宋体" w:hAnsi="宋体"/>
          <w:color w:val="auto"/>
          <w:sz w:val="24"/>
          <w:szCs w:val="20"/>
          <w:highlight w:val="none"/>
        </w:rPr>
      </w:pPr>
      <w:r>
        <w:rPr>
          <w:color w:val="auto"/>
          <w:highlight w:val="none"/>
        </w:rPr>
        <w:drawing>
          <wp:inline distT="0" distB="0" distL="114300" distR="114300">
            <wp:extent cx="5758180" cy="3322955"/>
            <wp:effectExtent l="0" t="0" r="1397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758180" cy="3322955"/>
                    </a:xfrm>
                    <a:prstGeom prst="rect">
                      <a:avLst/>
                    </a:prstGeom>
                    <a:noFill/>
                    <a:ln>
                      <a:noFill/>
                    </a:ln>
                  </pic:spPr>
                </pic:pic>
              </a:graphicData>
            </a:graphic>
          </wp:inline>
        </w:drawing>
      </w:r>
    </w:p>
    <w:p w14:paraId="05C579EA">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7.2.3、在树形效果合格的前提下，胸径/地径、高度、冠幅中的两项均不满足合同（设计）要求时，按合同7.2.6款进行折价。</w:t>
      </w:r>
    </w:p>
    <w:p w14:paraId="550124C6">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7.2.4、如果3种规格均满足合同要求，但树形效果较差的应更换苗木至达到效果要求为止；否则不计入结算。</w:t>
      </w:r>
    </w:p>
    <w:p w14:paraId="438B9B99">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7.2.5、当现场实际苗木的胸径/地径、高度、冠幅规格偏差同时超过设计规格的20%时，直接退场。</w:t>
      </w:r>
    </w:p>
    <w:p w14:paraId="22E6CACE">
      <w:pPr>
        <w:spacing w:line="360" w:lineRule="auto"/>
        <w:ind w:firstLine="458" w:firstLineChars="191"/>
        <w:rPr>
          <w:rFonts w:hint="eastAsia" w:ascii="宋体" w:hAnsi="宋体"/>
          <w:color w:val="auto"/>
          <w:sz w:val="24"/>
          <w:szCs w:val="20"/>
          <w:highlight w:val="none"/>
        </w:rPr>
      </w:pPr>
      <w:r>
        <w:rPr>
          <w:rFonts w:hint="eastAsia" w:ascii="宋体" w:hAnsi="宋体"/>
          <w:color w:val="auto"/>
          <w:sz w:val="24"/>
          <w:szCs w:val="20"/>
          <w:highlight w:val="none"/>
        </w:rPr>
        <w:t>7.2.6、若现场苗木规格超出允许偏差规格范围，但树形效果达到甲方要求，若甲方同意降级接收的，则结算价格=（现场实际苗木冠幅/设计苗木冠幅*50%+现场实际苗木高度/设计苗木高度*30%+现场实际苗木胸径（地径）/设计苗木胸径（地径）*20%）*综合单价*85%。如设计大叶女贞规格¢20、H7.0、P4.0，综合单价5000元，现场实际规格¢18、H6.8、P3.5，则结算价格=（18/20*20%+6.8/7.0*30%+3.5/4.0*50%）*5000*85%=3862元。</w:t>
      </w:r>
    </w:p>
    <w:p w14:paraId="7B8811AF">
      <w:pPr>
        <w:spacing w:line="360" w:lineRule="auto"/>
        <w:ind w:firstLine="480" w:firstLineChars="200"/>
        <w:jc w:val="left"/>
        <w:rPr>
          <w:rFonts w:hint="eastAsia" w:ascii="宋体" w:hAnsi="宋体"/>
          <w:color w:val="auto"/>
          <w:sz w:val="24"/>
          <w:szCs w:val="20"/>
          <w:highlight w:val="none"/>
        </w:rPr>
      </w:pPr>
      <w:r>
        <w:rPr>
          <w:rFonts w:hint="eastAsia" w:ascii="宋体" w:hAnsi="宋体"/>
          <w:color w:val="auto"/>
          <w:sz w:val="24"/>
          <w:szCs w:val="20"/>
          <w:highlight w:val="none"/>
        </w:rPr>
        <w:t>7.2.7、丛生类苗木（除丛生特大乔木外）在不标注地径的情况下，按地径合格计算，高度、冠幅作为衡量丛生类苗木（除丛生特大乔木外）的标准。如：设计紫荆规格为H3.0、 P2.0，综合单价450元，现场实际规格H2.5、P1.8，则结算价格=（1*20%+2.5/3.0*30%+1.8/2.0*50%）*450*85%=344元。</w:t>
      </w:r>
    </w:p>
    <w:p w14:paraId="05DCE7A0">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7.2.8、</w:t>
      </w:r>
      <w:r>
        <w:rPr>
          <w:rFonts w:hint="eastAsia" w:ascii="宋体"/>
          <w:color w:val="auto"/>
          <w:sz w:val="24"/>
          <w:szCs w:val="24"/>
          <w:highlight w:val="none"/>
        </w:rPr>
        <w:t>对影响效果的重点部位苗木必须全冠成活，组团内不影响效果的苗木如未全冠成活，根据效果由甲方进行折价。</w:t>
      </w:r>
    </w:p>
    <w:p w14:paraId="164FFFAF">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7.2.9、若根据7.2.6款和7.2.7款计算后，有明显不符合市场价和合同要求的情况时，根据实际情况由甲方进行折价。</w:t>
      </w:r>
    </w:p>
    <w:p w14:paraId="6C24603D">
      <w:pPr>
        <w:spacing w:line="360" w:lineRule="auto"/>
        <w:ind w:firstLine="480" w:firstLineChars="200"/>
        <w:rPr>
          <w:rFonts w:hint="eastAsia" w:ascii="宋体" w:hAnsi="宋体"/>
          <w:color w:val="auto"/>
          <w:sz w:val="24"/>
          <w:szCs w:val="20"/>
          <w:highlight w:val="none"/>
        </w:rPr>
      </w:pPr>
      <w:r>
        <w:rPr>
          <w:rFonts w:hint="eastAsia" w:ascii="宋体" w:hAnsi="宋体"/>
          <w:color w:val="auto"/>
          <w:sz w:val="24"/>
          <w:szCs w:val="20"/>
          <w:highlight w:val="none"/>
        </w:rPr>
        <w:t>7.2.10、综合单价超过10000元的苗木，先按以上公式进行计算，若不符合市场价，则由甲方进行折价。</w:t>
      </w:r>
    </w:p>
    <w:p w14:paraId="3753F73D">
      <w:pPr>
        <w:tabs>
          <w:tab w:val="left" w:pos="52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8、工程竣工验收应以施工图纸、说明书，图纸会审记录、有关变更增减的书面文件、国家颁发的施工及验收规范和质量检验标准为依据。在进行竣工验收时，乙方应向甲方提供中间交工验收纪录、隐蔽验收工程纪录和所有材料及构件合格证书、产地证明等有关材料以及所有工程的竣工图纸。</w:t>
      </w:r>
    </w:p>
    <w:p w14:paraId="1FC7F6E4">
      <w:pPr>
        <w:tabs>
          <w:tab w:val="left" w:pos="52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9、工程（包括单项工程）完工后五日内，由乙方通知甲方进行验收，并应按期验收完毕。工程质量及工程内容符合要求的，双方在《竣工工程验收证明书》上签章，乙方将全部有效的技术档案资料向甲方移交。如工程质量不合格或工程内容尚未完成，乙方应在约定的期限内进行返修或补建，直至达到符合标准和要求为止，因此逾期竣工所产生的一切费用和责任均由乙方承担。</w:t>
      </w:r>
    </w:p>
    <w:p w14:paraId="7681DF05">
      <w:pPr>
        <w:tabs>
          <w:tab w:val="left" w:pos="52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10、工程竣工后，乙方应编制竣工资料。乙方向甲方提交符合</w:t>
      </w:r>
      <w:r>
        <w:rPr>
          <w:rFonts w:hint="eastAsia" w:ascii="宋体" w:hAnsi="宋体"/>
          <w:color w:val="auto"/>
          <w:sz w:val="24"/>
          <w:szCs w:val="24"/>
          <w:highlight w:val="none"/>
          <w:u w:val="single"/>
        </w:rPr>
        <w:t>洛阳</w:t>
      </w:r>
      <w:r>
        <w:rPr>
          <w:rFonts w:hint="eastAsia" w:ascii="宋体" w:hAnsi="宋体"/>
          <w:color w:val="auto"/>
          <w:sz w:val="24"/>
          <w:szCs w:val="24"/>
          <w:highlight w:val="none"/>
        </w:rPr>
        <w:t>市相关要求的竣工资料、竣工图纸各肆套。</w:t>
      </w:r>
    </w:p>
    <w:p w14:paraId="14DA6047">
      <w:pPr>
        <w:autoSpaceDN w:val="0"/>
        <w:spacing w:line="360" w:lineRule="auto"/>
        <w:rPr>
          <w:rFonts w:hint="eastAsia" w:ascii="宋体"/>
          <w:b/>
          <w:bCs/>
          <w:color w:val="auto"/>
          <w:sz w:val="24"/>
          <w:szCs w:val="24"/>
          <w:highlight w:val="none"/>
        </w:rPr>
      </w:pPr>
      <w:r>
        <w:rPr>
          <w:rFonts w:hint="eastAsia" w:ascii="宋体"/>
          <w:b/>
          <w:bCs/>
          <w:color w:val="auto"/>
          <w:sz w:val="24"/>
          <w:szCs w:val="24"/>
          <w:highlight w:val="none"/>
          <w:lang w:val="en-US" w:eastAsia="zh-CN"/>
        </w:rPr>
        <w:t>九</w:t>
      </w:r>
      <w:r>
        <w:rPr>
          <w:rFonts w:hint="eastAsia" w:ascii="宋体"/>
          <w:b/>
          <w:bCs/>
          <w:color w:val="auto"/>
          <w:sz w:val="24"/>
          <w:szCs w:val="24"/>
          <w:highlight w:val="none"/>
        </w:rPr>
        <w:t>、</w:t>
      </w:r>
      <w:r>
        <w:rPr>
          <w:rFonts w:hint="eastAsia" w:ascii="宋体" w:hAnsi="宋体"/>
          <w:b/>
          <w:bCs/>
          <w:color w:val="auto"/>
          <w:sz w:val="24"/>
          <w:szCs w:val="24"/>
          <w:highlight w:val="none"/>
        </w:rPr>
        <w:t>设备、材料采购及试验</w:t>
      </w:r>
    </w:p>
    <w:p w14:paraId="4B520E45">
      <w:pPr>
        <w:pStyle w:val="17"/>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14:paraId="582C6BA2">
      <w:pPr>
        <w:pStyle w:val="17"/>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14:paraId="176C28F8">
      <w:pPr>
        <w:pStyle w:val="17"/>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14:paraId="33D24CC8">
      <w:pPr>
        <w:pStyle w:val="17"/>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14:paraId="1EA80172">
      <w:pPr>
        <w:pStyle w:val="17"/>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5、主要材料品牌约定详见附件《</w:t>
      </w:r>
      <w:r>
        <w:rPr>
          <w:rFonts w:hint="eastAsia" w:asciiTheme="minorEastAsia" w:hAnsiTheme="minorEastAsia" w:eastAsiaTheme="minorEastAsia" w:cstheme="minorEastAsia"/>
          <w:color w:val="auto"/>
          <w:sz w:val="24"/>
          <w:szCs w:val="24"/>
          <w:highlight w:val="none"/>
          <w:lang w:eastAsia="zh-CN"/>
        </w:rPr>
        <w:t>价格清单</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14:paraId="5832D191">
      <w:pPr>
        <w:pStyle w:val="17"/>
        <w:autoSpaceDN/>
        <w:spacing w:line="240" w:lineRule="auto"/>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6、乙方确保随货提供的检测报告、合格证的真实性，否则，乙方应对所供产品符合合同约定承担证明责任。</w:t>
      </w:r>
    </w:p>
    <w:p w14:paraId="5D7FB6AA">
      <w:pPr>
        <w:pStyle w:val="17"/>
        <w:autoSpaceDN w:val="0"/>
        <w:spacing w:line="360" w:lineRule="auto"/>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、消防室外给水管采用埋地敷设，覆土厚度不小于700mm，管材采用钢丝网骨架塑料复合给水管，电熔连接。</w:t>
      </w:r>
    </w:p>
    <w:p w14:paraId="59CF97DB">
      <w:pPr>
        <w:autoSpaceDN w:val="0"/>
        <w:spacing w:line="360" w:lineRule="auto"/>
        <w:ind w:firstLine="480" w:firstLineChars="200"/>
        <w:rPr>
          <w:rFonts w:ascii="宋体"/>
          <w:color w:val="auto"/>
          <w:szCs w:val="24"/>
          <w:highlight w:val="none"/>
        </w:rPr>
      </w:pPr>
      <w:r>
        <w:rPr>
          <w:rFonts w:hint="eastAsia" w:ascii="宋体"/>
          <w:color w:val="auto"/>
          <w:szCs w:val="24"/>
          <w:highlight w:val="none"/>
          <w:lang w:val="en-US" w:eastAsia="zh-CN"/>
        </w:rPr>
        <w:t>8</w:t>
      </w:r>
      <w:r>
        <w:rPr>
          <w:rFonts w:hint="eastAsia" w:ascii="宋体"/>
          <w:color w:val="auto"/>
          <w:szCs w:val="24"/>
          <w:highlight w:val="none"/>
        </w:rPr>
        <w:t>、废水管道采用焊接钢管，外做防腐工艺。</w:t>
      </w:r>
    </w:p>
    <w:p w14:paraId="5CD6D791">
      <w:pPr>
        <w:autoSpaceDN w:val="0"/>
        <w:spacing w:line="360" w:lineRule="auto"/>
        <w:ind w:firstLine="480" w:firstLineChars="200"/>
        <w:rPr>
          <w:rFonts w:hint="eastAsia" w:ascii="宋体"/>
          <w:color w:val="auto"/>
          <w:szCs w:val="24"/>
          <w:highlight w:val="none"/>
        </w:rPr>
      </w:pPr>
      <w:r>
        <w:rPr>
          <w:rFonts w:hint="eastAsia" w:ascii="宋体"/>
          <w:color w:val="auto"/>
          <w:szCs w:val="24"/>
          <w:highlight w:val="none"/>
          <w:lang w:val="en-US" w:eastAsia="zh-CN"/>
        </w:rPr>
        <w:t>9</w:t>
      </w:r>
      <w:r>
        <w:rPr>
          <w:rFonts w:hint="eastAsia" w:ascii="宋体"/>
          <w:color w:val="auto"/>
          <w:szCs w:val="24"/>
          <w:highlight w:val="none"/>
        </w:rPr>
        <w:t>、污水管、雨水管采用双壁波纹管（PE管、环刚度S8系列），管道接口用弹性密封橡胶圈，管道接口及基础见05YS7/7</w:t>
      </w:r>
      <w:r>
        <w:rPr>
          <w:rFonts w:hint="eastAsia" w:ascii="宋体"/>
          <w:color w:val="auto"/>
          <w:szCs w:val="24"/>
          <w:highlight w:val="none"/>
          <w:lang w:eastAsia="zh-CN"/>
        </w:rPr>
        <w:t>。</w:t>
      </w:r>
    </w:p>
    <w:p w14:paraId="09F5B154">
      <w:pPr>
        <w:autoSpaceDN w:val="0"/>
        <w:spacing w:line="360" w:lineRule="auto"/>
        <w:ind w:firstLine="480" w:firstLineChars="200"/>
        <w:rPr>
          <w:rFonts w:ascii="宋体"/>
          <w:color w:val="auto"/>
          <w:szCs w:val="24"/>
          <w:highlight w:val="none"/>
        </w:rPr>
      </w:pPr>
      <w:r>
        <w:rPr>
          <w:rFonts w:hint="eastAsia" w:ascii="宋体"/>
          <w:color w:val="auto"/>
          <w:szCs w:val="24"/>
          <w:highlight w:val="none"/>
          <w:lang w:val="en-US" w:eastAsia="zh-CN"/>
        </w:rPr>
        <w:t>10</w:t>
      </w:r>
      <w:r>
        <w:rPr>
          <w:rFonts w:hint="eastAsia" w:ascii="宋体"/>
          <w:color w:val="auto"/>
          <w:szCs w:val="24"/>
          <w:highlight w:val="none"/>
        </w:rPr>
        <w:t>、所有给水阀门均采用蝶阀，按图纸设计要求；室外地下式消火栓采用SA100/65型（支管浅装），详见 05YS4/6。</w:t>
      </w:r>
    </w:p>
    <w:p w14:paraId="197D2B49">
      <w:pPr>
        <w:autoSpaceDN w:val="0"/>
        <w:spacing w:line="360" w:lineRule="auto"/>
        <w:ind w:firstLine="480" w:firstLineChars="200"/>
        <w:rPr>
          <w:rFonts w:ascii="宋体"/>
          <w:color w:val="auto"/>
          <w:szCs w:val="24"/>
          <w:highlight w:val="none"/>
        </w:rPr>
      </w:pPr>
      <w:r>
        <w:rPr>
          <w:rFonts w:hint="eastAsia" w:ascii="宋体"/>
          <w:color w:val="auto"/>
          <w:szCs w:val="24"/>
          <w:highlight w:val="none"/>
          <w:lang w:val="en-US" w:eastAsia="zh-CN"/>
        </w:rPr>
        <w:t>11</w:t>
      </w:r>
      <w:r>
        <w:rPr>
          <w:rFonts w:hint="eastAsia" w:ascii="宋体"/>
          <w:color w:val="auto"/>
          <w:szCs w:val="24"/>
          <w:highlight w:val="none"/>
        </w:rPr>
        <w:t>、化粪池由乙方负责采购及安装，排水量按给水量的85%计算，化粪池按“污水停留时间12小时，清掏周期90天”选用，统一考虑高效生物化粪池，玻璃钢材质。</w:t>
      </w:r>
    </w:p>
    <w:p w14:paraId="1C89D43A">
      <w:pPr>
        <w:autoSpaceDN w:val="0"/>
        <w:spacing w:line="360" w:lineRule="auto"/>
        <w:ind w:firstLine="480" w:firstLineChars="200"/>
        <w:rPr>
          <w:rFonts w:ascii="宋体"/>
          <w:color w:val="auto"/>
          <w:szCs w:val="24"/>
          <w:highlight w:val="none"/>
        </w:rPr>
      </w:pPr>
      <w:r>
        <w:rPr>
          <w:rFonts w:hint="eastAsia" w:ascii="宋体"/>
          <w:color w:val="auto"/>
          <w:szCs w:val="24"/>
          <w:highlight w:val="none"/>
        </w:rPr>
        <w:t>1</w:t>
      </w:r>
      <w:r>
        <w:rPr>
          <w:rFonts w:hint="eastAsia" w:ascii="宋体"/>
          <w:color w:val="auto"/>
          <w:szCs w:val="24"/>
          <w:highlight w:val="none"/>
          <w:lang w:val="en-US" w:eastAsia="zh-CN"/>
        </w:rPr>
        <w:t>2</w:t>
      </w:r>
      <w:r>
        <w:rPr>
          <w:rFonts w:hint="eastAsia" w:ascii="宋体"/>
          <w:color w:val="auto"/>
          <w:szCs w:val="24"/>
          <w:highlight w:val="none"/>
        </w:rPr>
        <w:t>、在合同签订后，乙方应将所使用管材截取样品作为甲方及监理方验收产品材质的依据。</w:t>
      </w:r>
    </w:p>
    <w:p w14:paraId="78F4B9AF">
      <w:pPr>
        <w:autoSpaceDN w:val="0"/>
        <w:spacing w:line="360" w:lineRule="auto"/>
        <w:ind w:firstLine="480" w:firstLineChars="200"/>
        <w:rPr>
          <w:rFonts w:hint="eastAsia" w:ascii="宋体"/>
          <w:color w:val="auto"/>
          <w:szCs w:val="24"/>
          <w:highlight w:val="none"/>
        </w:rPr>
      </w:pPr>
      <w:r>
        <w:rPr>
          <w:rFonts w:hint="eastAsia" w:ascii="宋体"/>
          <w:color w:val="auto"/>
          <w:szCs w:val="24"/>
          <w:highlight w:val="none"/>
        </w:rPr>
        <w:t>1</w:t>
      </w:r>
      <w:r>
        <w:rPr>
          <w:rFonts w:hint="eastAsia" w:ascii="宋体"/>
          <w:color w:val="auto"/>
          <w:szCs w:val="24"/>
          <w:highlight w:val="none"/>
          <w:lang w:val="en-US" w:eastAsia="zh-CN"/>
        </w:rPr>
        <w:t>3</w:t>
      </w:r>
      <w:r>
        <w:rPr>
          <w:rFonts w:hint="eastAsia" w:ascii="宋体"/>
          <w:color w:val="auto"/>
          <w:szCs w:val="24"/>
          <w:highlight w:val="none"/>
        </w:rPr>
        <w:t>、凡由乙方采购的材料如不符合质量要求或规格有差异，应禁止使用。若已使用，对工程造成的损失由乙方负责。</w:t>
      </w:r>
    </w:p>
    <w:p w14:paraId="22C70EC7">
      <w:pPr>
        <w:pStyle w:val="17"/>
        <w:ind w:firstLine="0" w:firstLineChars="0"/>
        <w:rPr>
          <w:rFonts w:hint="eastAsia"/>
        </w:rPr>
      </w:pPr>
      <w:r>
        <w:rPr>
          <w:rFonts w:hint="eastAsia" w:ascii="宋体"/>
          <w:color w:val="auto"/>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rPr>
        <w:t>乙方确保随货提供的检测报告、合格证的真实性，否则，乙方应对所供产品符合合同约定承担证明责任。</w:t>
      </w:r>
    </w:p>
    <w:p w14:paraId="4E7C7C5C">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十</w:t>
      </w:r>
      <w:r>
        <w:rPr>
          <w:rFonts w:hint="eastAsia" w:ascii="宋体" w:hAnsi="宋体" w:cs="宋体"/>
          <w:color w:val="auto"/>
          <w:sz w:val="24"/>
          <w:szCs w:val="24"/>
          <w:highlight w:val="none"/>
        </w:rPr>
        <w:t>、现场安全文明施工及管理要求</w:t>
      </w:r>
    </w:p>
    <w:p w14:paraId="174BF8ED">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乙方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119C87E1">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2、乙方及乙方施工人员在现场包括但不限于因用水、用电、高空作业、使用机器发生伤亡事故的，其经济责任、法律责任和其他民事责任均由乙方负责。</w:t>
      </w:r>
    </w:p>
    <w:p w14:paraId="1932A1FE">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0C952CA3">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14:paraId="66A9E1B2">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5、乙方应加强对现场施工人员的教育。施工现场严禁酗酒、打架斗殴、赌博和其他违法违章现象，每发现一次，乙方按2000元/次向甲方支付违约金。</w:t>
      </w:r>
    </w:p>
    <w:p w14:paraId="48389E93">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7D867166">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7、乙方需遵守甲方、监理及总承包单位的相关安全规程制度，否则按相关制度进行处罚。</w:t>
      </w:r>
    </w:p>
    <w:p w14:paraId="3B8D587B">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8、乙方在施工中要服从甲方及监理人员的统一指挥，做好防尘防噪措施，各项措施和管理达到洛阳市文明建设的有关规定。现场施工实行工完场清制度，垃圾及时清运出场。</w:t>
      </w:r>
    </w:p>
    <w:p w14:paraId="02309E9E">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9、乙方应保证施工现场的卫生标准、噪声标准等指标满足国家、地方的有关规定。施工中因乙方违反规定造成的损失和发生的费用（若主管部门罚款）均由乙方承担。</w:t>
      </w:r>
    </w:p>
    <w:p w14:paraId="60CB85C3">
      <w:pPr>
        <w:autoSpaceDN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10、施工过程中如发生扰民或民扰，由乙方与甲方协调解决，费用乙方承担。</w:t>
      </w:r>
    </w:p>
    <w:p w14:paraId="57B67E6D">
      <w:pPr>
        <w:autoSpaceDN w:val="0"/>
        <w:spacing w:line="360" w:lineRule="auto"/>
        <w:ind w:firstLine="480" w:firstLineChars="200"/>
        <w:rPr>
          <w:rFonts w:hint="eastAsia" w:ascii="宋体"/>
          <w:color w:val="auto"/>
          <w:sz w:val="24"/>
          <w:szCs w:val="24"/>
          <w:highlight w:val="none"/>
        </w:rPr>
      </w:pPr>
      <w:r>
        <w:rPr>
          <w:rFonts w:hint="eastAsia" w:ascii="宋体" w:hAnsi="宋体" w:cs="宋体"/>
          <w:color w:val="auto"/>
          <w:sz w:val="24"/>
          <w:szCs w:val="24"/>
          <w:highlight w:val="none"/>
        </w:rPr>
        <w:t>11、安全文明施工标准应符合《浩德地产安全文明措施标准化手册2022版》的相关要求。</w:t>
      </w:r>
    </w:p>
    <w:p w14:paraId="2D053F68">
      <w:pPr>
        <w:tabs>
          <w:tab w:val="left" w:pos="0"/>
        </w:tabs>
        <w:kinsoku w:val="0"/>
        <w:wordWrap w:val="0"/>
        <w:topLinePunct/>
        <w:autoSpaceDE w:val="0"/>
        <w:spacing w:line="360" w:lineRule="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十</w:t>
      </w:r>
      <w:r>
        <w:rPr>
          <w:rFonts w:hint="eastAsia" w:ascii="宋体" w:hAnsi="宋体" w:cs="宋体"/>
          <w:b/>
          <w:bCs/>
          <w:color w:val="auto"/>
          <w:szCs w:val="24"/>
          <w:highlight w:val="none"/>
          <w:lang w:val="en-US" w:eastAsia="zh-CN"/>
        </w:rPr>
        <w:t>一</w:t>
      </w:r>
      <w:r>
        <w:rPr>
          <w:rFonts w:hint="eastAsia" w:ascii="宋体" w:hAnsi="宋体" w:eastAsia="宋体" w:cs="宋体"/>
          <w:b/>
          <w:bCs/>
          <w:color w:val="auto"/>
          <w:szCs w:val="24"/>
          <w:highlight w:val="none"/>
        </w:rPr>
        <w:t>、工程变更、签证</w:t>
      </w:r>
    </w:p>
    <w:p w14:paraId="09C3E83B">
      <w:pPr>
        <w:spacing w:line="360" w:lineRule="auto"/>
        <w:ind w:firstLine="480" w:firstLineChars="200"/>
        <w:rPr>
          <w:rFonts w:hint="eastAsia" w:ascii="宋体" w:hAnsi="宋体"/>
          <w:color w:val="auto"/>
          <w:highlight w:val="none"/>
        </w:rPr>
      </w:pPr>
      <w:r>
        <w:rPr>
          <w:rFonts w:hint="eastAsia" w:ascii="宋体" w:hAnsi="宋体"/>
          <w:color w:val="auto"/>
          <w:highlight w:val="none"/>
        </w:rPr>
        <w:t>1、乙方应严格按照经甲方审核签认的施工图纸施工，不得随意变更；若确需变更，应按程序报甲方书面同意后，方可变更施工，否则造成的一切后果及责任均由乙方负责。</w:t>
      </w:r>
    </w:p>
    <w:p w14:paraId="054F1812">
      <w:pPr>
        <w:spacing w:line="360" w:lineRule="auto"/>
        <w:ind w:firstLine="480" w:firstLineChars="200"/>
        <w:rPr>
          <w:rFonts w:hint="eastAsia" w:ascii="宋体" w:hAnsi="宋体"/>
          <w:color w:val="auto"/>
          <w:highlight w:val="none"/>
        </w:rPr>
      </w:pPr>
      <w:r>
        <w:rPr>
          <w:rFonts w:hint="eastAsia" w:ascii="宋体" w:hAnsi="宋体"/>
          <w:color w:val="auto"/>
          <w:highlight w:val="none"/>
        </w:rPr>
        <w:t>2、施工过程中，若甲方需要增减项目或变更项目应提前以书面形式通知乙方，乙方承诺满足甲方的需求</w:t>
      </w:r>
      <w:r>
        <w:rPr>
          <w:rFonts w:hint="eastAsia" w:ascii="宋体" w:hAnsi="宋体"/>
          <w:color w:val="auto"/>
          <w:kern w:val="0"/>
          <w:sz w:val="24"/>
          <w:szCs w:val="20"/>
          <w:highlight w:val="none"/>
          <w:lang w:eastAsia="zh-CN"/>
        </w:rPr>
        <w:t>，</w:t>
      </w:r>
      <w:r>
        <w:rPr>
          <w:rFonts w:hint="eastAsia" w:ascii="宋体" w:hAnsi="宋体"/>
          <w:color w:val="auto"/>
          <w:kern w:val="0"/>
          <w:sz w:val="24"/>
          <w:szCs w:val="20"/>
          <w:highlight w:val="none"/>
          <w:lang w:val="en-US" w:eastAsia="zh-CN"/>
        </w:rPr>
        <w:t>并不因此要求赔偿/补偿</w:t>
      </w:r>
      <w:r>
        <w:rPr>
          <w:rFonts w:hint="eastAsia" w:ascii="宋体" w:hAnsi="宋体"/>
          <w:color w:val="auto"/>
          <w:kern w:val="0"/>
          <w:sz w:val="24"/>
          <w:szCs w:val="20"/>
          <w:highlight w:val="none"/>
        </w:rPr>
        <w:t>。</w:t>
      </w:r>
    </w:p>
    <w:p w14:paraId="38F5AADB">
      <w:pPr>
        <w:spacing w:line="360" w:lineRule="auto"/>
        <w:ind w:firstLine="480" w:firstLineChars="200"/>
        <w:rPr>
          <w:rFonts w:hint="eastAsia" w:ascii="宋体" w:hAnsi="宋体"/>
          <w:color w:val="auto"/>
          <w:highlight w:val="none"/>
        </w:rPr>
      </w:pPr>
      <w:r>
        <w:rPr>
          <w:rFonts w:hint="eastAsia" w:ascii="宋体" w:hAnsi="宋体"/>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1F2CE5C8">
      <w:pPr>
        <w:pStyle w:val="17"/>
        <w:ind w:firstLine="480" w:firstLineChars="200"/>
        <w:rPr>
          <w:color w:val="auto"/>
          <w:highlight w:val="none"/>
        </w:rPr>
      </w:pPr>
      <w:r>
        <w:rPr>
          <w:rFonts w:hint="eastAsia" w:ascii="宋体" w:hAnsi="宋体" w:eastAsia="宋体" w:cs="Times New Roman"/>
          <w:color w:val="auto"/>
          <w:kern w:val="2"/>
          <w:sz w:val="24"/>
          <w:szCs w:val="22"/>
          <w:highlight w:val="none"/>
          <w:lang w:val="en-US" w:eastAsia="zh-CN"/>
        </w:rPr>
        <w:t>4、</w:t>
      </w:r>
      <w:r>
        <w:rPr>
          <w:rFonts w:hint="eastAsia" w:ascii="宋体" w:hAnsi="宋体" w:eastAsia="宋体" w:cs="Times New Roman"/>
          <w:color w:val="auto"/>
          <w:kern w:val="2"/>
          <w:sz w:val="24"/>
          <w:szCs w:val="22"/>
          <w:highlight w:val="none"/>
        </w:rPr>
        <w:t>设计变更与现场签证必须进行一单一算、一月一清</w:t>
      </w:r>
      <w:r>
        <w:rPr>
          <w:rFonts w:hint="eastAsia" w:ascii="宋体" w:hAnsi="宋体" w:eastAsia="宋体" w:cs="Times New Roman"/>
          <w:color w:val="auto"/>
          <w:kern w:val="2"/>
          <w:sz w:val="24"/>
          <w:szCs w:val="22"/>
          <w:highlight w:val="none"/>
          <w:lang w:eastAsia="zh-CN"/>
        </w:rPr>
        <w:t>。</w:t>
      </w:r>
      <w:r>
        <w:rPr>
          <w:rFonts w:hint="eastAsia" w:ascii="宋体" w:hAnsi="宋体" w:eastAsia="宋体" w:cs="Times New Roman"/>
          <w:color w:val="auto"/>
          <w:kern w:val="2"/>
          <w:sz w:val="24"/>
          <w:szCs w:val="22"/>
          <w:highlight w:val="none"/>
        </w:rPr>
        <w:t>为了保证</w:t>
      </w:r>
      <w:r>
        <w:rPr>
          <w:rFonts w:hint="eastAsia" w:ascii="宋体" w:hAnsi="宋体" w:eastAsia="宋体" w:cs="Times New Roman"/>
          <w:color w:val="auto"/>
          <w:kern w:val="2"/>
          <w:sz w:val="24"/>
          <w:szCs w:val="22"/>
          <w:highlight w:val="none"/>
          <w:lang w:val="en-US" w:eastAsia="zh-CN"/>
        </w:rPr>
        <w:t>甲方</w:t>
      </w:r>
      <w:r>
        <w:rPr>
          <w:rFonts w:hint="eastAsia" w:ascii="宋体" w:hAnsi="宋体" w:eastAsia="宋体" w:cs="Times New Roman"/>
          <w:color w:val="auto"/>
          <w:kern w:val="2"/>
          <w:sz w:val="24"/>
          <w:szCs w:val="22"/>
          <w:highlight w:val="none"/>
        </w:rPr>
        <w:t>成本</w:t>
      </w:r>
      <w:r>
        <w:rPr>
          <w:rFonts w:hint="eastAsia" w:ascii="宋体" w:hAnsi="宋体" w:eastAsia="宋体" w:cs="Times New Roman"/>
          <w:color w:val="auto"/>
          <w:kern w:val="2"/>
          <w:sz w:val="24"/>
          <w:szCs w:val="22"/>
          <w:highlight w:val="none"/>
          <w:lang w:val="en-US" w:eastAsia="zh-CN"/>
        </w:rPr>
        <w:t>管理</w:t>
      </w:r>
      <w:r>
        <w:rPr>
          <w:rFonts w:hint="eastAsia" w:ascii="宋体" w:hAnsi="宋体" w:eastAsia="宋体" w:cs="Times New Roman"/>
          <w:color w:val="auto"/>
          <w:kern w:val="2"/>
          <w:sz w:val="24"/>
          <w:szCs w:val="22"/>
          <w:highlight w:val="none"/>
        </w:rPr>
        <w:t>部、项目工程部及</w:t>
      </w:r>
      <w:r>
        <w:rPr>
          <w:rFonts w:hint="eastAsia" w:ascii="宋体" w:hAnsi="宋体" w:eastAsia="宋体" w:cs="Times New Roman"/>
          <w:color w:val="auto"/>
          <w:kern w:val="2"/>
          <w:sz w:val="24"/>
          <w:szCs w:val="22"/>
          <w:highlight w:val="none"/>
          <w:lang w:val="en-US" w:eastAsia="zh-CN"/>
        </w:rPr>
        <w:t>乙方</w:t>
      </w:r>
      <w:r>
        <w:rPr>
          <w:rFonts w:hint="eastAsia" w:ascii="宋体" w:hAnsi="宋体" w:eastAsia="宋体" w:cs="Times New Roman"/>
          <w:color w:val="auto"/>
          <w:kern w:val="2"/>
          <w:sz w:val="24"/>
          <w:szCs w:val="22"/>
          <w:highlight w:val="none"/>
        </w:rPr>
        <w:t>三方资料的完整性和一致性，每月</w:t>
      </w:r>
      <w:r>
        <w:rPr>
          <w:rFonts w:hint="eastAsia" w:ascii="宋体" w:hAnsi="宋体" w:eastAsia="宋体" w:cs="Times New Roman"/>
          <w:color w:val="auto"/>
          <w:kern w:val="2"/>
          <w:sz w:val="24"/>
          <w:szCs w:val="22"/>
          <w:highlight w:val="none"/>
          <w:lang w:val="en-US" w:eastAsia="zh-CN"/>
        </w:rPr>
        <w:t>5</w:t>
      </w:r>
      <w:r>
        <w:rPr>
          <w:rFonts w:hint="eastAsia" w:ascii="宋体" w:hAnsi="宋体" w:eastAsia="宋体" w:cs="Times New Roman"/>
          <w:color w:val="auto"/>
          <w:kern w:val="2"/>
          <w:sz w:val="24"/>
          <w:szCs w:val="22"/>
          <w:highlight w:val="none"/>
        </w:rPr>
        <w:t>日之前，应按“一月一清”的原则，对上月所有</w:t>
      </w:r>
      <w:r>
        <w:rPr>
          <w:rFonts w:hint="eastAsia" w:ascii="宋体" w:hAnsi="宋体" w:eastAsia="宋体" w:cs="Times New Roman"/>
          <w:color w:val="auto"/>
          <w:kern w:val="2"/>
          <w:sz w:val="24"/>
          <w:szCs w:val="22"/>
          <w:highlight w:val="none"/>
          <w:lang w:val="en-US" w:eastAsia="zh-CN"/>
        </w:rPr>
        <w:t>甲方</w:t>
      </w:r>
      <w:r>
        <w:rPr>
          <w:rFonts w:hint="eastAsia" w:ascii="宋体" w:hAnsi="宋体" w:eastAsia="宋体" w:cs="Times New Roman"/>
          <w:color w:val="auto"/>
          <w:kern w:val="2"/>
          <w:sz w:val="24"/>
          <w:szCs w:val="22"/>
          <w:highlight w:val="none"/>
        </w:rPr>
        <w:t>发出的</w:t>
      </w:r>
      <w:r>
        <w:rPr>
          <w:rFonts w:hint="eastAsia" w:ascii="宋体" w:hAnsi="宋体" w:eastAsia="宋体" w:cs="Times New Roman"/>
          <w:color w:val="auto"/>
          <w:kern w:val="2"/>
          <w:sz w:val="24"/>
          <w:szCs w:val="22"/>
          <w:highlight w:val="none"/>
          <w:lang w:val="en-US" w:eastAsia="zh-CN"/>
        </w:rPr>
        <w:t>设计</w:t>
      </w:r>
      <w:r>
        <w:rPr>
          <w:rFonts w:hint="eastAsia" w:ascii="宋体" w:hAnsi="宋体" w:eastAsia="宋体" w:cs="Times New Roman"/>
          <w:color w:val="auto"/>
          <w:kern w:val="2"/>
          <w:sz w:val="24"/>
          <w:szCs w:val="22"/>
          <w:highlight w:val="none"/>
        </w:rPr>
        <w:t>变更单和收到的</w:t>
      </w:r>
      <w:r>
        <w:rPr>
          <w:rFonts w:hint="eastAsia" w:ascii="宋体" w:hAnsi="宋体" w:eastAsia="宋体" w:cs="Times New Roman"/>
          <w:color w:val="auto"/>
          <w:kern w:val="2"/>
          <w:sz w:val="24"/>
          <w:szCs w:val="22"/>
          <w:highlight w:val="none"/>
          <w:lang w:val="en-US" w:eastAsia="zh-CN"/>
        </w:rPr>
        <w:t>工程</w:t>
      </w:r>
      <w:r>
        <w:rPr>
          <w:rFonts w:hint="eastAsia" w:ascii="宋体" w:hAnsi="宋体" w:eastAsia="宋体" w:cs="Times New Roman"/>
          <w:color w:val="auto"/>
          <w:kern w:val="2"/>
          <w:sz w:val="24"/>
          <w:szCs w:val="22"/>
          <w:highlight w:val="none"/>
        </w:rPr>
        <w:t>签证单进行核对和清理</w:t>
      </w:r>
      <w:r>
        <w:rPr>
          <w:rFonts w:hint="eastAsia" w:ascii="宋体" w:hAnsi="宋体" w:eastAsia="宋体" w:cs="Times New Roman"/>
          <w:color w:val="auto"/>
          <w:kern w:val="2"/>
          <w:sz w:val="24"/>
          <w:szCs w:val="22"/>
          <w:highlight w:val="none"/>
          <w:lang w:eastAsia="zh-CN"/>
        </w:rPr>
        <w:t>，</w:t>
      </w:r>
      <w:r>
        <w:rPr>
          <w:rFonts w:hint="eastAsia" w:ascii="宋体" w:hAnsi="宋体" w:eastAsia="宋体" w:cs="Times New Roman"/>
          <w:color w:val="auto"/>
          <w:kern w:val="2"/>
          <w:sz w:val="24"/>
          <w:szCs w:val="22"/>
          <w:highlight w:val="none"/>
          <w:lang w:val="en-US" w:eastAsia="zh-CN"/>
        </w:rPr>
        <w:t>并签字确认</w:t>
      </w:r>
      <w:r>
        <w:rPr>
          <w:rFonts w:hint="eastAsia" w:ascii="宋体" w:hAnsi="宋体" w:eastAsia="宋体" w:cs="Times New Roman"/>
          <w:color w:val="auto"/>
          <w:kern w:val="2"/>
          <w:sz w:val="24"/>
          <w:szCs w:val="22"/>
          <w:highlight w:val="none"/>
        </w:rPr>
        <w:t>。</w:t>
      </w:r>
      <w:r>
        <w:rPr>
          <w:rFonts w:hint="eastAsia" w:ascii="宋体" w:hAnsi="宋体" w:eastAsia="宋体" w:cs="Times New Roman"/>
          <w:color w:val="auto"/>
          <w:kern w:val="2"/>
          <w:sz w:val="24"/>
          <w:szCs w:val="22"/>
          <w:highlight w:val="none"/>
          <w:lang w:val="en-US" w:eastAsia="zh-CN"/>
        </w:rPr>
        <w:t>对于乙方在结算时提出的、月结月清中未登记的设计变更和现场签证，甲方</w:t>
      </w:r>
      <w:r>
        <w:rPr>
          <w:rFonts w:hint="eastAsia" w:ascii="宋体" w:hAnsi="宋体" w:eastAsia="宋体" w:cs="Times New Roman"/>
          <w:color w:val="auto"/>
          <w:kern w:val="2"/>
          <w:sz w:val="24"/>
          <w:szCs w:val="22"/>
          <w:highlight w:val="none"/>
        </w:rPr>
        <w:t>有权不接收、不计算、</w:t>
      </w:r>
      <w:r>
        <w:rPr>
          <w:rFonts w:hint="eastAsia" w:ascii="宋体" w:hAnsi="宋体" w:eastAsia="宋体" w:cs="Times New Roman"/>
          <w:color w:val="auto"/>
          <w:kern w:val="2"/>
          <w:sz w:val="24"/>
          <w:szCs w:val="22"/>
          <w:highlight w:val="none"/>
          <w:lang w:val="en-US" w:eastAsia="zh-CN"/>
        </w:rPr>
        <w:t>不结算和</w:t>
      </w:r>
      <w:r>
        <w:rPr>
          <w:rFonts w:hint="eastAsia" w:ascii="宋体" w:hAnsi="宋体" w:eastAsia="宋体" w:cs="Times New Roman"/>
          <w:color w:val="auto"/>
          <w:kern w:val="2"/>
          <w:sz w:val="24"/>
          <w:szCs w:val="22"/>
          <w:highlight w:val="none"/>
        </w:rPr>
        <w:t>不支付费用</w:t>
      </w:r>
      <w:r>
        <w:rPr>
          <w:rFonts w:hint="eastAsia" w:ascii="宋体" w:hAnsi="宋体" w:eastAsia="宋体" w:cs="Times New Roman"/>
          <w:color w:val="auto"/>
          <w:kern w:val="2"/>
          <w:sz w:val="24"/>
          <w:szCs w:val="22"/>
          <w:highlight w:val="none"/>
          <w:lang w:eastAsia="zh-CN"/>
        </w:rPr>
        <w:t>。</w:t>
      </w:r>
    </w:p>
    <w:p w14:paraId="5EEAF6B5">
      <w:pPr>
        <w:autoSpaceDN w:val="0"/>
        <w:spacing w:line="360" w:lineRule="auto"/>
        <w:rPr>
          <w:rFonts w:hint="eastAsia" w:ascii="宋体"/>
          <w:b/>
          <w:bCs/>
          <w:color w:val="auto"/>
          <w:sz w:val="24"/>
          <w:szCs w:val="24"/>
          <w:highlight w:val="none"/>
        </w:rPr>
      </w:pPr>
      <w:r>
        <w:rPr>
          <w:rFonts w:hint="eastAsia" w:ascii="宋体"/>
          <w:b/>
          <w:bCs/>
          <w:color w:val="auto"/>
          <w:sz w:val="24"/>
          <w:szCs w:val="24"/>
          <w:highlight w:val="none"/>
        </w:rPr>
        <w:t>十</w:t>
      </w:r>
      <w:r>
        <w:rPr>
          <w:rFonts w:hint="eastAsia" w:ascii="宋体"/>
          <w:b/>
          <w:bCs/>
          <w:color w:val="auto"/>
          <w:sz w:val="24"/>
          <w:szCs w:val="24"/>
          <w:highlight w:val="none"/>
          <w:lang w:val="en-US" w:eastAsia="zh-CN"/>
        </w:rPr>
        <w:t>二</w:t>
      </w:r>
      <w:r>
        <w:rPr>
          <w:rFonts w:hint="eastAsia" w:ascii="宋体"/>
          <w:b/>
          <w:bCs/>
          <w:color w:val="auto"/>
          <w:sz w:val="24"/>
          <w:szCs w:val="24"/>
          <w:highlight w:val="none"/>
        </w:rPr>
        <w:t>、竣工结算</w:t>
      </w:r>
    </w:p>
    <w:p w14:paraId="3165EFA7">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1、乙方需向甲方提供竣工图纸，竣工资料各肆套（竣工资料及竣工图纸必须准确真实的反映实际施工情况)。 </w:t>
      </w:r>
    </w:p>
    <w:p w14:paraId="15947310">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2、乙方应依据资料存档要求，及时做好工程资料的收集整理和报送工作，每项分项工程完工后两日内必须向甲方报送全部资料一份，若有延期，按500元/日向甲方支付违约金。</w:t>
      </w:r>
    </w:p>
    <w:p w14:paraId="734AF887">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3、结算办法： </w:t>
      </w:r>
    </w:p>
    <w:p w14:paraId="27C99109">
      <w:pPr>
        <w:autoSpaceDN w:val="0"/>
        <w:spacing w:line="360" w:lineRule="auto"/>
        <w:ind w:firstLine="480" w:firstLineChars="200"/>
        <w:rPr>
          <w:rFonts w:hint="eastAsia"/>
        </w:rPr>
      </w:pPr>
      <w:r>
        <w:rPr>
          <w:rFonts w:hint="eastAsia" w:ascii="宋体"/>
          <w:color w:val="auto"/>
          <w:sz w:val="24"/>
          <w:szCs w:val="24"/>
          <w:highlight w:val="none"/>
        </w:rPr>
        <w:t>结算依据：甲方审核签认的施工设计方案、甲方认可的变更签证、施工合同、补充协议、招标、投标文件等。</w:t>
      </w:r>
    </w:p>
    <w:p w14:paraId="39457B01">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3.1、土建、安装（含雨污水管网系统）竣工结算总价=</w:t>
      </w:r>
      <w:r>
        <w:rPr>
          <w:rFonts w:hint="eastAsia" w:ascii="宋体" w:cs="Times New Roman"/>
          <w:color w:val="auto"/>
          <w:sz w:val="24"/>
          <w:szCs w:val="24"/>
          <w:highlight w:val="none"/>
          <w:lang w:val="en-US" w:eastAsia="zh-CN"/>
        </w:rPr>
        <w:t>含税</w:t>
      </w:r>
      <w:r>
        <w:rPr>
          <w:rFonts w:hint="eastAsia" w:ascii="宋体" w:hAnsi="Calibri" w:eastAsia="宋体" w:cs="Times New Roman"/>
          <w:color w:val="auto"/>
          <w:sz w:val="24"/>
          <w:szCs w:val="24"/>
          <w:highlight w:val="none"/>
        </w:rPr>
        <w:t>固定总价±变更、签证</w:t>
      </w:r>
      <w:r>
        <w:rPr>
          <w:rFonts w:hint="eastAsia" w:ascii="宋体" w:cs="Times New Roman"/>
          <w:color w:val="auto"/>
          <w:sz w:val="24"/>
          <w:szCs w:val="24"/>
          <w:highlight w:val="none"/>
          <w:lang w:val="en-US" w:eastAsia="zh-CN"/>
        </w:rPr>
        <w:t>造价</w:t>
      </w:r>
      <w:r>
        <w:rPr>
          <w:rFonts w:hint="eastAsia" w:ascii="宋体" w:hAnsi="Calibri" w:eastAsia="宋体" w:cs="Times New Roman"/>
          <w:color w:val="auto"/>
          <w:sz w:val="24"/>
          <w:szCs w:val="24"/>
          <w:highlight w:val="none"/>
        </w:rPr>
        <w:t>-</w:t>
      </w:r>
      <w:r>
        <w:rPr>
          <w:rFonts w:hint="eastAsia" w:ascii="宋体"/>
          <w:color w:val="auto"/>
          <w:sz w:val="24"/>
          <w:szCs w:val="24"/>
          <w:highlight w:val="none"/>
        </w:rPr>
        <w:t>其他应扣费用（含违约金）</w:t>
      </w:r>
      <w:r>
        <w:rPr>
          <w:rFonts w:hint="eastAsia" w:ascii="宋体" w:hAnsi="Calibri" w:eastAsia="宋体" w:cs="Times New Roman"/>
          <w:color w:val="auto"/>
          <w:sz w:val="24"/>
          <w:szCs w:val="24"/>
          <w:highlight w:val="none"/>
        </w:rPr>
        <w:t>。</w:t>
      </w:r>
      <w:r>
        <w:rPr>
          <w:rFonts w:hint="eastAsia" w:ascii="宋体" w:cs="Times New Roman"/>
          <w:color w:val="auto"/>
          <w:sz w:val="24"/>
          <w:szCs w:val="24"/>
          <w:highlight w:val="none"/>
          <w:lang w:val="en-US" w:eastAsia="zh-CN"/>
        </w:rPr>
        <w:t>含税</w:t>
      </w:r>
      <w:r>
        <w:rPr>
          <w:rFonts w:hint="eastAsia" w:ascii="宋体" w:hAnsi="Calibri" w:eastAsia="宋体" w:cs="Times New Roman"/>
          <w:color w:val="auto"/>
          <w:sz w:val="24"/>
          <w:szCs w:val="24"/>
          <w:highlight w:val="none"/>
        </w:rPr>
        <w:t>固定总价包括此次招标范围内的所有工程内容，</w:t>
      </w:r>
      <w:r>
        <w:rPr>
          <w:rFonts w:hint="eastAsia" w:ascii="宋体" w:cs="Times New Roman"/>
          <w:color w:val="auto"/>
          <w:sz w:val="24"/>
          <w:szCs w:val="24"/>
          <w:highlight w:val="none"/>
          <w:lang w:val="en-US" w:eastAsia="zh-CN"/>
        </w:rPr>
        <w:t>含税</w:t>
      </w:r>
      <w:r>
        <w:rPr>
          <w:rFonts w:hint="eastAsia" w:ascii="宋体" w:hAnsi="Calibri" w:eastAsia="宋体" w:cs="Times New Roman"/>
          <w:color w:val="auto"/>
          <w:sz w:val="24"/>
          <w:szCs w:val="24"/>
          <w:highlight w:val="none"/>
        </w:rPr>
        <w:t xml:space="preserve">固定总价一次性包干，不随任何市场因素及政策性调整而变动，如报价汇总表及工程量清单中有缺项漏项或偏差的，均视为乙方已综合考虑在合计报价内，结算时均不做调整。 </w:t>
      </w:r>
    </w:p>
    <w:p w14:paraId="0A1A31BA">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3.2、苗木绿化</w:t>
      </w:r>
      <w:r>
        <w:rPr>
          <w:rFonts w:hint="eastAsia" w:ascii="宋体" w:cs="Times New Roman"/>
          <w:color w:val="auto"/>
          <w:sz w:val="24"/>
          <w:szCs w:val="24"/>
          <w:highlight w:val="none"/>
          <w:lang w:eastAsia="zh-CN"/>
        </w:rPr>
        <w:t>、</w:t>
      </w:r>
      <w:r>
        <w:rPr>
          <w:rFonts w:hint="eastAsia" w:ascii="宋体" w:hAnsi="Calibri" w:eastAsia="宋体" w:cs="Times New Roman"/>
          <w:color w:val="auto"/>
          <w:sz w:val="24"/>
          <w:szCs w:val="24"/>
          <w:highlight w:val="none"/>
        </w:rPr>
        <w:t>软装摆件类=∑</w:t>
      </w:r>
      <w:r>
        <w:rPr>
          <w:rFonts w:hint="eastAsia" w:ascii="宋体" w:cs="Times New Roman"/>
          <w:color w:val="auto"/>
          <w:sz w:val="24"/>
          <w:szCs w:val="24"/>
          <w:highlight w:val="none"/>
          <w:lang w:val="en-US" w:eastAsia="zh-CN"/>
        </w:rPr>
        <w:t>含税</w:t>
      </w:r>
      <w:r>
        <w:rPr>
          <w:rFonts w:hint="eastAsia" w:ascii="宋体" w:hAnsi="Calibri" w:eastAsia="宋体" w:cs="Times New Roman"/>
          <w:color w:val="auto"/>
          <w:sz w:val="24"/>
          <w:szCs w:val="24"/>
          <w:highlight w:val="none"/>
        </w:rPr>
        <w:t>固定综合单价*</w:t>
      </w:r>
      <w:r>
        <w:rPr>
          <w:rFonts w:hint="eastAsia" w:ascii="宋体" w:cs="Times New Roman"/>
          <w:color w:val="auto"/>
          <w:sz w:val="24"/>
          <w:szCs w:val="24"/>
          <w:highlight w:val="none"/>
          <w:lang w:val="en-US" w:eastAsia="zh-CN"/>
        </w:rPr>
        <w:t>验收</w:t>
      </w:r>
      <w:r>
        <w:rPr>
          <w:rFonts w:hint="eastAsia" w:ascii="宋体" w:hAnsi="Calibri" w:eastAsia="宋体" w:cs="Times New Roman"/>
          <w:color w:val="auto"/>
          <w:sz w:val="24"/>
          <w:szCs w:val="24"/>
          <w:highlight w:val="none"/>
        </w:rPr>
        <w:t>合格</w:t>
      </w:r>
      <w:r>
        <w:rPr>
          <w:rFonts w:hint="eastAsia" w:ascii="宋体" w:cs="Times New Roman"/>
          <w:color w:val="auto"/>
          <w:sz w:val="24"/>
          <w:szCs w:val="24"/>
          <w:highlight w:val="none"/>
          <w:lang w:val="en-US" w:eastAsia="zh-CN"/>
        </w:rPr>
        <w:t>的</w:t>
      </w:r>
      <w:r>
        <w:rPr>
          <w:rFonts w:hint="eastAsia" w:ascii="宋体" w:hAnsi="Calibri" w:eastAsia="宋体" w:cs="Times New Roman"/>
          <w:color w:val="auto"/>
          <w:sz w:val="24"/>
          <w:szCs w:val="24"/>
          <w:highlight w:val="none"/>
        </w:rPr>
        <w:t>苗木种植数量</w:t>
      </w:r>
      <w:r>
        <w:rPr>
          <w:rFonts w:hint="eastAsia" w:ascii="宋体" w:cs="Times New Roman"/>
          <w:color w:val="auto"/>
          <w:sz w:val="24"/>
          <w:szCs w:val="24"/>
          <w:highlight w:val="none"/>
          <w:lang w:val="en-US" w:eastAsia="zh-CN"/>
        </w:rPr>
        <w:t>/软装摆件数量</w:t>
      </w:r>
      <w:r>
        <w:rPr>
          <w:rFonts w:hint="eastAsia" w:ascii="宋体" w:hAnsi="Calibri" w:eastAsia="宋体" w:cs="Times New Roman"/>
          <w:color w:val="auto"/>
          <w:sz w:val="24"/>
          <w:szCs w:val="24"/>
          <w:highlight w:val="none"/>
        </w:rPr>
        <w:t>±变更、签证</w:t>
      </w:r>
      <w:r>
        <w:rPr>
          <w:rFonts w:hint="eastAsia" w:ascii="宋体" w:cs="Times New Roman"/>
          <w:color w:val="auto"/>
          <w:sz w:val="24"/>
          <w:szCs w:val="24"/>
          <w:highlight w:val="none"/>
          <w:lang w:val="en-US" w:eastAsia="zh-CN"/>
        </w:rPr>
        <w:t>造价</w:t>
      </w:r>
      <w:r>
        <w:rPr>
          <w:rFonts w:hint="eastAsia" w:ascii="宋体" w:hAnsi="Calibri" w:eastAsia="宋体" w:cs="Times New Roman"/>
          <w:color w:val="auto"/>
          <w:sz w:val="24"/>
          <w:szCs w:val="24"/>
          <w:highlight w:val="none"/>
        </w:rPr>
        <w:t>-</w:t>
      </w:r>
      <w:r>
        <w:rPr>
          <w:rFonts w:hint="eastAsia" w:ascii="宋体"/>
          <w:color w:val="auto"/>
          <w:sz w:val="24"/>
          <w:szCs w:val="24"/>
          <w:highlight w:val="none"/>
        </w:rPr>
        <w:t>其他应扣费用（含违约金）</w:t>
      </w:r>
      <w:r>
        <w:rPr>
          <w:rFonts w:hint="eastAsia" w:ascii="宋体" w:hAnsi="Calibri" w:eastAsia="宋体" w:cs="Times New Roman"/>
          <w:color w:val="auto"/>
          <w:sz w:val="24"/>
          <w:szCs w:val="24"/>
          <w:highlight w:val="none"/>
        </w:rPr>
        <w:t>。</w:t>
      </w:r>
      <w:r>
        <w:rPr>
          <w:rFonts w:hint="eastAsia" w:ascii="宋体" w:cs="Times New Roman"/>
          <w:color w:val="auto"/>
          <w:sz w:val="24"/>
          <w:szCs w:val="24"/>
          <w:highlight w:val="none"/>
          <w:lang w:val="en-US" w:eastAsia="zh-CN"/>
        </w:rPr>
        <w:t>含税</w:t>
      </w:r>
      <w:r>
        <w:rPr>
          <w:rFonts w:hint="eastAsia" w:ascii="宋体" w:hAnsi="Calibri" w:eastAsia="宋体" w:cs="Times New Roman"/>
          <w:color w:val="auto"/>
          <w:sz w:val="24"/>
          <w:szCs w:val="24"/>
          <w:highlight w:val="none"/>
        </w:rPr>
        <w:t>固定综合单价应包括</w:t>
      </w:r>
      <w:r>
        <w:rPr>
          <w:rFonts w:hint="eastAsia" w:ascii="宋体" w:cs="Times New Roman"/>
          <w:color w:val="auto"/>
          <w:sz w:val="24"/>
          <w:szCs w:val="24"/>
          <w:highlight w:val="none"/>
          <w:lang w:val="en-US" w:eastAsia="zh-CN"/>
        </w:rPr>
        <w:t>但不限于</w:t>
      </w:r>
      <w:r>
        <w:rPr>
          <w:rFonts w:hint="eastAsia" w:ascii="宋体" w:hAnsi="Calibri" w:eastAsia="宋体" w:cs="Times New Roman"/>
          <w:color w:val="auto"/>
          <w:sz w:val="24"/>
          <w:szCs w:val="24"/>
          <w:highlight w:val="none"/>
        </w:rPr>
        <w:t>人工费、材料费、机械费、管理费、利润、税金、风险等所发生的和可能发生的一切费用，</w:t>
      </w:r>
      <w:r>
        <w:rPr>
          <w:rFonts w:hint="eastAsia" w:ascii="宋体" w:cs="Times New Roman"/>
          <w:color w:val="auto"/>
          <w:sz w:val="24"/>
          <w:szCs w:val="24"/>
          <w:highlight w:val="none"/>
          <w:lang w:val="en-US" w:eastAsia="zh-CN"/>
        </w:rPr>
        <w:t>含税</w:t>
      </w:r>
      <w:r>
        <w:rPr>
          <w:rFonts w:hint="eastAsia" w:ascii="宋体" w:hAnsi="Calibri" w:eastAsia="宋体" w:cs="Times New Roman"/>
          <w:color w:val="auto"/>
          <w:sz w:val="24"/>
          <w:szCs w:val="24"/>
          <w:highlight w:val="none"/>
        </w:rPr>
        <w:t xml:space="preserve">固定综合单价一次性包干，不因任何市场因素及政策性调整而变动。因苗木规格不满足合同清单要求且甲方同意降级接收的情况除外，调价方式详见合同约定。 </w:t>
      </w:r>
    </w:p>
    <w:p w14:paraId="2D2D54F1">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4、苗木绿化类工程的结算 </w:t>
      </w:r>
    </w:p>
    <w:p w14:paraId="5C4EA0CC">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4.1、结算工程量的确认： </w:t>
      </w:r>
    </w:p>
    <w:p w14:paraId="01BB2C6F">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4.1.1、甲方认可的实际竣工的相应工程量（以甲方现场工程师的确认单为准）； </w:t>
      </w:r>
    </w:p>
    <w:p w14:paraId="0E525C7B">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4.1.2、甲方认可的变更、签证。 </w:t>
      </w:r>
    </w:p>
    <w:p w14:paraId="2A0EB74C">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4.2、苗木综合单价按照附件</w:t>
      </w:r>
      <w:r>
        <w:rPr>
          <w:rFonts w:hint="eastAsia" w:ascii="宋体" w:cs="Times New Roman"/>
          <w:color w:val="auto"/>
          <w:sz w:val="24"/>
          <w:szCs w:val="24"/>
          <w:highlight w:val="none"/>
          <w:lang w:val="en-US" w:eastAsia="zh-CN"/>
        </w:rPr>
        <w:t xml:space="preserve"> </w:t>
      </w:r>
      <w:r>
        <w:rPr>
          <w:rFonts w:hint="eastAsia" w:ascii="宋体" w:hAnsi="Calibri" w:eastAsia="宋体" w:cs="Times New Roman"/>
          <w:color w:val="auto"/>
          <w:sz w:val="24"/>
          <w:szCs w:val="24"/>
          <w:highlight w:val="none"/>
        </w:rPr>
        <w:t xml:space="preserve">《工程量清单计价表》中的综合单价为准，该综合单价已包括苗木的移栽、种植、养护（两年养护期）、保活等所有一切费用，综合单价固定不变，不因任何因素的调整而变动。 </w:t>
      </w:r>
      <w:r>
        <w:rPr>
          <w:rFonts w:hint="eastAsia" w:ascii="宋体"/>
          <w:color w:val="FF0000"/>
          <w:szCs w:val="24"/>
        </w:rPr>
        <w:t>苗木施工至养护期内用水费用</w:t>
      </w:r>
      <w:r>
        <w:rPr>
          <w:rFonts w:hint="eastAsia" w:ascii="宋体"/>
          <w:color w:val="FF0000"/>
          <w:szCs w:val="24"/>
          <w:lang w:val="en-US" w:eastAsia="zh-CN"/>
        </w:rPr>
        <w:t>由乙方承担</w:t>
      </w:r>
      <w:r>
        <w:rPr>
          <w:rFonts w:hint="eastAsia" w:ascii="宋体"/>
          <w:color w:val="FF0000"/>
          <w:szCs w:val="24"/>
          <w:lang w:eastAsia="zh-CN"/>
        </w:rPr>
        <w:t>。</w:t>
      </w:r>
    </w:p>
    <w:p w14:paraId="6B0B15EE">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5、</w:t>
      </w:r>
      <w:r>
        <w:rPr>
          <w:rFonts w:hint="eastAsia" w:ascii="宋体"/>
          <w:color w:val="auto"/>
          <w:szCs w:val="24"/>
          <w:highlight w:val="none"/>
        </w:rPr>
        <w:t>变更、签证的计价原则：本合同执行期间，若因甲方设计原因引起的设计变更，由甲方出具设计变更单。因设计变更引起部分分项工程子目的增加，该项子目的含税综合单价在合同中(即后附价格清单)有相同子目的执行相同子目的单价，合同中后附表中有相近子目的按相近子目执行；若合同中后附表无适用或类似于</w:t>
      </w:r>
      <w:r>
        <w:rPr>
          <w:rFonts w:hint="eastAsia" w:ascii="宋体"/>
          <w:color w:val="auto"/>
          <w:szCs w:val="24"/>
          <w:highlight w:val="none"/>
          <w:lang w:val="en-US" w:eastAsia="zh-CN"/>
        </w:rPr>
        <w:t>包含苗木</w:t>
      </w:r>
      <w:r>
        <w:rPr>
          <w:rFonts w:hint="eastAsia" w:ascii="宋体"/>
          <w:color w:val="auto"/>
          <w:szCs w:val="24"/>
          <w:highlight w:val="none"/>
        </w:rPr>
        <w:t>养护期内水费变更、签证工程综合单价的，则由甲方乙方共同认价后按照认价计入结算；若在施工过程中未由甲方认价的，结算时按照甲方认为可行的单价计入结算，乙方不得有任何异议。</w:t>
      </w:r>
    </w:p>
    <w:p w14:paraId="3C276C5D">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 xml:space="preserve">6、施工周期内水电费按实际用量计取，费用由乙方承担。 </w:t>
      </w:r>
    </w:p>
    <w:p w14:paraId="2E9C1842">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7、结算价款支付金额为：结算价款减去按合同相关规定执行的乙方须向甲方支付的违约金、经济补偿、罚款等。</w:t>
      </w:r>
    </w:p>
    <w:p w14:paraId="2E9A835C">
      <w:pPr>
        <w:autoSpaceDN w:val="0"/>
        <w:spacing w:line="360" w:lineRule="auto"/>
        <w:ind w:firstLine="480" w:firstLineChars="200"/>
        <w:rPr>
          <w:rFonts w:hint="eastAsia" w:ascii="宋体" w:hAnsi="Calibri" w:eastAsia="宋体" w:cs="Times New Roman"/>
          <w:color w:val="auto"/>
          <w:sz w:val="24"/>
          <w:szCs w:val="24"/>
          <w:highlight w:val="none"/>
        </w:rPr>
      </w:pPr>
      <w:r>
        <w:rPr>
          <w:rFonts w:hint="eastAsia" w:ascii="宋体" w:hAnsi="Calibri" w:eastAsia="宋体" w:cs="Times New Roman"/>
          <w:color w:val="auto"/>
          <w:sz w:val="24"/>
          <w:szCs w:val="24"/>
          <w:highlight w:val="none"/>
        </w:rPr>
        <w:t>8、由于不可抗力原因而影响工程施工的，只调整工期，不调整合同相应价款。</w:t>
      </w:r>
    </w:p>
    <w:p w14:paraId="50146C61">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9</w:t>
      </w:r>
      <w:r>
        <w:rPr>
          <w:rFonts w:hint="eastAsia" w:ascii="宋体"/>
          <w:color w:val="auto"/>
          <w:sz w:val="24"/>
          <w:szCs w:val="24"/>
          <w:highlight w:val="none"/>
        </w:rPr>
        <w:t>、</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14:paraId="6A2C090A">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10</w:t>
      </w:r>
      <w:r>
        <w:rPr>
          <w:rFonts w:hint="eastAsia" w:ascii="宋体"/>
          <w:color w:val="auto"/>
          <w:sz w:val="24"/>
          <w:szCs w:val="24"/>
          <w:highlight w:val="none"/>
        </w:rPr>
        <w:t>、乙方报送结算书应诚实准确，若最终审减额（报送金额—结算金额）超过结算金额的5%，则需要乙方向甲方支付超出5%部分的费用的3%作为违约金，且违约金在结算金额中一次性扣除。</w:t>
      </w:r>
    </w:p>
    <w:p w14:paraId="13A9B404">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11</w:t>
      </w:r>
      <w:r>
        <w:rPr>
          <w:rFonts w:hint="eastAsia" w:ascii="宋体"/>
          <w:color w:val="auto"/>
          <w:sz w:val="24"/>
          <w:szCs w:val="24"/>
          <w:highlight w:val="none"/>
        </w:rPr>
        <w:t>、办理竣工验收、合格证、检测费用等由乙方自行承担。</w:t>
      </w:r>
    </w:p>
    <w:p w14:paraId="1F45198A">
      <w:pPr>
        <w:autoSpaceDN w:val="0"/>
        <w:spacing w:line="360" w:lineRule="auto"/>
        <w:ind w:firstLine="480" w:firstLineChars="200"/>
        <w:rPr>
          <w:rFonts w:hint="eastAsia" w:ascii="宋体"/>
          <w:color w:val="auto"/>
          <w:szCs w:val="24"/>
          <w:highlight w:val="none"/>
        </w:rPr>
      </w:pPr>
      <w:r>
        <w:rPr>
          <w:rFonts w:hint="eastAsia" w:ascii="宋体"/>
          <w:color w:val="auto"/>
          <w:sz w:val="24"/>
          <w:szCs w:val="24"/>
          <w:highlight w:val="none"/>
          <w:lang w:val="en-US" w:eastAsia="zh-CN"/>
        </w:rPr>
        <w:t>12</w:t>
      </w:r>
      <w:r>
        <w:rPr>
          <w:rFonts w:hint="eastAsia" w:ascii="宋体"/>
          <w:color w:val="auto"/>
          <w:sz w:val="24"/>
          <w:szCs w:val="24"/>
          <w:highlight w:val="none"/>
        </w:rPr>
        <w:t>、若甲方需在本合同约定的承包范围以外委托乙方完成其他工作，应以正式书面形式将具体工作范围、价款、完成时间、付款方式等主要内容通知乙方。若无正式书面委托，甲方不予结算。</w:t>
      </w:r>
    </w:p>
    <w:p w14:paraId="0BA9C779">
      <w:pPr>
        <w:autoSpaceDN w:val="0"/>
        <w:spacing w:line="360" w:lineRule="auto"/>
        <w:rPr>
          <w:rFonts w:hint="eastAsia" w:ascii="宋体"/>
          <w:b/>
          <w:bCs/>
          <w:color w:val="auto"/>
          <w:sz w:val="24"/>
          <w:szCs w:val="24"/>
          <w:highlight w:val="none"/>
        </w:rPr>
      </w:pPr>
      <w:r>
        <w:rPr>
          <w:rFonts w:hint="eastAsia" w:ascii="宋体"/>
          <w:b/>
          <w:bCs/>
          <w:color w:val="auto"/>
          <w:sz w:val="24"/>
          <w:szCs w:val="24"/>
          <w:highlight w:val="none"/>
        </w:rPr>
        <w:t>十</w:t>
      </w:r>
      <w:r>
        <w:rPr>
          <w:rFonts w:hint="eastAsia" w:ascii="宋体"/>
          <w:b/>
          <w:bCs/>
          <w:color w:val="auto"/>
          <w:sz w:val="24"/>
          <w:szCs w:val="24"/>
          <w:highlight w:val="none"/>
          <w:lang w:val="en-US" w:eastAsia="zh-CN"/>
        </w:rPr>
        <w:t>三</w:t>
      </w:r>
      <w:r>
        <w:rPr>
          <w:rFonts w:hint="eastAsia" w:ascii="宋体"/>
          <w:b/>
          <w:bCs/>
          <w:color w:val="auto"/>
          <w:sz w:val="24"/>
          <w:szCs w:val="24"/>
          <w:highlight w:val="none"/>
        </w:rPr>
        <w:t>、质量保修</w:t>
      </w:r>
    </w:p>
    <w:p w14:paraId="1F41A1EF">
      <w:pPr>
        <w:widowControl/>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1、质量保修范围包括乙方所有施工范围内的分部分项工程。</w:t>
      </w:r>
    </w:p>
    <w:p w14:paraId="5845269C">
      <w:pPr>
        <w:widowControl/>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2、本工程自交付之日起开始计算至交付后90日内，该时间段内乙方需安排合理数量的维修人员驻场以保证项目维修正常开展，按甲方要求满足维修需求。</w:t>
      </w:r>
    </w:p>
    <w:p w14:paraId="7526B468">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3、</w:t>
      </w:r>
      <w:r>
        <w:rPr>
          <w:rFonts w:hint="eastAsia" w:ascii="宋体" w:hAnsi="宋体"/>
          <w:color w:val="auto"/>
          <w:sz w:val="24"/>
          <w:szCs w:val="24"/>
          <w:highlight w:val="none"/>
        </w:rPr>
        <w:t>本工程的保修期为两年，</w:t>
      </w:r>
      <w:r>
        <w:rPr>
          <w:rFonts w:hint="eastAsia" w:ascii="宋体" w:hAnsi="宋体"/>
          <w:color w:val="auto"/>
          <w:kern w:val="0"/>
          <w:sz w:val="24"/>
          <w:szCs w:val="24"/>
          <w:highlight w:val="none"/>
        </w:rPr>
        <w:t>自工程全部施工完成，并经甲方、监理及相关部门验收合格之日起开始计算</w:t>
      </w:r>
      <w:r>
        <w:rPr>
          <w:rFonts w:hint="eastAsia" w:ascii="宋体" w:hAnsi="宋体"/>
          <w:color w:val="auto"/>
          <w:sz w:val="24"/>
          <w:szCs w:val="24"/>
          <w:highlight w:val="none"/>
        </w:rPr>
        <w:t>。保修期内若有施工质量问题、材料质量问题等，乙方必须在接到通知后的24个小时内派人维修并在</w:t>
      </w:r>
      <w:r>
        <w:rPr>
          <w:rFonts w:hint="eastAsia" w:ascii="宋体" w:hAnsi="宋体"/>
          <w:color w:val="auto"/>
          <w:sz w:val="24"/>
          <w:szCs w:val="24"/>
          <w:highlight w:val="none"/>
          <w:u w:val="none"/>
          <w:lang w:val="en-US" w:eastAsia="zh-CN"/>
        </w:rPr>
        <w:t>48</w:t>
      </w:r>
      <w:r>
        <w:rPr>
          <w:rFonts w:hint="eastAsia" w:ascii="宋体" w:hAnsi="宋体"/>
          <w:color w:val="auto"/>
          <w:sz w:val="24"/>
          <w:szCs w:val="24"/>
          <w:highlight w:val="none"/>
        </w:rPr>
        <w:t>小时内完成修复，因质量问题引起的损坏，乙方免收一切费用；对于质保范围外的维修，乙方承诺仅向甲方收取更换的材料、部件的成本费。若乙方在收到通知后不及时派人维修，甲方、物业公司可另请人员维修，维修费用从</w:t>
      </w:r>
      <w:r>
        <w:rPr>
          <w:rFonts w:hint="eastAsia" w:ascii="宋体"/>
          <w:color w:val="auto"/>
          <w:sz w:val="24"/>
          <w:szCs w:val="24"/>
          <w:highlight w:val="none"/>
        </w:rPr>
        <w:t>乙方的</w:t>
      </w:r>
      <w:r>
        <w:rPr>
          <w:rFonts w:hint="eastAsia" w:ascii="宋体" w:hAnsi="宋体"/>
          <w:color w:val="auto"/>
          <w:sz w:val="24"/>
          <w:szCs w:val="24"/>
          <w:highlight w:val="none"/>
        </w:rPr>
        <w:t>质保金中扣除，如质保金不足以支付的，甲方有权向乙方追偿。</w:t>
      </w:r>
    </w:p>
    <w:p w14:paraId="54AF45E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4、苗木绿化的养护期为两年（时令花卉养护期为一个花期）；在两年养护期内，乙方要派专人进行养护，所有苗木应保证全树冠成活，枯死苗木及时更换，</w:t>
      </w:r>
      <w:r>
        <w:rPr>
          <w:rStyle w:val="51"/>
          <w:rFonts w:hint="eastAsia" w:ascii="宋体"/>
          <w:color w:val="auto"/>
          <w:sz w:val="24"/>
          <w:szCs w:val="24"/>
          <w:highlight w:val="none"/>
        </w:rPr>
        <w:t>乙方</w:t>
      </w:r>
      <w:r>
        <w:rPr>
          <w:rFonts w:hint="eastAsia" w:ascii="宋体"/>
          <w:color w:val="auto"/>
          <w:sz w:val="24"/>
          <w:szCs w:val="24"/>
          <w:highlight w:val="none"/>
        </w:rPr>
        <w:t>接到甲方通知后15日内对死亡苗木更换完成</w:t>
      </w:r>
      <w:r>
        <w:rPr>
          <w:rStyle w:val="51"/>
          <w:rFonts w:hint="eastAsia" w:ascii="宋体"/>
          <w:color w:val="auto"/>
          <w:sz w:val="24"/>
          <w:szCs w:val="24"/>
          <w:highlight w:val="none"/>
        </w:rPr>
        <w:t>，若乙方</w:t>
      </w:r>
      <w:r>
        <w:rPr>
          <w:rFonts w:hint="eastAsia" w:ascii="宋体"/>
          <w:color w:val="auto"/>
          <w:sz w:val="24"/>
          <w:szCs w:val="24"/>
          <w:highlight w:val="none"/>
        </w:rPr>
        <w:t>不能按时完成的，甲方、</w:t>
      </w:r>
      <w:r>
        <w:rPr>
          <w:rFonts w:hint="eastAsia" w:ascii="宋体" w:hAnsi="宋体"/>
          <w:color w:val="auto"/>
          <w:sz w:val="24"/>
          <w:szCs w:val="24"/>
          <w:highlight w:val="none"/>
        </w:rPr>
        <w:t>物业公司可另请人员</w:t>
      </w:r>
      <w:r>
        <w:rPr>
          <w:rFonts w:hint="eastAsia" w:ascii="宋体"/>
          <w:color w:val="auto"/>
          <w:sz w:val="24"/>
          <w:szCs w:val="24"/>
          <w:highlight w:val="none"/>
        </w:rPr>
        <w:t>进行养护，养护费用从乙方的质保金中扣除</w:t>
      </w:r>
      <w:r>
        <w:rPr>
          <w:rFonts w:hint="eastAsia" w:ascii="宋体"/>
          <w:color w:val="auto"/>
          <w:sz w:val="24"/>
          <w:szCs w:val="24"/>
          <w:highlight w:val="none"/>
          <w:lang w:eastAsia="zh-CN"/>
        </w:rPr>
        <w:t>。</w:t>
      </w:r>
      <w:r>
        <w:rPr>
          <w:rFonts w:hint="eastAsia" w:ascii="宋体" w:hAnsi="宋体"/>
          <w:color w:val="auto"/>
          <w:sz w:val="24"/>
          <w:szCs w:val="24"/>
          <w:highlight w:val="none"/>
        </w:rPr>
        <w:t>如质保金不足以支付的，甲方有权向乙方追偿</w:t>
      </w:r>
      <w:r>
        <w:rPr>
          <w:rFonts w:hint="eastAsia" w:ascii="宋体"/>
          <w:color w:val="auto"/>
          <w:sz w:val="24"/>
          <w:szCs w:val="24"/>
          <w:highlight w:val="none"/>
        </w:rPr>
        <w:t>。</w:t>
      </w:r>
    </w:p>
    <w:p w14:paraId="50D33416">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5、工程竣工验收合格后视为移交，所有后续养护工作由现场使用单位（物业公司）统一安排管理，直至质保期结束。施工单位应配合物业公司对该项目进行后续维修、养护、死亡苗木更换等一系列工作。若施工单位拒不配合，物业公司有权依照合同约定进行相应处理。</w:t>
      </w:r>
    </w:p>
    <w:p w14:paraId="4171920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6、保修、保养、保活期间，一切因为保修、保养、保活产生的费用由乙方承担，绿化养护期内乙方应在本工程施工范围设固定长期养护工人，每人/2000㎡，每天8小时养护。养护期间，绿化养护水费由乙方自行承担，直至养护期结束为止</w:t>
      </w:r>
      <w:r>
        <w:rPr>
          <w:rFonts w:hint="eastAsia" w:ascii="宋体"/>
          <w:color w:val="auto"/>
          <w:sz w:val="24"/>
          <w:szCs w:val="24"/>
          <w:highlight w:val="none"/>
          <w:lang w:eastAsia="zh-CN"/>
        </w:rPr>
        <w:t>，</w:t>
      </w:r>
      <w:r>
        <w:rPr>
          <w:rFonts w:hint="eastAsia" w:ascii="宋体"/>
          <w:color w:val="auto"/>
          <w:sz w:val="24"/>
          <w:szCs w:val="24"/>
          <w:highlight w:val="none"/>
          <w:lang w:val="en-US" w:eastAsia="zh-CN"/>
        </w:rPr>
        <w:t>该期间因乙方施工质量问题或维修、养护问题给甲方或第三方造成损失的，乙方承担全部赔偿责任。</w:t>
      </w:r>
    </w:p>
    <w:p w14:paraId="7E7EA86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7、维保人员应统一着装，服从甲方的管理，文明施工、文明用语、不得与客户发生任何争执，若给客户造成其他损失一切由乙方负责，客户投诉到政府监管机构或上媒体的，进而对甲方产生的不良影响，一切后果均有乙方承担。</w:t>
      </w:r>
    </w:p>
    <w:p w14:paraId="4831716E">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十</w:t>
      </w:r>
      <w:r>
        <w:rPr>
          <w:rFonts w:hint="eastAsia" w:ascii="宋体" w:hAnsi="宋体" w:cs="宋体"/>
          <w:color w:val="auto"/>
          <w:sz w:val="24"/>
          <w:szCs w:val="24"/>
          <w:highlight w:val="none"/>
          <w:lang w:val="en-US" w:eastAsia="zh-CN"/>
        </w:rPr>
        <w:t>四</w:t>
      </w:r>
      <w:r>
        <w:rPr>
          <w:rFonts w:hint="eastAsia" w:ascii="宋体" w:hAnsi="宋体" w:cs="宋体"/>
          <w:color w:val="auto"/>
          <w:sz w:val="24"/>
          <w:szCs w:val="24"/>
          <w:highlight w:val="none"/>
        </w:rPr>
        <w:t>、履约保证金</w:t>
      </w:r>
    </w:p>
    <w:p w14:paraId="41506A4F">
      <w:pPr>
        <w:spacing w:line="360" w:lineRule="auto"/>
        <w:ind w:firstLine="48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1、</w:t>
      </w:r>
      <w:r>
        <w:rPr>
          <w:rFonts w:hint="eastAsia" w:ascii="宋体" w:hAnsi="宋体" w:eastAsia="宋体" w:cs="Times New Roman"/>
          <w:color w:val="auto"/>
          <w:highlight w:val="none"/>
          <w:lang w:eastAsia="zh-CN"/>
        </w:rPr>
        <w:t>合同签订后5个工作日内，乙方需缴纳履约保证金</w:t>
      </w:r>
      <w:r>
        <w:rPr>
          <w:rFonts w:hint="eastAsia" w:ascii="宋体" w:hAnsi="宋体" w:eastAsia="宋体" w:cs="Times New Roman"/>
          <w:color w:val="auto"/>
          <w:highlight w:val="none"/>
        </w:rPr>
        <w:t>￥</w:t>
      </w:r>
      <w:r>
        <w:rPr>
          <w:rFonts w:hint="eastAsia" w:cs="宋体" w:asciiTheme="minorEastAsia" w:hAnsiTheme="minorEastAsia" w:eastAsiaTheme="minorEastAsia"/>
          <w:color w:val="auto"/>
          <w:szCs w:val="24"/>
          <w:highlight w:val="none"/>
          <w:u w:val="single"/>
          <w:lang w:val="en-US" w:eastAsia="zh-CN"/>
        </w:rPr>
        <w:t>15000</w:t>
      </w:r>
      <w:r>
        <w:rPr>
          <w:rFonts w:hint="eastAsia" w:ascii="宋体" w:hAnsi="宋体" w:eastAsia="宋体" w:cs="Times New Roman"/>
          <w:color w:val="auto"/>
          <w:highlight w:val="none"/>
        </w:rPr>
        <w:t>元。履约保证金为工期、质量等方面的履约保证。乙方在工程工期、工程质量等方面兑现投标书的承诺，在工程</w:t>
      </w:r>
      <w:r>
        <w:rPr>
          <w:rFonts w:hint="eastAsia" w:ascii="宋体" w:hAnsi="宋体" w:eastAsia="宋体" w:cs="Times New Roman"/>
          <w:color w:val="auto"/>
          <w:highlight w:val="none"/>
          <w:lang w:eastAsia="zh-CN"/>
        </w:rPr>
        <w:t>全部施工完成并</w:t>
      </w:r>
      <w:r>
        <w:rPr>
          <w:rFonts w:hint="eastAsia" w:ascii="宋体" w:hAnsi="宋体" w:eastAsia="宋体" w:cs="Times New Roman"/>
          <w:color w:val="auto"/>
          <w:highlight w:val="none"/>
        </w:rPr>
        <w:t>验收合格后7日内退还剩余履约保证金（若有），履约保证金不计利息。</w:t>
      </w:r>
    </w:p>
    <w:p w14:paraId="1A05272F">
      <w:pPr>
        <w:spacing w:line="360" w:lineRule="auto"/>
        <w:ind w:firstLine="48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2、凡在工期、工程质量、安全文明施工等要求中，任何一项要求没有达到本合同约定，甲方有权按比例或全额扣除乙方履约保证金，乙方应在7日内予以补足，否则，甲方有权在应付款项中暂时扣除用于补足履约保证金。</w:t>
      </w:r>
    </w:p>
    <w:p w14:paraId="64058CC8">
      <w:pPr>
        <w:autoSpaceDN w:val="0"/>
        <w:spacing w:line="360" w:lineRule="auto"/>
        <w:rPr>
          <w:rFonts w:hint="eastAsia" w:ascii="宋体"/>
          <w:b/>
          <w:bCs/>
          <w:color w:val="auto"/>
          <w:sz w:val="24"/>
          <w:szCs w:val="24"/>
          <w:highlight w:val="none"/>
        </w:rPr>
      </w:pPr>
      <w:r>
        <w:rPr>
          <w:rFonts w:hint="eastAsia" w:ascii="宋体"/>
          <w:b/>
          <w:bCs/>
          <w:color w:val="auto"/>
          <w:sz w:val="24"/>
          <w:szCs w:val="24"/>
          <w:highlight w:val="none"/>
        </w:rPr>
        <w:t>十</w:t>
      </w:r>
      <w:r>
        <w:rPr>
          <w:rFonts w:hint="eastAsia" w:ascii="宋体"/>
          <w:b/>
          <w:bCs/>
          <w:color w:val="auto"/>
          <w:sz w:val="24"/>
          <w:szCs w:val="24"/>
          <w:highlight w:val="none"/>
          <w:lang w:val="en-US" w:eastAsia="zh-CN"/>
        </w:rPr>
        <w:t>五</w:t>
      </w:r>
      <w:r>
        <w:rPr>
          <w:rFonts w:hint="eastAsia" w:ascii="宋体"/>
          <w:b/>
          <w:bCs/>
          <w:color w:val="auto"/>
          <w:sz w:val="24"/>
          <w:szCs w:val="24"/>
          <w:highlight w:val="none"/>
        </w:rPr>
        <w:t>、双方责任与义务</w:t>
      </w:r>
    </w:p>
    <w:p w14:paraId="757D0108">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1、甲方责任与义务</w:t>
      </w:r>
    </w:p>
    <w:p w14:paraId="178DBE3B">
      <w:pPr>
        <w:tabs>
          <w:tab w:val="left" w:pos="1520"/>
          <w:tab w:val="center" w:pos="4876"/>
        </w:tabs>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1.1、遵守法律、法规和规章，甲方应在其实施本合同的全部工作中遵守与本合同有关的法律、法规和规章，并应承担因其自身违反上述法律、法规和规章的责任。</w:t>
      </w:r>
    </w:p>
    <w:p w14:paraId="574CC3BD">
      <w:pPr>
        <w:tabs>
          <w:tab w:val="left" w:pos="1520"/>
          <w:tab w:val="center" w:pos="4876"/>
        </w:tabs>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1.2、甲方委派</w:t>
      </w:r>
      <w:r>
        <w:rPr>
          <w:rFonts w:hint="eastAsia" w:ascii="宋体"/>
          <w:color w:val="auto"/>
          <w:sz w:val="24"/>
          <w:szCs w:val="24"/>
          <w:highlight w:val="none"/>
          <w:u w:val="single"/>
        </w:rPr>
        <w:t xml:space="preserve"> </w:t>
      </w:r>
      <w:r>
        <w:rPr>
          <w:rFonts w:hint="eastAsia" w:ascii="宋体"/>
          <w:color w:val="auto"/>
          <w:sz w:val="24"/>
          <w:szCs w:val="24"/>
          <w:highlight w:val="none"/>
          <w:u w:val="single"/>
          <w:lang w:eastAsia="zh-CN"/>
        </w:rPr>
        <w:t>吴凯昇</w:t>
      </w:r>
      <w:r>
        <w:rPr>
          <w:rFonts w:hint="eastAsia" w:ascii="宋体"/>
          <w:color w:val="auto"/>
          <w:sz w:val="24"/>
          <w:szCs w:val="24"/>
          <w:highlight w:val="none"/>
          <w:u w:val="single"/>
        </w:rPr>
        <w:t xml:space="preserve"> </w:t>
      </w:r>
      <w:r>
        <w:rPr>
          <w:rFonts w:hint="eastAsia" w:ascii="宋体"/>
          <w:color w:val="auto"/>
          <w:sz w:val="24"/>
          <w:szCs w:val="24"/>
          <w:highlight w:val="none"/>
        </w:rPr>
        <w:t>为现场代表，电话</w:t>
      </w:r>
      <w:r>
        <w:rPr>
          <w:rFonts w:hint="eastAsia" w:ascii="宋体"/>
          <w:color w:val="auto"/>
          <w:sz w:val="24"/>
          <w:szCs w:val="24"/>
          <w:highlight w:val="none"/>
          <w:u w:val="single"/>
          <w:lang w:val="en-US" w:eastAsia="zh-CN"/>
        </w:rPr>
        <w:t>15839062988</w:t>
      </w:r>
      <w:r>
        <w:rPr>
          <w:rFonts w:hint="eastAsia" w:ascii="宋体"/>
          <w:color w:val="auto"/>
          <w:sz w:val="24"/>
          <w:szCs w:val="24"/>
          <w:highlight w:val="none"/>
        </w:rPr>
        <w:t>，监督、检查产品、工程的质量，协调工作中发生的有关事宜并参与产品、工程的初验、验收和签证工作。如现场代表变更则需及时通知乙方。</w:t>
      </w:r>
    </w:p>
    <w:p w14:paraId="208A8D5B">
      <w:pPr>
        <w:tabs>
          <w:tab w:val="left" w:pos="1520"/>
          <w:tab w:val="center" w:pos="4876"/>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1.3、甲方应提供乙方所需工程建筑图、说明书、建筑平面图、变更图及有关技术文件等作为乙方产品设计和施工的有效依据。</w:t>
      </w:r>
      <w:r>
        <w:rPr>
          <w:rFonts w:hint="eastAsia" w:ascii="宋体"/>
          <w:color w:val="auto"/>
          <w:sz w:val="24"/>
          <w:szCs w:val="24"/>
          <w:highlight w:val="none"/>
          <w:lang w:eastAsia="zh-CN"/>
        </w:rPr>
        <w:t>签订合同时</w:t>
      </w:r>
      <w:r>
        <w:rPr>
          <w:rFonts w:hint="eastAsia" w:ascii="宋体"/>
          <w:color w:val="auto"/>
          <w:sz w:val="24"/>
          <w:szCs w:val="24"/>
          <w:highlight w:val="none"/>
        </w:rPr>
        <w:t>，甲方向乙方提供建筑施工图、变更通知及相关材料电子版1套。</w:t>
      </w:r>
    </w:p>
    <w:p w14:paraId="11A465C3">
      <w:pPr>
        <w:tabs>
          <w:tab w:val="left" w:pos="916"/>
        </w:tabs>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1.4、甲方应按合同条款规定的乙方施工范围和期限，按时向乙方提供施工场地；及时提供水源和电源接驳点，确保工程按期顺利开工，水电费用由乙方自理。</w:t>
      </w:r>
    </w:p>
    <w:p w14:paraId="27DB60CA">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1.5、组织有关方面进行设计、技术交底；审批乙方的施工组织设计和开、停、竣工报告，办理签证。</w:t>
      </w:r>
    </w:p>
    <w:p w14:paraId="668BFF97">
      <w:pPr>
        <w:tabs>
          <w:tab w:val="left" w:pos="1520"/>
          <w:tab w:val="center" w:pos="4876"/>
        </w:tabs>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1.6、甲方协调乙方与其他参建单位施工配合问题，并督促工程进度。</w:t>
      </w:r>
    </w:p>
    <w:p w14:paraId="2B4E4CB5">
      <w:pPr>
        <w:tabs>
          <w:tab w:val="left" w:pos="1520"/>
          <w:tab w:val="center" w:pos="4876"/>
        </w:tabs>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1.7、甲方应及时按合同要求给乙方拨付工程款、组织工程竣工验收并按合同规定办理竣工结算。</w:t>
      </w:r>
    </w:p>
    <w:p w14:paraId="17C3CBA2">
      <w:pPr>
        <w:tabs>
          <w:tab w:val="left" w:pos="1520"/>
          <w:tab w:val="center" w:pos="4876"/>
        </w:tabs>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1.8、进场材料及施工成品、半成品达不到标准/要求，有权责令乙方调换。</w:t>
      </w:r>
    </w:p>
    <w:p w14:paraId="659C82C0">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1.9、在乙方的机械、人工数量满足不了施工进度要求的情况下，有权要求乙方增加机械、人工数量，费用由乙方承担。</w:t>
      </w:r>
    </w:p>
    <w:p w14:paraId="0C901CA1">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1.10、参加隐蔽工程、中间工程及主要材料进场的检查验收。</w:t>
      </w:r>
    </w:p>
    <w:p w14:paraId="1F8FAB7D">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1.11、如乙方不按合同要求进行施工，甲方现场代表可勒令乙方暂停施工，待整改完毕后报甲方检查并同意后方可复工，由此造成的损失由乙方负责。</w:t>
      </w:r>
    </w:p>
    <w:p w14:paraId="2AA62FE7">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2、乙方责任与义务</w:t>
      </w:r>
    </w:p>
    <w:p w14:paraId="1FC5D356">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2.1、遵守法律、法规和规章，乙方应在其负责的各项工作中遵守与本合同工程有关的法律、法规和规章，并保证甲方免于承担因乙方违反上述法律、法规和规章的任何责任。</w:t>
      </w:r>
    </w:p>
    <w:p w14:paraId="6F40A20E">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2.2、乙方委派杨伟伟为现场代表（身份证号码：41038119881110651X ），电话 18537931537  ，并须持有与工程项目相适应的资格证书，负责施工期间的施工质量、安全问题，协调工作中发生的有关事宜。现场代表手机24小时不得关机，若需更换联系方式，乙方须提前通知甲方工程师。如现场代表变更则须经甲方同意后方可更换，乙方新指派的现场代表必须无条件全面继续承担乙方应负的责任。否则，甲方有权采取相应的措施，直至乙方退场，由此造成的一切损失由乙方承担。</w:t>
      </w:r>
    </w:p>
    <w:p w14:paraId="00986831">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2.3、乙方不得将该工程转包或分包，否则甲方不支付乙方所发生的任何费用。</w:t>
      </w:r>
    </w:p>
    <w:p w14:paraId="7F07D1CE">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2.4、办理有关施工场地交通、环卫和施工噪音管理等手续；及时办理进入本市的施工登记备案手续，因乙方未及时办理外地施工企业进洛登记手续，给甲方造成的损失或影响由乙方承担；乙方应严格按照建设工程安全生产管理条例进行施工，执行</w:t>
      </w:r>
      <w:r>
        <w:rPr>
          <w:rFonts w:hint="eastAsia" w:ascii="宋体"/>
          <w:color w:val="auto"/>
          <w:sz w:val="24"/>
          <w:szCs w:val="24"/>
          <w:highlight w:val="none"/>
          <w:u w:val="single"/>
        </w:rPr>
        <w:t>洛阳</w:t>
      </w:r>
      <w:r>
        <w:rPr>
          <w:rFonts w:hint="eastAsia" w:ascii="宋体"/>
          <w:color w:val="auto"/>
          <w:sz w:val="24"/>
          <w:szCs w:val="24"/>
          <w:highlight w:val="none"/>
        </w:rPr>
        <w:t>市城市文明建设施工的有关规定。若施工过程中因乙方自身原因受到执法部门及其他部门的处罚或发生安全事故，相关责任和后果由乙方承担，并且工期不得顺延。</w:t>
      </w:r>
    </w:p>
    <w:p w14:paraId="566D41A6">
      <w:pPr>
        <w:tabs>
          <w:tab w:val="left" w:pos="916"/>
        </w:tabs>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2.5、</w:t>
      </w:r>
      <w:r>
        <w:rPr>
          <w:rFonts w:hint="eastAsia" w:ascii="宋体" w:hAnsi="宋体"/>
          <w:bCs/>
          <w:color w:val="auto"/>
          <w:sz w:val="24"/>
          <w:szCs w:val="24"/>
          <w:highlight w:val="none"/>
        </w:rPr>
        <w:t>乙方项目管理班子组建必须配备项目经理、</w:t>
      </w:r>
      <w:r>
        <w:rPr>
          <w:rFonts w:hint="eastAsia" w:ascii="宋体" w:hAnsi="宋体"/>
          <w:bCs/>
          <w:color w:val="auto"/>
          <w:sz w:val="24"/>
          <w:szCs w:val="24"/>
          <w:highlight w:val="none"/>
          <w:lang w:val="en-US" w:eastAsia="zh-CN"/>
        </w:rPr>
        <w:t>园建、绿化、安装</w:t>
      </w:r>
      <w:r>
        <w:rPr>
          <w:rFonts w:hint="eastAsia" w:ascii="宋体" w:hAnsi="宋体"/>
          <w:bCs/>
          <w:color w:val="auto"/>
          <w:sz w:val="24"/>
          <w:szCs w:val="24"/>
          <w:highlight w:val="none"/>
        </w:rPr>
        <w:t>、安全、资料等相关</w:t>
      </w:r>
      <w:r>
        <w:rPr>
          <w:rFonts w:hint="eastAsia" w:ascii="宋体" w:hAnsi="宋体"/>
          <w:bCs/>
          <w:color w:val="auto"/>
          <w:sz w:val="24"/>
          <w:szCs w:val="24"/>
          <w:highlight w:val="none"/>
          <w:lang w:val="en-US" w:eastAsia="zh-CN"/>
        </w:rPr>
        <w:t>管理</w:t>
      </w:r>
      <w:r>
        <w:rPr>
          <w:rFonts w:hint="eastAsia" w:ascii="宋体" w:hAnsi="宋体"/>
          <w:bCs/>
          <w:color w:val="auto"/>
          <w:sz w:val="24"/>
          <w:szCs w:val="24"/>
          <w:highlight w:val="none"/>
        </w:rPr>
        <w:t>人员；</w:t>
      </w:r>
      <w:r>
        <w:rPr>
          <w:rFonts w:hint="eastAsia" w:ascii="宋体"/>
          <w:color w:val="auto"/>
          <w:sz w:val="24"/>
          <w:szCs w:val="24"/>
          <w:highlight w:val="none"/>
        </w:rPr>
        <w:t>经甲方确认无法胜任工作的人员，乙方必须在48小时内用甲方批准的合格的人员进行更换。</w:t>
      </w:r>
    </w:p>
    <w:p w14:paraId="38B92E72">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2.6、在施工过程中，项目经理、园建技术负责人、绿化技术负责人、水电安装技术负责人，必须保证每天都要在现场进行旁站管理。项目经理必须保证每天在项目至少8小时的工作时间，其他相关专业技术负责人，只要现场的施工</w:t>
      </w:r>
      <w:r>
        <w:rPr>
          <w:rFonts w:hint="eastAsia" w:ascii="宋体"/>
          <w:color w:val="auto"/>
          <w:sz w:val="24"/>
          <w:szCs w:val="24"/>
          <w:highlight w:val="none"/>
          <w:lang w:eastAsia="zh-CN"/>
        </w:rPr>
        <w:t>涉及</w:t>
      </w:r>
      <w:r>
        <w:rPr>
          <w:rFonts w:hint="eastAsia" w:ascii="宋体"/>
          <w:color w:val="auto"/>
          <w:sz w:val="24"/>
          <w:szCs w:val="24"/>
          <w:highlight w:val="none"/>
        </w:rPr>
        <w:t>自身专业，就必须亲自到场进行旁站管理。甲方将每天对以上人员的出勤时间进行统计，按周进行汇总，如每人每周有2次以上达不到</w:t>
      </w:r>
      <w:r>
        <w:rPr>
          <w:rFonts w:hint="eastAsia" w:ascii="宋体"/>
          <w:color w:val="auto"/>
          <w:sz w:val="24"/>
          <w:szCs w:val="24"/>
          <w:highlight w:val="none"/>
          <w:lang w:val="en-US" w:eastAsia="zh-CN"/>
        </w:rPr>
        <w:t>上述</w:t>
      </w:r>
      <w:r>
        <w:rPr>
          <w:rFonts w:hint="eastAsia" w:ascii="宋体"/>
          <w:color w:val="auto"/>
          <w:sz w:val="24"/>
          <w:szCs w:val="24"/>
          <w:highlight w:val="none"/>
        </w:rPr>
        <w:t>要求，项目经理</w:t>
      </w:r>
      <w:r>
        <w:rPr>
          <w:rFonts w:hint="eastAsia" w:ascii="宋体"/>
          <w:color w:val="auto"/>
          <w:sz w:val="24"/>
          <w:szCs w:val="24"/>
          <w:highlight w:val="none"/>
          <w:lang w:val="en-US" w:eastAsia="zh-CN"/>
        </w:rPr>
        <w:t>出现该情况，乙方</w:t>
      </w:r>
      <w:r>
        <w:rPr>
          <w:rFonts w:hint="eastAsia" w:ascii="宋体"/>
          <w:color w:val="auto"/>
          <w:sz w:val="24"/>
          <w:szCs w:val="24"/>
          <w:highlight w:val="none"/>
        </w:rPr>
        <w:t>按每周500元违约金支付给甲方，其他相关人员</w:t>
      </w:r>
      <w:r>
        <w:rPr>
          <w:rFonts w:hint="eastAsia" w:ascii="宋体"/>
          <w:color w:val="auto"/>
          <w:sz w:val="24"/>
          <w:szCs w:val="24"/>
          <w:highlight w:val="none"/>
          <w:lang w:val="en-US" w:eastAsia="zh-CN"/>
        </w:rPr>
        <w:t>出现该情况，乙方</w:t>
      </w:r>
      <w:r>
        <w:rPr>
          <w:rFonts w:hint="eastAsia" w:ascii="宋体"/>
          <w:color w:val="auto"/>
          <w:sz w:val="24"/>
          <w:szCs w:val="24"/>
          <w:highlight w:val="none"/>
        </w:rPr>
        <w:t>按每周200元违约金支付给甲方。如因特殊原因不能到场的，必须提前2小时通知甲方，同时并安排其对口专业的其他相关人员进行补位。</w:t>
      </w:r>
    </w:p>
    <w:p w14:paraId="41C094C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2.7、乙方项目经理、项目技术负责人、安装工程负责人必须准时参加甲方或监理组织的工程会议，因故不参加的应提前4小时向甲方及监理提出申请，并在获得批准后方可缺席。</w:t>
      </w:r>
    </w:p>
    <w:p w14:paraId="5805A6CE">
      <w:pPr>
        <w:tabs>
          <w:tab w:val="left" w:pos="916"/>
        </w:tabs>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2.8、往来文件必须无条件签收，如对签收的文件内容有异议，则须在48小时内提出；否则视为同意，并无条件执行。</w:t>
      </w:r>
    </w:p>
    <w:p w14:paraId="07B69E2C">
      <w:pPr>
        <w:tabs>
          <w:tab w:val="left" w:pos="916"/>
        </w:tabs>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2.9、乙方对工程例会或工程会议上提出的决议、要求如有异议，则须在会上提出并协商解决，否则视为同意，会后须无条件执行，不得在会议纪要签收后或签收时提出，否则将承担由此造成的一切后果。</w:t>
      </w:r>
    </w:p>
    <w:p w14:paraId="7252370E">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2.10、乙方应服从甲方和监理单位的管理，</w:t>
      </w:r>
      <w:r>
        <w:rPr>
          <w:rFonts w:hint="eastAsia" w:ascii="宋体" w:hAnsi="宋体"/>
          <w:bCs/>
          <w:color w:val="auto"/>
          <w:sz w:val="24"/>
          <w:szCs w:val="24"/>
          <w:highlight w:val="none"/>
        </w:rPr>
        <w:t>遵照其指示工作，并为其日常查验提供便利和安全条件，如接到指示未执行，因此产生的损失和费用由乙方承担；乙方</w:t>
      </w:r>
      <w:r>
        <w:rPr>
          <w:rFonts w:hint="eastAsia" w:ascii="宋体"/>
          <w:color w:val="auto"/>
          <w:sz w:val="24"/>
          <w:szCs w:val="24"/>
          <w:highlight w:val="none"/>
        </w:rPr>
        <w:t>需密切配合总包单位施工，遵守工地的有关规定；严格实行工序开工前向监理报验制度。</w:t>
      </w:r>
    </w:p>
    <w:p w14:paraId="392DC7CC">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2.11、乙方应按甲方提供的图纸进行产品设计，确保工程质量；并保证本工程使用的产品符合国家现行标准。</w:t>
      </w:r>
    </w:p>
    <w:p w14:paraId="5F15BB2F">
      <w:pPr>
        <w:tabs>
          <w:tab w:val="left" w:pos="916"/>
        </w:tabs>
        <w:spacing w:line="360" w:lineRule="auto"/>
        <w:ind w:firstLine="480" w:firstLineChars="200"/>
        <w:rPr>
          <w:rFonts w:ascii="宋体" w:hAnsi="宋体"/>
          <w:bCs/>
          <w:color w:val="auto"/>
          <w:sz w:val="24"/>
          <w:szCs w:val="24"/>
          <w:highlight w:val="none"/>
        </w:rPr>
      </w:pPr>
      <w:r>
        <w:rPr>
          <w:rFonts w:hint="eastAsia" w:ascii="宋体"/>
          <w:color w:val="auto"/>
          <w:sz w:val="24"/>
          <w:szCs w:val="24"/>
          <w:highlight w:val="none"/>
        </w:rPr>
        <w:t>2.12、按照施工安全规范的要求，采取相应的安全施工防护措施，在现场施工中对安全负全责，发生安全事故与甲方及总包单位无关，一切责任由乙方承担；做到文明施工，工完料清、场清；乙方做好半成品及成品保护工作。</w:t>
      </w:r>
      <w:r>
        <w:rPr>
          <w:rFonts w:hint="eastAsia" w:ascii="宋体" w:hAnsi="宋体"/>
          <w:bCs/>
          <w:color w:val="auto"/>
          <w:sz w:val="24"/>
          <w:szCs w:val="24"/>
          <w:highlight w:val="none"/>
        </w:rPr>
        <w:t>保护施工现场的地下管线、周围的建筑物、构筑物，遵守环保要求。</w:t>
      </w:r>
    </w:p>
    <w:p w14:paraId="4D420625">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2.13、做好各项质量自检记录，参加竣工验收，编制工程竣工资料。</w:t>
      </w:r>
    </w:p>
    <w:p w14:paraId="0DA7984E">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2.14、遵守国家或地方政府及有关部门对施工现场的管理规定；服从甲方的有关指令，积极配合甲方进度安排。</w:t>
      </w:r>
    </w:p>
    <w:p w14:paraId="23040249">
      <w:pPr>
        <w:autoSpaceDN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2.15、根据施工验收规范及甲方要求，及时向甲方和总包单位提供该分项工程资料。</w:t>
      </w:r>
    </w:p>
    <w:p w14:paraId="1D48A93F">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2.16、水源电源接驳工作及产生的水电费由乙方自行承担。</w:t>
      </w:r>
    </w:p>
    <w:p w14:paraId="7C0FCBE4">
      <w:pPr>
        <w:autoSpaceDN w:val="0"/>
        <w:spacing w:line="360" w:lineRule="auto"/>
        <w:ind w:firstLine="480"/>
        <w:rPr>
          <w:rFonts w:hint="eastAsia" w:ascii="宋体"/>
          <w:color w:val="auto"/>
          <w:sz w:val="24"/>
          <w:szCs w:val="24"/>
          <w:highlight w:val="none"/>
        </w:rPr>
      </w:pPr>
      <w:r>
        <w:rPr>
          <w:rFonts w:hint="eastAsia" w:ascii="宋体"/>
          <w:color w:val="auto"/>
          <w:sz w:val="24"/>
          <w:szCs w:val="24"/>
          <w:highlight w:val="none"/>
        </w:rPr>
        <w:t>2.17、承担工程所用材料、设备施工现场内的垂直及水平运输费用；自行解决办公和生活房屋及设施等。</w:t>
      </w:r>
    </w:p>
    <w:p w14:paraId="568065CB">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2.18、乙方如有将设备材料堆放不妥的，甲方管理人员有权责成乙方无条件整改，若不能符合甲方要求，甲方可指定专人开展清洁工作，费用由乙方承担。</w:t>
      </w:r>
    </w:p>
    <w:p w14:paraId="10F30A8B">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2.19、乙方的施工区域必须设置高度为</w:t>
      </w:r>
      <w:r>
        <w:rPr>
          <w:rFonts w:hint="eastAsia" w:ascii="宋体"/>
          <w:color w:val="auto"/>
          <w:sz w:val="24"/>
          <w:szCs w:val="24"/>
          <w:highlight w:val="none"/>
          <w:lang w:val="en-US" w:eastAsia="zh-CN"/>
        </w:rPr>
        <w:t>不低于2</w:t>
      </w:r>
      <w:r>
        <w:rPr>
          <w:rFonts w:hint="eastAsia" w:ascii="宋体"/>
          <w:color w:val="auto"/>
          <w:sz w:val="24"/>
          <w:szCs w:val="24"/>
          <w:highlight w:val="none"/>
        </w:rPr>
        <w:t>米的金属类材质围挡，做好现场文明施工工作。</w:t>
      </w:r>
    </w:p>
    <w:p w14:paraId="42E40958">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2.20、施工组织管理、维持现场整洁、道路畅通、不漏、不洒、不扬，做到工完场清，进出工地的车辆须派专人及时进行冲洗清扫，防止污染市政道路，达到</w:t>
      </w:r>
      <w:r>
        <w:rPr>
          <w:rFonts w:hint="eastAsia" w:ascii="宋体"/>
          <w:color w:val="auto"/>
          <w:sz w:val="24"/>
          <w:szCs w:val="24"/>
          <w:highlight w:val="none"/>
          <w:u w:val="single"/>
        </w:rPr>
        <w:t>洛阳</w:t>
      </w:r>
      <w:r>
        <w:rPr>
          <w:rFonts w:hint="eastAsia" w:ascii="宋体"/>
          <w:color w:val="auto"/>
          <w:sz w:val="24"/>
          <w:szCs w:val="24"/>
          <w:highlight w:val="none"/>
        </w:rPr>
        <w:t>市及项目所在地文明工地标准；若遭到政府相关部门处罚，甲方将直接从乙方工程款中双倍扣除。</w:t>
      </w:r>
    </w:p>
    <w:p w14:paraId="282CFFA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2.21、乙方已完工的铺装区域必须做三道保护层（薄膜、毛毡、彩条布，顺序由下至上），在区域完工后12小时内做好以上成品保护措施。</w:t>
      </w:r>
    </w:p>
    <w:p w14:paraId="02CC4357">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2.22、雨、雪天气，乙方应积极采取搭棚、铺装保暖、苗木保暖等防护措施，不得因天气因素影响进度形象；当气温低于0</w:t>
      </w:r>
      <w:r>
        <w:rPr>
          <w:rFonts w:hint="eastAsia" w:ascii="宋体" w:hAnsi="宋体"/>
          <w:color w:val="auto"/>
          <w:sz w:val="24"/>
          <w:szCs w:val="24"/>
          <w:highlight w:val="none"/>
        </w:rPr>
        <w:t>℃</w:t>
      </w:r>
      <w:r>
        <w:rPr>
          <w:rFonts w:hint="eastAsia" w:ascii="宋体"/>
          <w:color w:val="auto"/>
          <w:sz w:val="24"/>
          <w:szCs w:val="24"/>
          <w:highlight w:val="none"/>
        </w:rPr>
        <w:t>时，混凝土浇筑应加入防冻剂、早强剂；该部分所产生的费用均由乙方承担。</w:t>
      </w:r>
    </w:p>
    <w:p w14:paraId="100FFC7E">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2.23、本工程移交甲方前由乙方负责成品保护，对所有成品进行全面清洗清洁及现场清理，以确保在移交甲方前施工现场无建筑垃圾和其他任何污染，凡因成品保护和现场清理所发生的任何毁损或污染，应本着先修复、后分清责任的原则，由乙方负责修复、清理并承担相关所有费用、损失和风险。如乙方未妥善履行上述义务，甲方有权另行委托他人代为履行，所产生的费用全部由乙方承担，由此影响到本工程竣工验收及交付使用的，产生的全部损失均由乙方负责赔偿。</w:t>
      </w:r>
    </w:p>
    <w:p w14:paraId="598883AC">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2.24、销售配合</w:t>
      </w:r>
    </w:p>
    <w:p w14:paraId="7E8EA970">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2.24.1、因销售需要，乙方需按规定时间完成工作，销售配合时间由甲方</w:t>
      </w:r>
      <w:r>
        <w:rPr>
          <w:rFonts w:hint="eastAsia" w:ascii="宋体"/>
          <w:color w:val="auto"/>
          <w:sz w:val="24"/>
          <w:szCs w:val="24"/>
          <w:highlight w:val="none"/>
          <w:lang w:eastAsia="zh-CN"/>
        </w:rPr>
        <w:t>下达</w:t>
      </w:r>
      <w:r>
        <w:rPr>
          <w:rFonts w:hint="eastAsia" w:ascii="宋体"/>
          <w:color w:val="auto"/>
          <w:sz w:val="24"/>
          <w:szCs w:val="24"/>
          <w:highlight w:val="none"/>
        </w:rPr>
        <w:t>指令单提前3天通知。</w:t>
      </w:r>
    </w:p>
    <w:p w14:paraId="7A498536">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2.24.2、甲方将根据销售需要，安排施工现场不定期对社会开放，乙方在开放日前应对施工现场进行清理，并</w:t>
      </w:r>
      <w:r>
        <w:rPr>
          <w:rFonts w:hint="eastAsia" w:ascii="宋体"/>
          <w:color w:val="auto"/>
          <w:sz w:val="24"/>
          <w:szCs w:val="24"/>
          <w:highlight w:val="none"/>
          <w:lang w:eastAsia="zh-CN"/>
        </w:rPr>
        <w:t>做好</w:t>
      </w:r>
      <w:r>
        <w:rPr>
          <w:rFonts w:hint="eastAsia" w:ascii="宋体"/>
          <w:color w:val="auto"/>
          <w:sz w:val="24"/>
          <w:szCs w:val="24"/>
          <w:highlight w:val="none"/>
        </w:rPr>
        <w:t>相应的安全措施。</w:t>
      </w:r>
    </w:p>
    <w:p w14:paraId="3181E0A9">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2.24.3、为配合销售而需要施工的项目，乙方必须按甲方的要求按时安排施工完毕，如施工内容超出本施工合同范围，甲方将办理预算外签证。</w:t>
      </w:r>
    </w:p>
    <w:p w14:paraId="6AA976FA">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2.24.4、乙方不能按合同要求完成上述</w:t>
      </w:r>
      <w:r>
        <w:rPr>
          <w:rFonts w:hint="eastAsia" w:ascii="宋体"/>
          <w:color w:val="auto"/>
          <w:sz w:val="24"/>
          <w:szCs w:val="24"/>
          <w:highlight w:val="none"/>
          <w:lang w:val="en-US" w:eastAsia="zh-CN"/>
        </w:rPr>
        <w:t>销售配合</w:t>
      </w:r>
      <w:r>
        <w:rPr>
          <w:rFonts w:hint="eastAsia" w:ascii="宋体"/>
          <w:color w:val="auto"/>
          <w:sz w:val="24"/>
          <w:szCs w:val="24"/>
          <w:highlight w:val="none"/>
        </w:rPr>
        <w:t>工作，每延期一天，乙方向甲方支付5000元的违约金。</w:t>
      </w:r>
    </w:p>
    <w:p w14:paraId="4F4B6EDC">
      <w:pPr>
        <w:autoSpaceDN w:val="0"/>
        <w:spacing w:line="360" w:lineRule="auto"/>
        <w:ind w:firstLine="480" w:firstLineChars="200"/>
        <w:rPr>
          <w:rFonts w:hint="eastAsia" w:ascii="宋体"/>
          <w:color w:val="auto"/>
          <w:sz w:val="24"/>
          <w:szCs w:val="24"/>
          <w:highlight w:val="none"/>
          <w:lang w:val="en-US" w:eastAsia="zh-CN"/>
        </w:rPr>
      </w:pPr>
      <w:r>
        <w:rPr>
          <w:rFonts w:hint="eastAsia" w:ascii="宋体"/>
          <w:color w:val="auto"/>
          <w:sz w:val="24"/>
          <w:szCs w:val="24"/>
          <w:highlight w:val="none"/>
          <w:lang w:val="en-US" w:eastAsia="zh-CN"/>
        </w:rPr>
        <w:t>2.25、其他要求：</w:t>
      </w:r>
    </w:p>
    <w:p w14:paraId="56E0BB64">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1、工程建设施工过程中产生的建筑垃圾由乙方负责清运出甲方管辖的施工现场至市政部门指定的建筑垃圾倾倒地点，并承担相应费用，结算时不另行计取。</w:t>
      </w:r>
    </w:p>
    <w:p w14:paraId="704CC9FF">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2、乙方在微地形处理中，包括现状条件下土方挖运、倒运，标高找平等一切内容，施工图纸范围外的另行办理签证。</w:t>
      </w:r>
    </w:p>
    <w:p w14:paraId="7CA840FC">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3、土方平整或开挖时乙方应采取有效措施对已完工及原管线进行保护性施工，避免对原管线造成破坏；乙方造成的破坏应由乙方修复，发生的一切费用由乙方承担。</w:t>
      </w:r>
    </w:p>
    <w:p w14:paraId="5DD94756">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4、施工时乙方应与其他施工单位进行相互配合，如消防、燃气等，配合费用不再另行</w:t>
      </w:r>
      <w:r>
        <w:rPr>
          <w:rFonts w:hint="eastAsia" w:ascii="宋体"/>
          <w:color w:val="auto"/>
          <w:sz w:val="24"/>
          <w:szCs w:val="24"/>
          <w:highlight w:val="none"/>
          <w:lang w:eastAsia="zh-CN"/>
        </w:rPr>
        <w:t>计取</w:t>
      </w:r>
      <w:r>
        <w:rPr>
          <w:rFonts w:hint="eastAsia" w:ascii="宋体"/>
          <w:color w:val="auto"/>
          <w:sz w:val="24"/>
          <w:szCs w:val="24"/>
          <w:highlight w:val="none"/>
        </w:rPr>
        <w:t>。</w:t>
      </w:r>
    </w:p>
    <w:p w14:paraId="29B84E8F">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5、在本合同约定的工程施工过程中，若</w:t>
      </w:r>
      <w:r>
        <w:rPr>
          <w:rFonts w:hint="eastAsia" w:ascii="宋体"/>
          <w:color w:val="auto"/>
          <w:sz w:val="24"/>
          <w:szCs w:val="24"/>
          <w:highlight w:val="none"/>
          <w:lang w:val="en-US" w:eastAsia="zh-CN"/>
        </w:rPr>
        <w:t>因</w:t>
      </w:r>
      <w:r>
        <w:rPr>
          <w:rFonts w:hint="eastAsia" w:ascii="宋体"/>
          <w:color w:val="auto"/>
          <w:sz w:val="24"/>
          <w:szCs w:val="24"/>
          <w:highlight w:val="none"/>
        </w:rPr>
        <w:t>甲方原因导致连续停工超过30天，且甲方要求乙方现场人员及设备原地待命</w:t>
      </w:r>
      <w:r>
        <w:rPr>
          <w:rFonts w:hint="eastAsia" w:ascii="宋体"/>
          <w:color w:val="auto"/>
          <w:sz w:val="24"/>
          <w:szCs w:val="24"/>
          <w:highlight w:val="none"/>
          <w:lang w:val="en-US" w:eastAsia="zh-CN"/>
        </w:rPr>
        <w:t>的</w:t>
      </w:r>
      <w:r>
        <w:rPr>
          <w:rFonts w:hint="eastAsia" w:ascii="宋体"/>
          <w:color w:val="auto"/>
          <w:sz w:val="24"/>
          <w:szCs w:val="24"/>
          <w:highlight w:val="none"/>
        </w:rPr>
        <w:t>，则从31天起，经甲方确认后按25元/工日计取窝工费；按前述窝工费的20%计取现场管理费；机械停滞费按定额计取。上述费用仅计税金，不参与取费，不参与总价浮动。除此之外的费用不予计取。</w:t>
      </w:r>
    </w:p>
    <w:p w14:paraId="57A0714F">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6、乙方无条件同意施工过程中甲方提出的优化建议。</w:t>
      </w:r>
    </w:p>
    <w:p w14:paraId="332D9959">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w:t>
      </w:r>
      <w:r>
        <w:rPr>
          <w:rFonts w:hint="eastAsia" w:ascii="宋体"/>
          <w:color w:val="auto"/>
          <w:sz w:val="24"/>
          <w:szCs w:val="24"/>
          <w:highlight w:val="none"/>
        </w:rPr>
        <w:t>7、甲方委托乙方完成的所有零星工程，乙方不得拒绝，并必须按照甲方要求的时间完成；费用按签证方式计入。</w:t>
      </w:r>
    </w:p>
    <w:p w14:paraId="6AD35B73">
      <w:pPr>
        <w:autoSpaceDN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lang w:val="en-US" w:eastAsia="zh-CN"/>
        </w:rPr>
        <w:t>2.25.8</w:t>
      </w:r>
      <w:r>
        <w:rPr>
          <w:rFonts w:hint="eastAsia" w:ascii="宋体"/>
          <w:color w:val="auto"/>
          <w:sz w:val="24"/>
          <w:szCs w:val="24"/>
          <w:highlight w:val="none"/>
        </w:rPr>
        <w:t>、乙方</w:t>
      </w:r>
      <w:r>
        <w:rPr>
          <w:rFonts w:hint="eastAsia" w:ascii="宋体"/>
          <w:color w:val="auto"/>
          <w:sz w:val="24"/>
          <w:szCs w:val="24"/>
          <w:highlight w:val="none"/>
          <w:lang w:val="en-US" w:eastAsia="zh-CN"/>
        </w:rPr>
        <w:t>人员办公、住宿场所等由乙方自行解决并承担费用</w:t>
      </w:r>
      <w:r>
        <w:rPr>
          <w:rFonts w:hint="eastAsia" w:ascii="宋体"/>
          <w:color w:val="auto"/>
          <w:sz w:val="24"/>
          <w:szCs w:val="24"/>
          <w:highlight w:val="none"/>
        </w:rPr>
        <w:t>。</w:t>
      </w:r>
    </w:p>
    <w:p w14:paraId="7B92A03B">
      <w:pPr>
        <w:autoSpaceDN w:val="0"/>
        <w:spacing w:line="360" w:lineRule="auto"/>
        <w:rPr>
          <w:rFonts w:hint="eastAsia" w:ascii="宋体"/>
          <w:b/>
          <w:bCs/>
          <w:color w:val="auto"/>
          <w:sz w:val="24"/>
          <w:szCs w:val="24"/>
          <w:highlight w:val="none"/>
        </w:rPr>
      </w:pPr>
      <w:r>
        <w:rPr>
          <w:rFonts w:hint="eastAsia" w:ascii="宋体"/>
          <w:b/>
          <w:bCs/>
          <w:color w:val="auto"/>
          <w:sz w:val="24"/>
          <w:szCs w:val="24"/>
          <w:highlight w:val="none"/>
        </w:rPr>
        <w:t>十</w:t>
      </w:r>
      <w:r>
        <w:rPr>
          <w:rFonts w:hint="eastAsia" w:ascii="宋体"/>
          <w:b/>
          <w:bCs/>
          <w:color w:val="auto"/>
          <w:sz w:val="24"/>
          <w:szCs w:val="24"/>
          <w:highlight w:val="none"/>
          <w:lang w:val="en-US" w:eastAsia="zh-CN"/>
        </w:rPr>
        <w:t>六</w:t>
      </w:r>
      <w:r>
        <w:rPr>
          <w:rFonts w:hint="eastAsia" w:ascii="宋体"/>
          <w:b/>
          <w:bCs/>
          <w:color w:val="auto"/>
          <w:sz w:val="24"/>
          <w:szCs w:val="24"/>
          <w:highlight w:val="none"/>
        </w:rPr>
        <w:t>、违约责任</w:t>
      </w:r>
    </w:p>
    <w:p w14:paraId="33824655">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1、除不可抗力外，甲乙双方应严格遵守本合同的条款，否则，违约方须承担违约责任。</w:t>
      </w:r>
    </w:p>
    <w:p w14:paraId="6CE63EA8">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2、乙方逾期</w:t>
      </w:r>
      <w:r>
        <w:rPr>
          <w:rFonts w:hint="eastAsia" w:ascii="宋体" w:hAnsi="宋体" w:cs="宋体"/>
          <w:color w:val="auto"/>
          <w:highlight w:val="none"/>
          <w:lang w:eastAsia="zh-CN"/>
        </w:rPr>
        <w:t>进场、完工</w:t>
      </w:r>
      <w:r>
        <w:rPr>
          <w:rFonts w:hint="eastAsia" w:ascii="宋体" w:hAnsi="宋体" w:cs="宋体"/>
          <w:color w:val="auto"/>
          <w:highlight w:val="none"/>
        </w:rPr>
        <w:t>的或单独楼栋、总体工程未能按本合同约定工期</w:t>
      </w:r>
      <w:r>
        <w:rPr>
          <w:rFonts w:hint="eastAsia" w:ascii="宋体" w:hAnsi="宋体" w:cs="宋体"/>
          <w:color w:val="auto"/>
          <w:highlight w:val="none"/>
          <w:lang w:eastAsia="zh-CN"/>
        </w:rPr>
        <w:t>进场、完工</w:t>
      </w:r>
      <w:r>
        <w:rPr>
          <w:rFonts w:hint="eastAsia" w:ascii="宋体" w:hAnsi="宋体" w:cs="宋体"/>
          <w:color w:val="auto"/>
          <w:highlight w:val="none"/>
        </w:rPr>
        <w:t>的，视为乙方违约，每逾期一天，按</w:t>
      </w:r>
      <w:r>
        <w:rPr>
          <w:rFonts w:hint="eastAsia" w:ascii="宋体" w:hAnsi="宋体" w:cs="宋体"/>
          <w:color w:val="auto"/>
          <w:highlight w:val="none"/>
          <w:lang w:val="en-US" w:eastAsia="zh-CN"/>
        </w:rPr>
        <w:t>2000元/天</w:t>
      </w:r>
      <w:r>
        <w:rPr>
          <w:rFonts w:hint="eastAsia" w:ascii="宋体" w:hAnsi="宋体" w:cs="宋体"/>
          <w:color w:val="auto"/>
          <w:highlight w:val="none"/>
        </w:rPr>
        <w:t>向甲方支付违约金，同时因施工逾期引起的相关损失由乙方承担。</w:t>
      </w:r>
    </w:p>
    <w:p w14:paraId="21DE2659">
      <w:pPr>
        <w:spacing w:line="360" w:lineRule="auto"/>
        <w:ind w:firstLine="480" w:firstLineChars="200"/>
        <w:rPr>
          <w:rFonts w:hint="eastAsia"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、乙方存在其他任何逾期违约行为但未达到甲方行使单方解除条件的，每逾期一日，按2000元/日向甲方支付违约金，本合同另有约定时除外。</w:t>
      </w:r>
    </w:p>
    <w:p w14:paraId="13728FC9">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4、乙方存在其他违约行为但未达到甲方行使单方解除条件的，每存在一项/次违约行为，乙方应按</w:t>
      </w:r>
      <w:r>
        <w:rPr>
          <w:rFonts w:ascii="宋体" w:hAnsi="宋体" w:cs="宋体"/>
          <w:color w:val="auto"/>
          <w:highlight w:val="none"/>
        </w:rPr>
        <w:t>2000</w:t>
      </w:r>
      <w:r>
        <w:rPr>
          <w:rFonts w:hint="eastAsia" w:ascii="宋体" w:hAnsi="宋体" w:cs="宋体"/>
          <w:color w:val="auto"/>
          <w:highlight w:val="none"/>
        </w:rPr>
        <w:t>元/次（项）向甲方支付违约金。</w:t>
      </w:r>
    </w:p>
    <w:p w14:paraId="1CA4FEE9">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5、乙方提供产品的品牌、规格、型号等与本合同约定不符的，视为乙方违约，甲方有权拒绝验收，乙方应在5</w:t>
      </w:r>
      <w:r>
        <w:rPr>
          <w:rFonts w:hint="eastAsia" w:ascii="宋体" w:hAnsi="宋体" w:cs="宋体"/>
          <w:color w:val="auto"/>
          <w:highlight w:val="none"/>
          <w:lang w:eastAsia="zh-CN"/>
        </w:rPr>
        <w:t>日内</w:t>
      </w:r>
      <w:r>
        <w:rPr>
          <w:rFonts w:hint="eastAsia" w:ascii="宋体" w:hAnsi="宋体" w:cs="宋体"/>
          <w:color w:val="auto"/>
          <w:highlight w:val="none"/>
        </w:rPr>
        <w:t>无偿更换。</w:t>
      </w:r>
    </w:p>
    <w:p w14:paraId="2B16A706">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13586FEE">
      <w:pPr>
        <w:pStyle w:val="17"/>
        <w:ind w:firstLine="480" w:firstLineChars="200"/>
        <w:rPr>
          <w:rFonts w:hint="default" w:ascii="宋体" w:hAnsi="宋体" w:eastAsia="宋体" w:cs="宋体"/>
          <w:color w:val="auto"/>
          <w:kern w:val="2"/>
          <w:sz w:val="24"/>
          <w:szCs w:val="22"/>
          <w:highlight w:val="none"/>
          <w:lang w:val="en-US" w:eastAsia="zh-CN"/>
        </w:rPr>
      </w:pPr>
      <w:r>
        <w:rPr>
          <w:rFonts w:hint="default" w:ascii="宋体" w:hAnsi="宋体" w:eastAsia="宋体" w:cs="宋体"/>
          <w:color w:val="auto"/>
          <w:kern w:val="2"/>
          <w:sz w:val="24"/>
          <w:szCs w:val="22"/>
          <w:highlight w:val="none"/>
          <w:lang w:val="en-US" w:eastAsia="zh-CN"/>
        </w:rPr>
        <w:t>7、</w:t>
      </w:r>
      <w:r>
        <w:rPr>
          <w:rFonts w:hint="default" w:ascii="宋体" w:hAnsi="宋体" w:eastAsia="宋体" w:cs="宋体"/>
          <w:color w:val="auto"/>
          <w:kern w:val="2"/>
          <w:sz w:val="24"/>
          <w:szCs w:val="22"/>
          <w:highlight w:val="none"/>
          <w:lang w:eastAsia="zh-CN"/>
        </w:rPr>
        <w:t>如未通过消防验收，</w:t>
      </w:r>
      <w:r>
        <w:rPr>
          <w:rFonts w:hint="eastAsia" w:ascii="宋体" w:hAnsi="宋体" w:cs="宋体"/>
          <w:color w:val="auto"/>
          <w:kern w:val="2"/>
          <w:sz w:val="24"/>
          <w:szCs w:val="22"/>
          <w:highlight w:val="none"/>
          <w:lang w:val="en-US" w:eastAsia="zh-CN"/>
        </w:rPr>
        <w:t>则乙方构成违约，</w:t>
      </w:r>
      <w:r>
        <w:rPr>
          <w:rFonts w:hint="default" w:ascii="宋体" w:hAnsi="宋体" w:eastAsia="宋体" w:cs="宋体"/>
          <w:color w:val="auto"/>
          <w:kern w:val="2"/>
          <w:sz w:val="24"/>
          <w:szCs w:val="22"/>
          <w:highlight w:val="none"/>
          <w:lang w:eastAsia="zh-CN"/>
        </w:rPr>
        <w:t>乙方</w:t>
      </w:r>
      <w:r>
        <w:rPr>
          <w:rFonts w:hint="eastAsia" w:ascii="宋体" w:hAnsi="宋体" w:cs="宋体"/>
          <w:color w:val="auto"/>
          <w:kern w:val="2"/>
          <w:sz w:val="24"/>
          <w:szCs w:val="22"/>
          <w:highlight w:val="none"/>
          <w:lang w:val="en-US" w:eastAsia="zh-CN"/>
        </w:rPr>
        <w:t>应</w:t>
      </w:r>
      <w:r>
        <w:rPr>
          <w:rFonts w:hint="default" w:ascii="宋体" w:hAnsi="宋体" w:eastAsia="宋体" w:cs="宋体"/>
          <w:color w:val="auto"/>
          <w:kern w:val="2"/>
          <w:sz w:val="24"/>
          <w:szCs w:val="22"/>
          <w:highlight w:val="none"/>
          <w:lang w:eastAsia="zh-CN"/>
        </w:rPr>
        <w:t>负责进行整改</w:t>
      </w:r>
      <w:r>
        <w:rPr>
          <w:rFonts w:hint="eastAsia" w:ascii="宋体" w:hAnsi="宋体" w:eastAsia="宋体" w:cs="宋体"/>
          <w:color w:val="auto"/>
          <w:kern w:val="2"/>
          <w:sz w:val="24"/>
          <w:szCs w:val="22"/>
          <w:highlight w:val="none"/>
          <w:lang w:eastAsia="zh-CN"/>
        </w:rPr>
        <w:t>直至通过验收</w:t>
      </w:r>
      <w:r>
        <w:rPr>
          <w:rFonts w:hint="default" w:ascii="宋体" w:hAnsi="宋体" w:eastAsia="宋体" w:cs="宋体"/>
          <w:color w:val="auto"/>
          <w:kern w:val="2"/>
          <w:sz w:val="24"/>
          <w:szCs w:val="22"/>
          <w:highlight w:val="none"/>
          <w:lang w:eastAsia="zh-CN"/>
        </w:rPr>
        <w:t>。同时</w:t>
      </w:r>
      <w:r>
        <w:rPr>
          <w:rFonts w:hint="eastAsia" w:ascii="宋体" w:hAnsi="宋体" w:cs="宋体"/>
          <w:color w:val="auto"/>
          <w:kern w:val="2"/>
          <w:sz w:val="24"/>
          <w:szCs w:val="22"/>
          <w:highlight w:val="none"/>
          <w:lang w:val="en-US" w:eastAsia="zh-CN"/>
        </w:rPr>
        <w:t>乙方应</w:t>
      </w:r>
      <w:r>
        <w:rPr>
          <w:rFonts w:hint="default" w:ascii="宋体" w:hAnsi="宋体" w:eastAsia="宋体" w:cs="宋体"/>
          <w:color w:val="auto"/>
          <w:kern w:val="2"/>
          <w:sz w:val="24"/>
          <w:szCs w:val="22"/>
          <w:highlight w:val="none"/>
          <w:lang w:eastAsia="zh-CN"/>
        </w:rPr>
        <w:t>向甲方支付合同总价</w:t>
      </w:r>
      <w:r>
        <w:rPr>
          <w:rFonts w:hint="default" w:ascii="宋体" w:hAnsi="宋体" w:eastAsia="宋体" w:cs="宋体"/>
          <w:color w:val="auto"/>
          <w:kern w:val="2"/>
          <w:sz w:val="24"/>
          <w:szCs w:val="22"/>
          <w:highlight w:val="none"/>
          <w:lang w:val="en-US" w:eastAsia="zh-CN"/>
        </w:rPr>
        <w:t>20%的违约金。</w:t>
      </w:r>
    </w:p>
    <w:p w14:paraId="32862864">
      <w:pPr>
        <w:pStyle w:val="17"/>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8</w:t>
      </w:r>
      <w:r>
        <w:rPr>
          <w:rFonts w:hint="eastAsia" w:ascii="宋体" w:hAnsi="宋体" w:eastAsia="宋体" w:cs="宋体"/>
          <w:color w:val="auto"/>
          <w:kern w:val="2"/>
          <w:sz w:val="24"/>
          <w:szCs w:val="22"/>
          <w:highlight w:val="none"/>
        </w:rPr>
        <w:t>、乙方违约导致甲方解除合同的，乙方所有人员必须在3日内撤离施工现场，甲方已支付的预付款（如有）需在3日内退还至甲方，由此造成的所有损失均由乙方负责。</w:t>
      </w:r>
    </w:p>
    <w:p w14:paraId="32EBDC72">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val="en-US" w:eastAsia="zh-CN"/>
        </w:rPr>
        <w:t>9</w:t>
      </w:r>
      <w:r>
        <w:rPr>
          <w:rFonts w:hint="eastAsia" w:ascii="宋体" w:hAnsi="宋体" w:cs="宋体"/>
          <w:color w:val="auto"/>
          <w:highlight w:val="none"/>
        </w:rPr>
        <w:t>、乙方应向甲方支付的违约金等，甲方有权直接在甲方应付未付款中扣除，违约金不足以弥补甲方损失的，甲方可继续向乙方追偿。</w:t>
      </w:r>
    </w:p>
    <w:p w14:paraId="7F3745BD">
      <w:pPr>
        <w:pStyle w:val="17"/>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2"/>
          <w:highlight w:val="none"/>
          <w:lang w:val="en-US" w:eastAsia="zh-CN" w:bidi="ar-SA"/>
        </w:rPr>
        <w:t>10、合同约定应由乙方完成的工作内容（包括但不限于：承包范围内</w:t>
      </w:r>
      <w:r>
        <w:rPr>
          <w:rFonts w:hint="eastAsia" w:ascii="宋体" w:hAnsi="宋体" w:cs="宋体"/>
          <w:color w:val="auto"/>
          <w:kern w:val="2"/>
          <w:sz w:val="24"/>
          <w:szCs w:val="22"/>
          <w:highlight w:val="none"/>
          <w:lang w:val="en-US" w:eastAsia="zh-CN" w:bidi="ar-SA"/>
        </w:rPr>
        <w:t>景观及雨污水</w:t>
      </w:r>
      <w:r>
        <w:rPr>
          <w:rFonts w:hint="eastAsia" w:ascii="宋体" w:hAnsi="宋体" w:eastAsia="宋体" w:cs="宋体"/>
          <w:color w:val="auto"/>
          <w:kern w:val="2"/>
          <w:sz w:val="24"/>
          <w:szCs w:val="22"/>
          <w:highlight w:val="none"/>
          <w:lang w:val="en-US" w:eastAsia="zh-CN" w:bidi="ar-SA"/>
        </w:rPr>
        <w:t>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0E4F8EE3">
      <w:pPr>
        <w:pStyle w:val="18"/>
        <w:spacing w:line="360" w:lineRule="auto"/>
        <w:rPr>
          <w:rFonts w:hint="default"/>
          <w:lang w:val="en-US"/>
        </w:rPr>
      </w:pPr>
      <w:r>
        <w:rPr>
          <w:rFonts w:hint="eastAsia" w:hAnsi="宋体" w:cs="宋体"/>
          <w:color w:val="auto"/>
          <w:kern w:val="2"/>
          <w:sz w:val="24"/>
          <w:szCs w:val="22"/>
          <w:highlight w:val="none"/>
          <w:lang w:val="en-US" w:eastAsia="zh-CN" w:bidi="ar-SA"/>
        </w:rPr>
        <w:t xml:space="preserve">  11、本合同签订后乙方不得擅自解除本合同，否则，乙方应按合同总价款的20%向甲方支付违约金。</w:t>
      </w:r>
    </w:p>
    <w:p w14:paraId="3C10AD0D">
      <w:pPr>
        <w:pStyle w:val="17"/>
        <w:ind w:firstLine="0" w:firstLineChars="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十七、不可抗力</w:t>
      </w:r>
    </w:p>
    <w:p w14:paraId="38300A4C">
      <w:pPr>
        <w:pStyle w:val="17"/>
        <w:kinsoku w:val="0"/>
        <w:wordWrap w:val="0"/>
        <w:topLinePunct/>
        <w:autoSpaceDE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1、不可抗力指因战争、动乱、瘟疫、空中飞行物坠落或其他非双方责任造成的爆炸、火灾及9级以上的台风、7级及7级以上的地震等。（以当地行业主管部门公告为准）。</w:t>
      </w:r>
    </w:p>
    <w:p w14:paraId="3243CC67">
      <w:pPr>
        <w:pStyle w:val="17"/>
        <w:kinsoku w:val="0"/>
        <w:wordWrap w:val="0"/>
        <w:topLinePunct/>
        <w:autoSpaceDE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7387DE4B">
      <w:pPr>
        <w:pStyle w:val="17"/>
        <w:kinsoku w:val="0"/>
        <w:wordWrap w:val="0"/>
        <w:topLinePunct/>
        <w:autoSpaceDE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3、费用承担：</w:t>
      </w:r>
    </w:p>
    <w:p w14:paraId="76391184">
      <w:pPr>
        <w:pStyle w:val="17"/>
        <w:kinsoku w:val="0"/>
        <w:wordWrap w:val="0"/>
        <w:topLinePunct/>
        <w:autoSpaceDE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3.1、人员伤亡由所属单位负责，并承担相应费用；</w:t>
      </w:r>
    </w:p>
    <w:p w14:paraId="1D9F40AA">
      <w:pPr>
        <w:pStyle w:val="17"/>
        <w:kinsoku w:val="0"/>
        <w:wordWrap w:val="0"/>
        <w:topLinePunct/>
        <w:autoSpaceDE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3.2、造成乙方工程设备、机械的损失等损失由乙方承担；</w:t>
      </w:r>
    </w:p>
    <w:p w14:paraId="78D10DD3">
      <w:pPr>
        <w:pStyle w:val="17"/>
        <w:kinsoku w:val="0"/>
        <w:wordWrap w:val="0"/>
        <w:topLinePunct/>
        <w:autoSpaceDE w:val="0"/>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3.3、所需清理修复工作的责任与费用的承担，双方另行商定。</w:t>
      </w:r>
    </w:p>
    <w:p w14:paraId="315107A9">
      <w:pPr>
        <w:pStyle w:val="3"/>
        <w:keepNext w:val="0"/>
        <w:keepLines w:val="0"/>
        <w:numPr>
          <w:ilvl w:val="255"/>
          <w:numId w:val="0"/>
        </w:num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十八、送达条款</w:t>
      </w:r>
    </w:p>
    <w:p w14:paraId="299D6658">
      <w:pPr>
        <w:kinsoku w:val="0"/>
        <w:wordWrap w:val="0"/>
        <w:topLinePunct/>
        <w:autoSpaceDE w:val="0"/>
        <w:spacing w:line="360" w:lineRule="auto"/>
        <w:ind w:firstLine="480" w:firstLineChars="200"/>
        <w:rPr>
          <w:rFonts w:ascii="宋体"/>
          <w:color w:val="auto"/>
          <w:szCs w:val="24"/>
          <w:highlight w:val="none"/>
        </w:rPr>
      </w:pPr>
      <w:r>
        <w:rPr>
          <w:rFonts w:hint="eastAsia" w:ascii="宋体"/>
          <w:color w:val="auto"/>
          <w:szCs w:val="24"/>
          <w:highlight w:val="none"/>
        </w:rPr>
        <w:t>甲乙双方明确送达信息如下：</w:t>
      </w:r>
    </w:p>
    <w:p w14:paraId="6E59D3FB">
      <w:pPr>
        <w:kinsoku w:val="0"/>
        <w:wordWrap w:val="0"/>
        <w:topLinePunct/>
        <w:autoSpaceDE w:val="0"/>
        <w:spacing w:line="360" w:lineRule="auto"/>
        <w:ind w:firstLine="480" w:firstLineChars="200"/>
        <w:rPr>
          <w:rFonts w:ascii="宋体"/>
          <w:color w:val="auto"/>
          <w:szCs w:val="24"/>
          <w:highlight w:val="none"/>
        </w:rPr>
      </w:pPr>
      <w:r>
        <w:rPr>
          <w:rFonts w:hint="eastAsia" w:ascii="宋体"/>
          <w:color w:val="auto"/>
          <w:szCs w:val="24"/>
          <w:highlight w:val="none"/>
        </w:rPr>
        <w:t>1、甲方确认的送达信息为：</w:t>
      </w:r>
    </w:p>
    <w:p w14:paraId="52F57B98">
      <w:pPr>
        <w:tabs>
          <w:tab w:val="left" w:pos="1276"/>
        </w:tabs>
        <w:kinsoku w:val="0"/>
        <w:wordWrap w:val="0"/>
        <w:topLinePunct/>
        <w:autoSpaceDE w:val="0"/>
        <w:spacing w:line="360" w:lineRule="auto"/>
        <w:ind w:left="480" w:leftChars="200"/>
        <w:rPr>
          <w:rFonts w:hint="eastAsia" w:ascii="宋体"/>
          <w:color w:val="auto"/>
          <w:szCs w:val="24"/>
          <w:highlight w:val="none"/>
        </w:rPr>
      </w:pPr>
      <w:r>
        <w:rPr>
          <w:rFonts w:hint="eastAsia" w:ascii="宋体"/>
          <w:color w:val="auto"/>
          <w:szCs w:val="24"/>
          <w:highlight w:val="none"/>
        </w:rPr>
        <w:t>送达地址：</w:t>
      </w:r>
      <w:r>
        <w:rPr>
          <w:rFonts w:hint="eastAsia" w:ascii="宋体"/>
          <w:color w:val="auto"/>
          <w:szCs w:val="24"/>
          <w:highlight w:val="none"/>
          <w:u w:val="single"/>
        </w:rPr>
        <w:t>洛阳市洛龙区关林</w:t>
      </w:r>
      <w:r>
        <w:rPr>
          <w:rFonts w:hint="eastAsia" w:ascii="宋体"/>
          <w:color w:val="auto"/>
          <w:szCs w:val="24"/>
          <w:highlight w:val="none"/>
          <w:u w:val="single"/>
          <w:lang w:eastAsia="zh-CN"/>
        </w:rPr>
        <w:t>西</w:t>
      </w:r>
      <w:r>
        <w:rPr>
          <w:rFonts w:hint="eastAsia" w:ascii="宋体"/>
          <w:color w:val="auto"/>
          <w:szCs w:val="24"/>
          <w:highlight w:val="none"/>
          <w:u w:val="single"/>
        </w:rPr>
        <w:t xml:space="preserve">路8号中浩德控股集团有限公司1楼 </w:t>
      </w:r>
      <w:r>
        <w:rPr>
          <w:rFonts w:hint="eastAsia" w:ascii="宋体"/>
          <w:color w:val="auto"/>
          <w:szCs w:val="24"/>
          <w:highlight w:val="none"/>
        </w:rPr>
        <w:t xml:space="preserve">。   </w:t>
      </w:r>
    </w:p>
    <w:p w14:paraId="34413DE9">
      <w:pPr>
        <w:tabs>
          <w:tab w:val="left" w:pos="1276"/>
        </w:tabs>
        <w:kinsoku w:val="0"/>
        <w:wordWrap w:val="0"/>
        <w:topLinePunct/>
        <w:autoSpaceDE w:val="0"/>
        <w:spacing w:line="360" w:lineRule="auto"/>
        <w:ind w:left="480" w:leftChars="200"/>
        <w:rPr>
          <w:rFonts w:hint="eastAsia" w:ascii="宋体"/>
          <w:color w:val="auto"/>
          <w:szCs w:val="24"/>
          <w:highlight w:val="none"/>
        </w:rPr>
      </w:pPr>
      <w:r>
        <w:rPr>
          <w:rFonts w:hint="eastAsia" w:ascii="宋体"/>
          <w:color w:val="auto"/>
          <w:szCs w:val="24"/>
          <w:highlight w:val="none"/>
        </w:rPr>
        <w:t>联系人：</w:t>
      </w:r>
      <w:r>
        <w:rPr>
          <w:rFonts w:hint="eastAsia" w:ascii="宋体"/>
          <w:color w:val="auto"/>
          <w:szCs w:val="24"/>
          <w:highlight w:val="none"/>
          <w:u w:val="single"/>
        </w:rPr>
        <w:t>成本管理部</w:t>
      </w:r>
      <w:r>
        <w:rPr>
          <w:rFonts w:hint="eastAsia" w:ascii="宋体"/>
          <w:color w:val="auto"/>
          <w:szCs w:val="24"/>
          <w:highlight w:val="none"/>
        </w:rPr>
        <w:t>；联系固话：</w:t>
      </w:r>
      <w:r>
        <w:rPr>
          <w:rFonts w:hint="eastAsia" w:ascii="宋体"/>
          <w:color w:val="auto"/>
          <w:szCs w:val="24"/>
          <w:highlight w:val="none"/>
          <w:u w:val="single"/>
        </w:rPr>
        <w:t>0379-60667770</w:t>
      </w:r>
      <w:r>
        <w:rPr>
          <w:rFonts w:hint="eastAsia" w:ascii="宋体"/>
          <w:color w:val="auto"/>
          <w:szCs w:val="24"/>
          <w:highlight w:val="none"/>
        </w:rPr>
        <w:t>；联系手机 ：</w:t>
      </w:r>
      <w:r>
        <w:rPr>
          <w:rFonts w:hint="eastAsia" w:ascii="宋体"/>
          <w:color w:val="auto"/>
          <w:szCs w:val="24"/>
          <w:highlight w:val="none"/>
          <w:u w:val="single"/>
        </w:rPr>
        <w:t xml:space="preserve">   /   </w:t>
      </w:r>
      <w:r>
        <w:rPr>
          <w:rFonts w:hint="eastAsia" w:ascii="宋体"/>
          <w:color w:val="auto"/>
          <w:szCs w:val="24"/>
          <w:highlight w:val="none"/>
        </w:rPr>
        <w:t xml:space="preserve">。 </w:t>
      </w:r>
    </w:p>
    <w:p w14:paraId="00EC46CC">
      <w:pPr>
        <w:tabs>
          <w:tab w:val="left" w:pos="1276"/>
        </w:tabs>
        <w:kinsoku w:val="0"/>
        <w:wordWrap w:val="0"/>
        <w:topLinePunct/>
        <w:autoSpaceDE w:val="0"/>
        <w:spacing w:line="360" w:lineRule="auto"/>
        <w:ind w:firstLine="480" w:firstLineChars="200"/>
        <w:rPr>
          <w:rFonts w:ascii="宋体"/>
          <w:color w:val="auto"/>
          <w:szCs w:val="24"/>
          <w:highlight w:val="none"/>
        </w:rPr>
      </w:pPr>
      <w:r>
        <w:rPr>
          <w:rFonts w:ascii="宋体"/>
          <w:color w:val="auto"/>
          <w:szCs w:val="24"/>
          <w:highlight w:val="none"/>
        </w:rPr>
        <w:t>2</w:t>
      </w:r>
      <w:r>
        <w:rPr>
          <w:rFonts w:hint="eastAsia" w:ascii="宋体"/>
          <w:color w:val="auto"/>
          <w:szCs w:val="24"/>
          <w:highlight w:val="none"/>
        </w:rPr>
        <w:t>、乙方确认的送达信息为：</w:t>
      </w:r>
    </w:p>
    <w:p w14:paraId="547FB55F">
      <w:pPr>
        <w:kinsoku w:val="0"/>
        <w:wordWrap w:val="0"/>
        <w:topLinePunct/>
        <w:autoSpaceDE w:val="0"/>
        <w:spacing w:line="360" w:lineRule="auto"/>
        <w:ind w:firstLine="480" w:firstLineChars="200"/>
        <w:rPr>
          <w:rFonts w:hint="eastAsia" w:ascii="宋体"/>
          <w:color w:val="auto"/>
          <w:szCs w:val="24"/>
          <w:highlight w:val="none"/>
        </w:rPr>
      </w:pPr>
      <w:r>
        <w:rPr>
          <w:rFonts w:hint="eastAsia" w:ascii="宋体"/>
          <w:color w:val="auto"/>
          <w:szCs w:val="24"/>
          <w:highlight w:val="none"/>
        </w:rPr>
        <w:t xml:space="preserve">送达地址：陕西省西安市雁塔区西沣三路海亮时代one-S3栋 </w:t>
      </w:r>
      <w:r>
        <w:rPr>
          <w:rFonts w:hint="eastAsia" w:ascii="宋体"/>
          <w:color w:val="auto"/>
          <w:szCs w:val="24"/>
          <w:highlight w:val="none"/>
          <w:lang w:eastAsia="zh-CN"/>
        </w:rPr>
        <w:t>。</w:t>
      </w:r>
      <w:r>
        <w:rPr>
          <w:rFonts w:hint="eastAsia" w:ascii="宋体"/>
          <w:color w:val="auto"/>
          <w:szCs w:val="24"/>
          <w:highlight w:val="none"/>
        </w:rPr>
        <w:t xml:space="preserve">            </w:t>
      </w:r>
    </w:p>
    <w:p w14:paraId="513A8B15">
      <w:pPr>
        <w:spacing w:line="360" w:lineRule="auto"/>
        <w:ind w:firstLine="468" w:firstLineChars="195"/>
        <w:rPr>
          <w:rFonts w:hint="eastAsia" w:ascii="宋体"/>
          <w:color w:val="auto"/>
          <w:szCs w:val="24"/>
          <w:highlight w:val="none"/>
        </w:rPr>
      </w:pPr>
      <w:r>
        <w:rPr>
          <w:rFonts w:hint="eastAsia" w:ascii="宋体"/>
          <w:color w:val="auto"/>
          <w:szCs w:val="24"/>
          <w:highlight w:val="none"/>
        </w:rPr>
        <w:t>联系人：俞海英</w:t>
      </w:r>
      <w:r>
        <w:rPr>
          <w:rFonts w:hint="eastAsia" w:ascii="宋体"/>
          <w:color w:val="auto"/>
          <w:szCs w:val="24"/>
          <w:highlight w:val="none"/>
          <w:lang w:val="en-US" w:eastAsia="zh-CN"/>
        </w:rPr>
        <w:t>/</w:t>
      </w:r>
      <w:r>
        <w:rPr>
          <w:rFonts w:hint="eastAsia" w:ascii="宋体"/>
          <w:color w:val="auto"/>
          <w:szCs w:val="24"/>
          <w:highlight w:val="none"/>
        </w:rPr>
        <w:t>；联系固话：</w:t>
      </w:r>
      <w:r>
        <w:rPr>
          <w:rFonts w:hint="eastAsia" w:ascii="宋体"/>
          <w:color w:val="auto"/>
          <w:szCs w:val="24"/>
          <w:highlight w:val="none"/>
          <w:lang w:val="en-US" w:eastAsia="zh-CN"/>
        </w:rPr>
        <w:t>/</w:t>
      </w:r>
      <w:r>
        <w:rPr>
          <w:rFonts w:hint="eastAsia" w:ascii="宋体"/>
          <w:color w:val="auto"/>
          <w:szCs w:val="24"/>
          <w:highlight w:val="none"/>
        </w:rPr>
        <w:t xml:space="preserve"> ；联系手机 ：13758967977  </w:t>
      </w:r>
    </w:p>
    <w:p w14:paraId="12446122">
      <w:pPr>
        <w:spacing w:line="360" w:lineRule="auto"/>
        <w:ind w:firstLine="240" w:firstLineChars="100"/>
        <w:rPr>
          <w:rFonts w:ascii="宋体"/>
          <w:color w:val="auto"/>
          <w:szCs w:val="24"/>
          <w:highlight w:val="none"/>
        </w:rPr>
      </w:pPr>
      <w:r>
        <w:rPr>
          <w:rFonts w:hint="eastAsia" w:ascii="宋体"/>
          <w:color w:val="auto"/>
          <w:szCs w:val="24"/>
          <w:highlight w:val="none"/>
        </w:rPr>
        <w:t xml:space="preserve"> 3、双方在此共同确认，上述送达信息将作为双方在合同项下邮寄往来通知、函件等任何文件资料及法院送达法律文书的唯一有效送达地址及联系信息。任何一方变更送达信息，应当提前</w:t>
      </w:r>
      <w:r>
        <w:rPr>
          <w:rFonts w:hint="eastAsia" w:ascii="宋体"/>
          <w:color w:val="auto"/>
          <w:szCs w:val="24"/>
          <w:highlight w:val="none"/>
          <w:lang w:val="en-US" w:eastAsia="zh-CN"/>
        </w:rPr>
        <w:t>10</w:t>
      </w:r>
      <w:r>
        <w:rPr>
          <w:rFonts w:hint="eastAsia" w:ascii="宋体"/>
          <w:color w:val="auto"/>
          <w:szCs w:val="24"/>
          <w:highlight w:val="none"/>
        </w:rPr>
        <w:t>日书面通知对方，否则视为未变更。任何一方按照上述送达信息向对方邮寄任何文件资料，自邮件发出后的第</w:t>
      </w:r>
      <w:r>
        <w:rPr>
          <w:rFonts w:hint="eastAsia" w:ascii="宋体"/>
          <w:color w:val="auto"/>
          <w:szCs w:val="24"/>
          <w:highlight w:val="none"/>
          <w:lang w:val="en-US" w:eastAsia="zh-CN"/>
        </w:rPr>
        <w:t>3</w:t>
      </w:r>
      <w:r>
        <w:rPr>
          <w:rFonts w:hint="eastAsia" w:ascii="宋体"/>
          <w:color w:val="auto"/>
          <w:szCs w:val="24"/>
          <w:highlight w:val="none"/>
        </w:rPr>
        <w:t>日视为已经有效送达对方并产生相应的法律后果，不论该邮件是否已经由对方实际签收。</w:t>
      </w:r>
    </w:p>
    <w:p w14:paraId="28C6EE5D">
      <w:pPr>
        <w:pStyle w:val="3"/>
        <w:keepNext w:val="0"/>
        <w:keepLines w:val="0"/>
        <w:numPr>
          <w:ilvl w:val="255"/>
          <w:numId w:val="0"/>
        </w:numP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十九</w:t>
      </w:r>
      <w:r>
        <w:rPr>
          <w:rFonts w:hint="eastAsia" w:ascii="宋体" w:hAnsi="宋体" w:cs="宋体"/>
          <w:color w:val="auto"/>
          <w:sz w:val="24"/>
          <w:szCs w:val="24"/>
          <w:highlight w:val="none"/>
        </w:rPr>
        <w:t>、合同解约条款</w:t>
      </w:r>
    </w:p>
    <w:p w14:paraId="7EF30B06">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乙方存在如下任一情况的，甲方有权要求乙方按照合同总价的20%支付违约金（本合同另有约定时除外），且有权解除本合同，解除通知到达乙方之日生效，该违约金不足以弥补甲方损失，乙方还应继续承担赔偿责任。</w:t>
      </w:r>
    </w:p>
    <w:p w14:paraId="0124E3AF">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1.1、本工程不能通过验收的；</w:t>
      </w:r>
    </w:p>
    <w:p w14:paraId="51F260C2">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1.2、乙方未能按时进场施工的，在甲方发出书面通知后的5日内仍未进场施工的；</w:t>
      </w:r>
    </w:p>
    <w:p w14:paraId="403706EC">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1.3、乙方在施工过程中非因不可抗力或甲方原因造成连续停工7日以上或累计达    7日的；</w:t>
      </w:r>
    </w:p>
    <w:p w14:paraId="17D367B0">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1.4、乙方逾期竣工、向甲方提交竣工结算书及完整的竣工结算资料、核对工程价款或其他逾期行为达7日及以上的；</w:t>
      </w:r>
    </w:p>
    <w:p w14:paraId="2E630D4A">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1.5、乙方人员在施工区内出现打架斗殴行为至警察出警、立案、相关行为人</w:t>
      </w:r>
      <w:r>
        <w:rPr>
          <w:rFonts w:hint="eastAsia" w:ascii="宋体" w:hAnsi="宋体" w:cs="宋体"/>
          <w:color w:val="auto"/>
          <w:sz w:val="24"/>
          <w:szCs w:val="24"/>
          <w:highlight w:val="none"/>
          <w:lang w:val="en-US" w:eastAsia="zh-CN"/>
        </w:rPr>
        <w:t>受到</w:t>
      </w:r>
      <w:r>
        <w:rPr>
          <w:rFonts w:hint="eastAsia" w:ascii="宋体" w:hAnsi="宋体" w:cs="宋体"/>
          <w:color w:val="auto"/>
          <w:sz w:val="24"/>
          <w:szCs w:val="24"/>
          <w:highlight w:val="none"/>
        </w:rPr>
        <w:t>行政处罚或刑事处罚的；</w:t>
      </w:r>
    </w:p>
    <w:p w14:paraId="6C054CD8">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1.6、乙方擅自把工程分包或转包给其他任何单位的；</w:t>
      </w:r>
    </w:p>
    <w:p w14:paraId="6BCD8D67">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1.7、乙方与甲方工作人员串通、虚构事实或使用其他方式虚报工程量的；</w:t>
      </w:r>
    </w:p>
    <w:p w14:paraId="475F4161">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1.8、甲方或监理方对同一施工问题连续下发三次整改通知书后乙方无作为或整改问题未在整改通知书要求的期限内解决；</w:t>
      </w:r>
    </w:p>
    <w:p w14:paraId="1919CBC8">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1.9、乙方购置不符合合同约定的品牌、厂家、产地、材质、工艺、规格、型号等标准的产品或者假冒伪劣产品用于本工程；</w:t>
      </w:r>
    </w:p>
    <w:p w14:paraId="521BCB9A">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1.10、乙方存在其他违约行为，经甲方书面通知之日7日内仍未纠正的。</w:t>
      </w:r>
    </w:p>
    <w:p w14:paraId="7EA78503">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08C0FAB6">
      <w:pPr>
        <w:pStyle w:val="17"/>
        <w:ind w:right="-58" w:rightChars="-24"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3、如合同解约甲方有权委托其他公司进行施工。</w:t>
      </w:r>
    </w:p>
    <w:p w14:paraId="1E2AE21D">
      <w:pPr>
        <w:pStyle w:val="3"/>
        <w:keepNext w:val="0"/>
        <w:keepLines w:val="0"/>
        <w:numPr>
          <w:ilvl w:val="255"/>
          <w:numId w:val="0"/>
        </w:num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二十、争议的解决</w:t>
      </w:r>
    </w:p>
    <w:p w14:paraId="0D333DB7">
      <w:pPr>
        <w:pStyle w:val="17"/>
        <w:widowControl/>
        <w:ind w:firstLine="420" w:firstLineChars="175"/>
        <w:jc w:val="left"/>
        <w:rPr>
          <w:rFonts w:ascii="宋体" w:hAnsi="宋体" w:cs="宋体"/>
          <w:color w:val="auto"/>
          <w:sz w:val="24"/>
          <w:szCs w:val="24"/>
          <w:highlight w:val="none"/>
        </w:rPr>
      </w:pPr>
      <w:r>
        <w:rPr>
          <w:rFonts w:hint="eastAsia" w:ascii="宋体" w:hAnsi="宋体" w:cs="宋体"/>
          <w:color w:val="auto"/>
          <w:sz w:val="24"/>
          <w:szCs w:val="24"/>
          <w:highlight w:val="none"/>
        </w:rPr>
        <w:t>本合同履行过程中发生争议或纠纷的，由当事人双方协商解决。协商不成时，双方同意向合同签订地人民法院提起诉讼。</w:t>
      </w:r>
    </w:p>
    <w:p w14:paraId="0D34FCD1">
      <w:pPr>
        <w:pStyle w:val="3"/>
        <w:keepNext w:val="0"/>
        <w:keepLines w:val="0"/>
        <w:numPr>
          <w:ilvl w:val="255"/>
          <w:numId w:val="0"/>
        </w:num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二十</w:t>
      </w:r>
      <w:r>
        <w:rPr>
          <w:rFonts w:hint="eastAsia" w:ascii="宋体" w:hAnsi="宋体" w:cs="宋体"/>
          <w:color w:val="auto"/>
          <w:sz w:val="24"/>
          <w:szCs w:val="24"/>
          <w:highlight w:val="none"/>
          <w:lang w:val="en-US" w:eastAsia="zh-CN"/>
        </w:rPr>
        <w:t>一</w:t>
      </w:r>
      <w:r>
        <w:rPr>
          <w:rFonts w:hint="eastAsia" w:ascii="宋体" w:hAnsi="宋体" w:cs="宋体"/>
          <w:color w:val="auto"/>
          <w:sz w:val="24"/>
          <w:szCs w:val="24"/>
          <w:highlight w:val="none"/>
          <w:lang w:eastAsia="zh-CN"/>
        </w:rPr>
        <w:t>、其他</w:t>
      </w:r>
    </w:p>
    <w:p w14:paraId="7757E2F9">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1、本合同未尽事宜双方协商解决或另签补充协议，补充协议与本合同具有同等法律效力。</w:t>
      </w:r>
    </w:p>
    <w:p w14:paraId="6962490E">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2、本合同一式柒份，甲方伍份，乙方贰份，均</w:t>
      </w:r>
      <w:r>
        <w:rPr>
          <w:rFonts w:hint="eastAsia" w:ascii="宋体" w:hAnsi="宋体" w:cs="宋体"/>
          <w:color w:val="auto"/>
          <w:sz w:val="24"/>
          <w:szCs w:val="24"/>
          <w:highlight w:val="none"/>
          <w:lang w:eastAsia="zh-CN"/>
        </w:rPr>
        <w:t>具有</w:t>
      </w:r>
      <w:r>
        <w:rPr>
          <w:rFonts w:hint="eastAsia" w:ascii="宋体" w:hAnsi="宋体" w:cs="宋体"/>
          <w:color w:val="auto"/>
          <w:sz w:val="24"/>
          <w:szCs w:val="24"/>
          <w:highlight w:val="none"/>
        </w:rPr>
        <w:t>同等法律效力。</w:t>
      </w:r>
    </w:p>
    <w:p w14:paraId="1379955C">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3、本合同及其补充协议自双方盖章之日起生效。</w:t>
      </w:r>
    </w:p>
    <w:p w14:paraId="004C8E88">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4、合同签订地点：洛阳市洛龙区。</w:t>
      </w:r>
    </w:p>
    <w:p w14:paraId="1E6385A9">
      <w:pPr>
        <w:pStyle w:val="3"/>
        <w:keepNext w:val="0"/>
        <w:keepLines w:val="0"/>
        <w:numPr>
          <w:ilvl w:val="255"/>
          <w:numId w:val="0"/>
        </w:num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 xml:space="preserve"> 二十</w:t>
      </w: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lang w:eastAsia="zh-CN"/>
        </w:rPr>
        <w:t>、合同附件</w:t>
      </w:r>
    </w:p>
    <w:p w14:paraId="11BA5885">
      <w:pPr>
        <w:pStyle w:val="17"/>
        <w:numPr>
          <w:ilvl w:val="0"/>
          <w:numId w:val="2"/>
        </w:numPr>
        <w:ind w:right="410" w:rightChars="171"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附件一、《廉政合作协议》</w:t>
      </w:r>
    </w:p>
    <w:p w14:paraId="3A9E4D07">
      <w:pPr>
        <w:pStyle w:val="17"/>
        <w:ind w:right="410" w:rightChars="171" w:firstLine="420" w:firstLineChars="175"/>
        <w:rPr>
          <w:rFonts w:ascii="宋体" w:hAnsi="宋体" w:cs="宋体"/>
          <w:color w:val="auto"/>
          <w:sz w:val="24"/>
          <w:szCs w:val="24"/>
          <w:highlight w:val="none"/>
        </w:rPr>
      </w:pPr>
      <w:r>
        <w:rPr>
          <w:rFonts w:hint="eastAsia" w:ascii="宋体" w:hAnsi="宋体" w:cs="宋体"/>
          <w:color w:val="auto"/>
          <w:sz w:val="24"/>
          <w:szCs w:val="24"/>
          <w:highlight w:val="none"/>
        </w:rPr>
        <w:t>2、附件二、《景观绿化工程施工技术要求》</w:t>
      </w:r>
    </w:p>
    <w:p w14:paraId="1B1DEBE8">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rPr>
        <w:t>3、附件三、《</w:t>
      </w:r>
      <w:r>
        <w:rPr>
          <w:rFonts w:hint="eastAsia" w:ascii="宋体" w:hAnsi="宋体" w:cs="宋体"/>
          <w:color w:val="auto"/>
          <w:sz w:val="24"/>
          <w:szCs w:val="24"/>
          <w:highlight w:val="none"/>
          <w:lang w:eastAsia="zh-CN"/>
        </w:rPr>
        <w:t>答疑及回复</w:t>
      </w:r>
      <w:r>
        <w:rPr>
          <w:rFonts w:hint="eastAsia" w:ascii="宋体" w:hAnsi="宋体" w:cs="宋体"/>
          <w:color w:val="auto"/>
          <w:sz w:val="24"/>
          <w:szCs w:val="24"/>
          <w:highlight w:val="none"/>
        </w:rPr>
        <w:t>》</w:t>
      </w:r>
    </w:p>
    <w:p w14:paraId="6D2604A7">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eastAsia="zh-CN"/>
        </w:rPr>
        <w:t>四</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现场管理人员名单</w:t>
      </w:r>
      <w:r>
        <w:rPr>
          <w:rFonts w:hint="eastAsia" w:ascii="宋体" w:hAnsi="宋体" w:cs="宋体"/>
          <w:color w:val="auto"/>
          <w:sz w:val="24"/>
          <w:szCs w:val="24"/>
          <w:highlight w:val="none"/>
        </w:rPr>
        <w:t>》</w:t>
      </w:r>
    </w:p>
    <w:p w14:paraId="274EE86D">
      <w:pPr>
        <w:pStyle w:val="17"/>
        <w:ind w:right="410" w:rightChars="171" w:firstLine="420" w:firstLineChars="175"/>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eastAsia="zh-CN"/>
        </w:rPr>
        <w:t>五</w:t>
      </w:r>
      <w:r>
        <w:rPr>
          <w:rFonts w:hint="eastAsia" w:ascii="宋体" w:hAnsi="宋体" w:cs="宋体"/>
          <w:color w:val="auto"/>
          <w:sz w:val="24"/>
          <w:szCs w:val="24"/>
          <w:highlight w:val="none"/>
        </w:rPr>
        <w:t>、《价格清单》（单独打印后附装订）</w:t>
      </w:r>
    </w:p>
    <w:p w14:paraId="64D41A3C">
      <w:pPr>
        <w:kinsoku w:val="0"/>
        <w:wordWrap w:val="0"/>
        <w:topLinePunct/>
        <w:autoSpaceDE w:val="0"/>
        <w:spacing w:line="360" w:lineRule="auto"/>
        <w:ind w:firstLine="480" w:firstLineChars="200"/>
        <w:rPr>
          <w:rFonts w:ascii="宋体" w:hAnsi="宋体" w:cs="宋体"/>
          <w:bCs/>
          <w:color w:val="auto"/>
          <w:szCs w:val="24"/>
          <w:highlight w:val="none"/>
        </w:rPr>
      </w:pPr>
      <w:r>
        <w:rPr>
          <w:rFonts w:hint="eastAsia" w:ascii="宋体" w:hAnsi="宋体" w:cs="宋体"/>
          <w:bCs/>
          <w:color w:val="auto"/>
          <w:szCs w:val="24"/>
          <w:highlight w:val="none"/>
        </w:rPr>
        <w:t>（以下无正文）</w:t>
      </w:r>
      <w:bookmarkStart w:id="0" w:name="_GoBack"/>
      <w:bookmarkEnd w:id="0"/>
    </w:p>
    <w:p w14:paraId="5468CEC9">
      <w:pPr>
        <w:kinsoku w:val="0"/>
        <w:wordWrap w:val="0"/>
        <w:topLinePunct/>
        <w:autoSpaceDE w:val="0"/>
        <w:spacing w:line="360" w:lineRule="auto"/>
        <w:ind w:firstLine="480" w:firstLineChars="200"/>
        <w:rPr>
          <w:rFonts w:ascii="宋体" w:hAnsi="宋体" w:cs="宋体"/>
          <w:bCs/>
          <w:color w:val="auto"/>
          <w:szCs w:val="24"/>
          <w:highlight w:val="none"/>
        </w:rPr>
      </w:pPr>
      <w:r>
        <w:rPr>
          <w:rFonts w:hint="eastAsia" w:ascii="宋体" w:hAnsi="宋体" w:cs="宋体"/>
          <w:bCs/>
          <w:color w:val="auto"/>
          <w:szCs w:val="24"/>
          <w:highlight w:val="none"/>
        </w:rPr>
        <w:t xml:space="preserve">甲方：（盖章）                       乙方：（盖章）  </w:t>
      </w:r>
    </w:p>
    <w:p w14:paraId="43D7E62F">
      <w:pPr>
        <w:kinsoku w:val="0"/>
        <w:wordWrap w:val="0"/>
        <w:topLinePunct/>
        <w:autoSpaceDE w:val="0"/>
        <w:spacing w:line="360" w:lineRule="auto"/>
        <w:ind w:firstLine="480" w:firstLineChars="200"/>
        <w:rPr>
          <w:rFonts w:ascii="宋体" w:hAnsi="宋体" w:cs="宋体"/>
          <w:bCs/>
          <w:color w:val="auto"/>
          <w:szCs w:val="24"/>
          <w:highlight w:val="none"/>
        </w:rPr>
      </w:pPr>
      <w:r>
        <w:rPr>
          <w:rFonts w:hint="eastAsia" w:ascii="宋体" w:hAnsi="宋体" w:cs="宋体"/>
          <w:bCs/>
          <w:color w:val="auto"/>
          <w:szCs w:val="24"/>
          <w:highlight w:val="none"/>
        </w:rPr>
        <w:t>法定代表人：                         法定代表人：</w:t>
      </w:r>
    </w:p>
    <w:p w14:paraId="5FA1AFF9">
      <w:pPr>
        <w:kinsoku w:val="0"/>
        <w:wordWrap w:val="0"/>
        <w:topLinePunct/>
        <w:autoSpaceDE w:val="0"/>
        <w:spacing w:line="360" w:lineRule="auto"/>
        <w:ind w:firstLine="480" w:firstLineChars="200"/>
        <w:rPr>
          <w:rFonts w:ascii="宋体" w:hAnsi="宋体" w:cs="宋体"/>
          <w:bCs/>
          <w:color w:val="auto"/>
          <w:szCs w:val="24"/>
          <w:highlight w:val="none"/>
        </w:rPr>
      </w:pPr>
      <w:r>
        <w:rPr>
          <w:rFonts w:hint="eastAsia" w:ascii="宋体" w:hAnsi="宋体" w:cs="宋体"/>
          <w:bCs/>
          <w:color w:val="auto"/>
          <w:szCs w:val="24"/>
          <w:highlight w:val="none"/>
        </w:rPr>
        <w:t>委托代理人：                         委托代理人：</w:t>
      </w:r>
    </w:p>
    <w:p w14:paraId="793D9FC7">
      <w:pPr>
        <w:kinsoku w:val="0"/>
        <w:wordWrap w:val="0"/>
        <w:topLinePunct/>
        <w:autoSpaceDE w:val="0"/>
        <w:spacing w:line="360" w:lineRule="auto"/>
        <w:ind w:firstLine="480" w:firstLineChars="200"/>
        <w:rPr>
          <w:rFonts w:ascii="宋体" w:hAnsi="宋体" w:cs="宋体"/>
          <w:bCs/>
          <w:color w:val="auto"/>
          <w:szCs w:val="24"/>
          <w:highlight w:val="none"/>
        </w:rPr>
      </w:pPr>
      <w:r>
        <w:rPr>
          <w:rFonts w:hint="eastAsia" w:ascii="宋体" w:hAnsi="宋体" w:cs="宋体"/>
          <w:bCs/>
          <w:color w:val="auto"/>
          <w:szCs w:val="24"/>
          <w:highlight w:val="none"/>
        </w:rPr>
        <w:t>纳税人识别号：</w:t>
      </w:r>
      <w:r>
        <w:rPr>
          <w:rFonts w:hint="eastAsia" w:ascii="宋体" w:hAnsi="宋体" w:eastAsia="宋体" w:cs="Times New Roman"/>
          <w:b w:val="0"/>
          <w:bCs w:val="0"/>
          <w:szCs w:val="24"/>
          <w:u w:val="none"/>
        </w:rPr>
        <w:t>91410328MA9K9J8A5F</w:t>
      </w:r>
      <w:r>
        <w:rPr>
          <w:rFonts w:hint="eastAsia" w:ascii="宋体" w:hAnsi="宋体" w:eastAsia="宋体" w:cs="宋体"/>
          <w:b w:val="0"/>
          <w:bCs/>
          <w:color w:val="auto"/>
          <w:sz w:val="24"/>
          <w:szCs w:val="24"/>
          <w:highlight w:val="none"/>
          <w:u w:val="none"/>
          <w:lang w:val="en-US" w:eastAsia="zh-CN"/>
        </w:rPr>
        <w:t xml:space="preserve"> </w:t>
      </w:r>
      <w:r>
        <w:rPr>
          <w:rFonts w:hint="eastAsia" w:ascii="宋体" w:hAnsi="宋体" w:cs="宋体"/>
          <w:b w:val="0"/>
          <w:bCs/>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u w:val="none"/>
          <w:lang w:val="en-US" w:eastAsia="zh-CN"/>
        </w:rPr>
        <w:t xml:space="preserve"> </w:t>
      </w:r>
      <w:r>
        <w:rPr>
          <w:rFonts w:hint="eastAsia" w:ascii="宋体" w:hAnsi="宋体" w:cs="宋体"/>
          <w:bCs/>
          <w:color w:val="auto"/>
          <w:szCs w:val="24"/>
          <w:highlight w:val="none"/>
        </w:rPr>
        <w:t>纳税人识别号：91330700722751690K</w:t>
      </w:r>
    </w:p>
    <w:p w14:paraId="12F66714">
      <w:pPr>
        <w:kinsoku w:val="0"/>
        <w:wordWrap w:val="0"/>
        <w:topLinePunct/>
        <w:autoSpaceDE w:val="0"/>
        <w:spacing w:line="360" w:lineRule="auto"/>
        <w:ind w:left="5918" w:leftChars="166" w:hanging="5520" w:hangingChars="2300"/>
        <w:rPr>
          <w:rFonts w:hint="eastAsia" w:ascii="宋体" w:hAnsi="宋体" w:eastAsia="宋体" w:cs="宋体"/>
          <w:color w:val="auto"/>
          <w:sz w:val="24"/>
          <w:szCs w:val="24"/>
          <w:highlight w:val="none"/>
          <w:lang w:val="en-US" w:eastAsia="zh-CN"/>
        </w:rPr>
      </w:pPr>
      <w:r>
        <w:rPr>
          <w:rFonts w:hint="eastAsia" w:ascii="宋体" w:hAnsi="宋体" w:cs="宋体"/>
          <w:bCs/>
          <w:color w:val="auto"/>
          <w:szCs w:val="24"/>
          <w:highlight w:val="none"/>
        </w:rPr>
        <w:t>开户行：</w:t>
      </w:r>
      <w:r>
        <w:rPr>
          <w:rFonts w:hint="eastAsia" w:ascii="宋体" w:hAnsi="宋体"/>
          <w:sz w:val="24"/>
          <w:szCs w:val="24"/>
        </w:rPr>
        <w:t>中国农业银行股份有限公司</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bCs/>
          <w:color w:val="auto"/>
          <w:szCs w:val="24"/>
          <w:highlight w:val="none"/>
        </w:rPr>
        <w:t>开户行：</w:t>
      </w:r>
      <w:r>
        <w:rPr>
          <w:rFonts w:hint="default" w:ascii="宋体" w:hAnsi="宋体" w:eastAsia="宋体" w:cs="宋体"/>
          <w:color w:val="auto"/>
          <w:sz w:val="24"/>
          <w:szCs w:val="24"/>
          <w:highlight w:val="none"/>
          <w:lang w:val="en-US"/>
        </w:rPr>
        <w:t>建行浙江省东阳支行营业部</w:t>
      </w:r>
      <w:r>
        <w:rPr>
          <w:rFonts w:hint="eastAsia" w:ascii="宋体" w:hAnsi="宋体" w:eastAsia="宋体" w:cs="宋体"/>
          <w:color w:val="auto"/>
          <w:sz w:val="24"/>
          <w:szCs w:val="24"/>
          <w:highlight w:val="none"/>
          <w:lang w:val="en-US" w:eastAsia="zh-CN"/>
        </w:rPr>
        <w:t xml:space="preserve"> </w:t>
      </w:r>
    </w:p>
    <w:p w14:paraId="2F0EE4D8">
      <w:pPr>
        <w:kinsoku w:val="0"/>
        <w:wordWrap w:val="0"/>
        <w:topLinePunct/>
        <w:autoSpaceDE w:val="0"/>
        <w:spacing w:line="360" w:lineRule="auto"/>
        <w:ind w:left="5918" w:leftChars="166" w:hanging="5520" w:hangingChars="2300"/>
        <w:rPr>
          <w:rFonts w:hAnsi="宋体" w:cs="宋体"/>
          <w:bCs/>
          <w:color w:val="auto"/>
          <w:szCs w:val="24"/>
          <w:highlight w:val="none"/>
        </w:rPr>
      </w:pPr>
      <w:r>
        <w:rPr>
          <w:rFonts w:hint="eastAsia" w:ascii="宋体" w:hAnsi="宋体"/>
          <w:sz w:val="24"/>
          <w:szCs w:val="24"/>
        </w:rPr>
        <w:t>洛宁县支行</w:t>
      </w:r>
      <w:r>
        <w:rPr>
          <w:rFonts w:hint="eastAsia" w:ascii="宋体" w:hAnsi="宋体"/>
          <w:sz w:val="24"/>
          <w:szCs w:val="24"/>
          <w:lang w:val="en-US" w:eastAsia="zh-CN"/>
        </w:rPr>
        <w:t xml:space="preserve">                                         </w:t>
      </w:r>
      <w:r>
        <w:rPr>
          <w:rFonts w:hint="eastAsia" w:ascii="宋体" w:hAnsi="宋体" w:eastAsia="宋体" w:cs="宋体"/>
          <w:color w:val="auto"/>
          <w:sz w:val="24"/>
          <w:szCs w:val="24"/>
          <w:highlight w:val="none"/>
          <w:lang w:val="en-US" w:eastAsia="zh-CN"/>
        </w:rPr>
        <w:t xml:space="preserve">               </w:t>
      </w:r>
    </w:p>
    <w:p w14:paraId="04CAD2E5">
      <w:pPr>
        <w:kinsoku w:val="0"/>
        <w:wordWrap w:val="0"/>
        <w:topLinePunct/>
        <w:autoSpaceDE w:val="0"/>
        <w:spacing w:line="360" w:lineRule="auto"/>
        <w:ind w:left="398" w:leftChars="166" w:firstLine="0" w:firstLineChars="0"/>
        <w:rPr>
          <w:rFonts w:hint="eastAsia"/>
          <w:color w:val="auto"/>
          <w:highlight w:val="none"/>
        </w:rPr>
      </w:pPr>
      <w:r>
        <w:rPr>
          <w:rFonts w:hint="eastAsia" w:ascii="宋体" w:hAnsi="宋体" w:cs="宋体"/>
          <w:bCs/>
          <w:color w:val="auto"/>
          <w:szCs w:val="24"/>
          <w:highlight w:val="none"/>
        </w:rPr>
        <w:t>账  号：</w:t>
      </w:r>
      <w:r>
        <w:rPr>
          <w:rFonts w:hint="eastAsia" w:ascii="宋体" w:hAnsi="宋体"/>
          <w:sz w:val="24"/>
          <w:szCs w:val="24"/>
        </w:rPr>
        <w:t>16123101040009795</w:t>
      </w:r>
      <w:r>
        <w:rPr>
          <w:rFonts w:hint="eastAsia" w:ascii="宋体" w:hAnsi="宋体" w:eastAsia="宋体" w:cs="宋体"/>
          <w:color w:val="auto"/>
          <w:sz w:val="24"/>
          <w:szCs w:val="24"/>
          <w:highlight w:val="none"/>
          <w:lang w:val="en-US" w:eastAsia="zh-CN"/>
        </w:rPr>
        <w:t xml:space="preserve"> </w:t>
      </w:r>
      <w:r>
        <w:rPr>
          <w:rFonts w:hint="eastAsia" w:ascii="宋体" w:hAnsi="宋体" w:cs="宋体"/>
          <w:bCs/>
          <w:color w:val="auto"/>
          <w:szCs w:val="24"/>
          <w:highlight w:val="none"/>
        </w:rPr>
        <w:t xml:space="preserve">   </w:t>
      </w:r>
      <w:r>
        <w:rPr>
          <w:rFonts w:hint="eastAsia" w:ascii="宋体" w:hAnsi="宋体" w:cs="宋体"/>
          <w:bCs/>
          <w:color w:val="auto"/>
          <w:szCs w:val="24"/>
          <w:highlight w:val="none"/>
          <w:lang w:val="en-US" w:eastAsia="zh-CN"/>
        </w:rPr>
        <w:t xml:space="preserve">     </w:t>
      </w:r>
      <w:r>
        <w:rPr>
          <w:rFonts w:hint="eastAsia" w:ascii="宋体" w:hAnsi="宋体" w:cs="宋体"/>
          <w:bCs/>
          <w:color w:val="auto"/>
          <w:szCs w:val="24"/>
          <w:highlight w:val="none"/>
        </w:rPr>
        <w:t xml:space="preserve"> 账  号：33001676335050005101</w:t>
      </w:r>
      <w:r>
        <w:rPr>
          <w:rFonts w:hint="eastAsia"/>
          <w:color w:val="auto"/>
          <w:highlight w:val="none"/>
        </w:rPr>
        <w:t xml:space="preserve">     </w:t>
      </w:r>
    </w:p>
    <w:p w14:paraId="35D4EB7A">
      <w:pPr>
        <w:kinsoku w:val="0"/>
        <w:wordWrap w:val="0"/>
        <w:topLinePunct/>
        <w:autoSpaceDE w:val="0"/>
        <w:spacing w:line="360" w:lineRule="auto"/>
        <w:ind w:left="398" w:leftChars="166" w:firstLine="0" w:firstLineChars="0"/>
        <w:rPr>
          <w:rFonts w:hint="eastAsia" w:ascii="宋体" w:hAnsi="宋体" w:cs="宋体"/>
          <w:bCs/>
          <w:color w:val="auto"/>
          <w:kern w:val="2"/>
          <w:sz w:val="24"/>
          <w:szCs w:val="24"/>
          <w:highlight w:val="none"/>
        </w:rPr>
      </w:pPr>
      <w:r>
        <w:rPr>
          <w:rFonts w:hint="eastAsia" w:ascii="宋体" w:hAnsi="宋体" w:cs="宋体"/>
          <w:bCs/>
          <w:color w:val="auto"/>
          <w:kern w:val="2"/>
          <w:sz w:val="24"/>
          <w:szCs w:val="24"/>
          <w:highlight w:val="none"/>
        </w:rPr>
        <w:t>签订日期：</w:t>
      </w:r>
      <w:r>
        <w:rPr>
          <w:rFonts w:hint="eastAsia" w:ascii="宋体" w:hAnsi="宋体" w:cs="宋体"/>
          <w:bCs/>
          <w:color w:val="auto"/>
          <w:kern w:val="2"/>
          <w:sz w:val="24"/>
          <w:szCs w:val="24"/>
          <w:highlight w:val="none"/>
          <w:u w:val="single"/>
        </w:rPr>
        <w:t>2024</w:t>
      </w:r>
      <w:r>
        <w:rPr>
          <w:rFonts w:hint="eastAsia" w:ascii="宋体" w:hAnsi="宋体" w:cs="宋体"/>
          <w:bCs/>
          <w:color w:val="auto"/>
          <w:kern w:val="2"/>
          <w:sz w:val="24"/>
          <w:szCs w:val="24"/>
          <w:highlight w:val="none"/>
        </w:rPr>
        <w:t xml:space="preserve">年 </w:t>
      </w:r>
      <w:r>
        <w:rPr>
          <w:rFonts w:hint="eastAsia" w:ascii="宋体" w:hAnsi="宋体" w:cs="宋体"/>
          <w:bCs/>
          <w:color w:val="auto"/>
          <w:kern w:val="2"/>
          <w:sz w:val="24"/>
          <w:szCs w:val="24"/>
          <w:highlight w:val="none"/>
          <w:u w:val="single"/>
          <w:lang w:val="en-US" w:eastAsia="zh-CN"/>
        </w:rPr>
        <w:t>8</w:t>
      </w:r>
      <w:r>
        <w:rPr>
          <w:rFonts w:hint="eastAsia" w:ascii="宋体" w:hAnsi="宋体" w:cs="宋体"/>
          <w:bCs/>
          <w:color w:val="auto"/>
          <w:kern w:val="2"/>
          <w:sz w:val="24"/>
          <w:szCs w:val="24"/>
          <w:highlight w:val="none"/>
        </w:rPr>
        <w:t>月</w:t>
      </w:r>
      <w:r>
        <w:rPr>
          <w:rFonts w:hint="eastAsia" w:ascii="宋体" w:hAnsi="宋体" w:cs="宋体"/>
          <w:bCs/>
          <w:color w:val="auto"/>
          <w:kern w:val="2"/>
          <w:sz w:val="24"/>
          <w:szCs w:val="24"/>
          <w:highlight w:val="none"/>
          <w:u w:val="single"/>
        </w:rPr>
        <w:t xml:space="preserve"> </w:t>
      </w:r>
      <w:r>
        <w:rPr>
          <w:rFonts w:hint="eastAsia" w:ascii="宋体" w:hAnsi="宋体" w:cs="宋体"/>
          <w:bCs/>
          <w:color w:val="auto"/>
          <w:kern w:val="2"/>
          <w:sz w:val="24"/>
          <w:szCs w:val="24"/>
          <w:highlight w:val="none"/>
        </w:rPr>
        <w:t xml:space="preserve">日         </w:t>
      </w:r>
      <w:r>
        <w:rPr>
          <w:rFonts w:hint="eastAsia" w:ascii="宋体" w:hAnsi="宋体" w:cs="宋体"/>
          <w:bCs/>
          <w:color w:val="auto"/>
          <w:kern w:val="2"/>
          <w:sz w:val="24"/>
          <w:szCs w:val="24"/>
          <w:highlight w:val="none"/>
          <w:lang w:val="en-US" w:eastAsia="zh-CN"/>
        </w:rPr>
        <w:t xml:space="preserve">  </w:t>
      </w:r>
      <w:r>
        <w:rPr>
          <w:rFonts w:hint="eastAsia" w:ascii="宋体" w:hAnsi="宋体" w:cs="宋体"/>
          <w:bCs/>
          <w:color w:val="auto"/>
          <w:kern w:val="2"/>
          <w:sz w:val="24"/>
          <w:szCs w:val="24"/>
          <w:highlight w:val="none"/>
        </w:rPr>
        <w:t>签订日期：</w:t>
      </w:r>
      <w:r>
        <w:rPr>
          <w:rFonts w:ascii="宋体" w:hAnsi="宋体" w:cs="宋体"/>
          <w:bCs/>
          <w:color w:val="auto"/>
          <w:kern w:val="2"/>
          <w:sz w:val="24"/>
          <w:szCs w:val="24"/>
          <w:highlight w:val="none"/>
          <w:u w:val="single"/>
        </w:rPr>
        <w:t>202</w:t>
      </w:r>
      <w:r>
        <w:rPr>
          <w:rFonts w:hint="eastAsia" w:ascii="宋体" w:hAnsi="宋体" w:cs="宋体"/>
          <w:bCs/>
          <w:color w:val="auto"/>
          <w:kern w:val="2"/>
          <w:sz w:val="24"/>
          <w:szCs w:val="24"/>
          <w:highlight w:val="none"/>
          <w:u w:val="single"/>
        </w:rPr>
        <w:t>4</w:t>
      </w:r>
      <w:r>
        <w:rPr>
          <w:rFonts w:hint="eastAsia" w:ascii="宋体" w:hAnsi="宋体" w:cs="宋体"/>
          <w:bCs/>
          <w:color w:val="auto"/>
          <w:kern w:val="2"/>
          <w:sz w:val="24"/>
          <w:szCs w:val="24"/>
          <w:highlight w:val="none"/>
        </w:rPr>
        <w:t xml:space="preserve">年 </w:t>
      </w:r>
      <w:r>
        <w:rPr>
          <w:rFonts w:hint="eastAsia" w:ascii="宋体" w:hAnsi="宋体" w:cs="宋体"/>
          <w:bCs/>
          <w:color w:val="auto"/>
          <w:kern w:val="2"/>
          <w:sz w:val="24"/>
          <w:szCs w:val="24"/>
          <w:highlight w:val="none"/>
          <w:u w:val="single"/>
          <w:lang w:val="en-US" w:eastAsia="zh-CN"/>
        </w:rPr>
        <w:t>8</w:t>
      </w:r>
      <w:r>
        <w:rPr>
          <w:rFonts w:hint="eastAsia" w:ascii="宋体" w:hAnsi="宋体" w:cs="宋体"/>
          <w:bCs/>
          <w:color w:val="auto"/>
          <w:kern w:val="2"/>
          <w:sz w:val="24"/>
          <w:szCs w:val="24"/>
          <w:highlight w:val="none"/>
        </w:rPr>
        <w:t>月</w:t>
      </w:r>
      <w:r>
        <w:rPr>
          <w:rFonts w:hint="eastAsia" w:ascii="宋体" w:hAnsi="宋体" w:cs="宋体"/>
          <w:bCs/>
          <w:color w:val="auto"/>
          <w:kern w:val="2"/>
          <w:sz w:val="24"/>
          <w:szCs w:val="24"/>
          <w:highlight w:val="none"/>
          <w:lang w:val="en-US" w:eastAsia="zh-CN"/>
        </w:rPr>
        <w:t xml:space="preserve"> </w:t>
      </w:r>
      <w:r>
        <w:rPr>
          <w:rFonts w:hint="eastAsia" w:ascii="宋体" w:hAnsi="宋体" w:cs="宋体"/>
          <w:bCs/>
          <w:color w:val="auto"/>
          <w:kern w:val="2"/>
          <w:sz w:val="24"/>
          <w:szCs w:val="24"/>
          <w:highlight w:val="none"/>
        </w:rPr>
        <w:t xml:space="preserve">日 </w:t>
      </w:r>
    </w:p>
    <w:p w14:paraId="0EB1FCC8">
      <w:pPr>
        <w:pStyle w:val="18"/>
        <w:rPr>
          <w:rFonts w:hint="eastAsia" w:ascii="宋体" w:hAnsi="宋体" w:cs="宋体"/>
          <w:bCs/>
          <w:color w:val="auto"/>
          <w:kern w:val="2"/>
          <w:sz w:val="24"/>
          <w:szCs w:val="24"/>
          <w:highlight w:val="none"/>
        </w:rPr>
      </w:pPr>
    </w:p>
    <w:p w14:paraId="46FDAEFD">
      <w:pPr>
        <w:rPr>
          <w:rFonts w:hint="eastAsia" w:ascii="宋体" w:hAnsi="宋体" w:cs="宋体"/>
          <w:bCs/>
          <w:color w:val="auto"/>
          <w:kern w:val="2"/>
          <w:sz w:val="24"/>
          <w:szCs w:val="24"/>
          <w:highlight w:val="none"/>
        </w:rPr>
      </w:pPr>
    </w:p>
    <w:p w14:paraId="384264BA">
      <w:pPr>
        <w:pStyle w:val="52"/>
      </w:pPr>
    </w:p>
    <w:p w14:paraId="6945FC08">
      <w:pPr>
        <w:tabs>
          <w:tab w:val="left" w:pos="4465"/>
        </w:tabs>
        <w:spacing w:line="360" w:lineRule="auto"/>
        <w:ind w:firstLine="0" w:firstLineChars="0"/>
        <w:jc w:val="left"/>
        <w:rPr>
          <w:rFonts w:ascii="宋体" w:hAnsi="宋体"/>
          <w:b/>
          <w:bCs/>
          <w:color w:val="auto"/>
          <w:sz w:val="32"/>
          <w:szCs w:val="32"/>
          <w:highlight w:val="none"/>
          <w:lang w:val="zh-CN"/>
        </w:rPr>
      </w:pPr>
      <w:r>
        <w:rPr>
          <w:rFonts w:hint="eastAsia" w:ascii="宋体" w:hAnsi="宋体" w:cs="宋体"/>
          <w:b/>
          <w:color w:val="auto"/>
          <w:szCs w:val="24"/>
          <w:highlight w:val="none"/>
        </w:rPr>
        <w:t>附件一、</w:t>
      </w:r>
      <w:r>
        <w:rPr>
          <w:rFonts w:hint="eastAsia" w:ascii="宋体" w:hAnsi="宋体" w:cs="宋体"/>
          <w:b/>
          <w:color w:val="auto"/>
          <w:szCs w:val="24"/>
          <w:highlight w:val="none"/>
          <w:lang w:val="en-US" w:eastAsia="zh-CN"/>
        </w:rPr>
        <w:t xml:space="preserve">              </w:t>
      </w:r>
      <w:r>
        <w:rPr>
          <w:rFonts w:hint="eastAsia" w:ascii="宋体" w:hAnsi="宋体"/>
          <w:b/>
          <w:bCs/>
          <w:color w:val="auto"/>
          <w:sz w:val="32"/>
          <w:szCs w:val="32"/>
          <w:highlight w:val="none"/>
          <w:lang w:val="zh-CN"/>
        </w:rPr>
        <w:t>廉政合作协议</w:t>
      </w:r>
    </w:p>
    <w:p w14:paraId="559FBF72">
      <w:pPr>
        <w:spacing w:line="360" w:lineRule="auto"/>
        <w:rPr>
          <w:rFonts w:hint="eastAsia" w:ascii="宋体" w:hAnsi="宋体" w:eastAsia="宋体"/>
          <w:b/>
          <w:color w:val="auto"/>
          <w:szCs w:val="24"/>
          <w:highlight w:val="none"/>
          <w:lang w:eastAsia="zh-CN"/>
        </w:rPr>
      </w:pPr>
      <w:r>
        <w:rPr>
          <w:rFonts w:hint="eastAsia" w:ascii="宋体" w:hAnsi="宋体"/>
          <w:b/>
          <w:color w:val="auto"/>
          <w:szCs w:val="24"/>
          <w:highlight w:val="none"/>
        </w:rPr>
        <w:t>甲方：</w:t>
      </w:r>
      <w:r>
        <w:rPr>
          <w:rFonts w:hint="eastAsia" w:ascii="宋体" w:hAnsi="宋体"/>
          <w:b/>
          <w:color w:val="auto"/>
          <w:szCs w:val="24"/>
          <w:highlight w:val="none"/>
          <w:lang w:eastAsia="zh-CN"/>
        </w:rPr>
        <w:t>洛阳浩德浩康置业有限公司</w:t>
      </w:r>
    </w:p>
    <w:p w14:paraId="67E82D57">
      <w:pPr>
        <w:spacing w:line="360" w:lineRule="auto"/>
        <w:rPr>
          <w:rFonts w:hint="eastAsia" w:ascii="宋体" w:hAnsi="宋体" w:eastAsia="宋体" w:cs="Times New Roman"/>
          <w:b/>
          <w:color w:val="auto"/>
          <w:szCs w:val="24"/>
          <w:highlight w:val="none"/>
        </w:rPr>
      </w:pPr>
      <w:r>
        <w:rPr>
          <w:rFonts w:hint="eastAsia" w:ascii="宋体" w:hAnsi="宋体"/>
          <w:b/>
          <w:color w:val="auto"/>
          <w:szCs w:val="24"/>
          <w:highlight w:val="none"/>
        </w:rPr>
        <w:t>乙方：</w:t>
      </w:r>
      <w:r>
        <w:rPr>
          <w:rFonts w:hint="eastAsia" w:ascii="宋体" w:hAnsi="宋体" w:eastAsia="宋体" w:cs="Times New Roman"/>
          <w:b/>
          <w:i w:val="0"/>
          <w:iCs w:val="0"/>
          <w:caps w:val="0"/>
          <w:color w:val="auto"/>
          <w:spacing w:val="0"/>
          <w:sz w:val="24"/>
          <w:szCs w:val="24"/>
          <w:highlight w:val="none"/>
          <w:shd w:val="clear"/>
        </w:rPr>
        <w:t>浙江中驰环境建设有限公司</w:t>
      </w:r>
    </w:p>
    <w:p w14:paraId="440CCC85">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为加强工程项目建设期间的廉政管理，确保项目高效优质按期竣工，甲、乙双方经协商签订本协议并作为双方共同遵守的廉政行为准则。</w:t>
      </w:r>
    </w:p>
    <w:p w14:paraId="5411F484">
      <w:pPr>
        <w:spacing w:line="360" w:lineRule="auto"/>
        <w:ind w:firstLine="482" w:firstLineChars="200"/>
        <w:rPr>
          <w:rFonts w:ascii="宋体" w:hAnsi="宋体" w:cs="宋体"/>
          <w:b/>
          <w:color w:val="auto"/>
          <w:szCs w:val="28"/>
          <w:highlight w:val="none"/>
        </w:rPr>
      </w:pPr>
      <w:r>
        <w:rPr>
          <w:rFonts w:hint="eastAsia" w:ascii="宋体" w:hAnsi="宋体" w:cs="宋体"/>
          <w:b/>
          <w:color w:val="auto"/>
          <w:szCs w:val="28"/>
          <w:highlight w:val="none"/>
        </w:rPr>
        <w:t>一．甲方责任</w:t>
      </w:r>
    </w:p>
    <w:p w14:paraId="447CC49C">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1．甲方有责任向乙方介绍本单位有关廉政管理的各项制度和规定。</w:t>
      </w:r>
    </w:p>
    <w:p w14:paraId="65506982">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2．甲方有责任对本单位项目管理人员进行廉政教育。</w:t>
      </w:r>
    </w:p>
    <w:p w14:paraId="7AB6ABDB">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3．甲方人员应严格遵守本单位有关廉政管理的规定，不得接受乙方的宴请，不得接受任何形式的实物、现金或礼券。</w:t>
      </w:r>
    </w:p>
    <w:p w14:paraId="5E36741B">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4．甲方在项目建设期间发现甲方人员任何形式的索贿受贿行为，均应及时采取措施予以制止，并及时通报乙方单位领导。</w:t>
      </w:r>
    </w:p>
    <w:p w14:paraId="683D1839">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5．甲方人员如违反廉政管理制度及本协议规定，甲方应视情节轻重、影响大小给予处罚。</w:t>
      </w:r>
    </w:p>
    <w:p w14:paraId="18D49C42">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6．对于乙方举报甲方人员违反廉政规定的情况，甲方应及时进行调查，根据调查情况进行处理。</w:t>
      </w:r>
    </w:p>
    <w:p w14:paraId="79E2E7B9">
      <w:pPr>
        <w:spacing w:line="360" w:lineRule="auto"/>
        <w:ind w:firstLine="482" w:firstLineChars="200"/>
        <w:rPr>
          <w:rFonts w:ascii="宋体" w:hAnsi="宋体" w:cs="宋体"/>
          <w:b/>
          <w:color w:val="auto"/>
          <w:szCs w:val="28"/>
          <w:highlight w:val="none"/>
        </w:rPr>
      </w:pPr>
      <w:r>
        <w:rPr>
          <w:rFonts w:hint="eastAsia" w:ascii="宋体" w:hAnsi="宋体" w:cs="宋体"/>
          <w:b/>
          <w:color w:val="auto"/>
          <w:szCs w:val="28"/>
          <w:highlight w:val="none"/>
        </w:rPr>
        <w:t>二．乙方责任</w:t>
      </w:r>
    </w:p>
    <w:p w14:paraId="04611B67">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1．乙方应保证乙方有关人员了解甲方有关廉政管理的各项制度及本协议的规定，并遵照执行。</w:t>
      </w:r>
    </w:p>
    <w:p w14:paraId="2D1B650A">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2．乙方不得宴请甲方人员，不得以任何形式赠送实物、现金或礼券。</w:t>
      </w:r>
    </w:p>
    <w:p w14:paraId="419D7639">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3．乙方在项目建设期间发现乙方人员任何向甲方人员行贿行为，均应及时采取措施予以制止，并及时通报甲方单位领导。</w:t>
      </w:r>
    </w:p>
    <w:p w14:paraId="10C590BD">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4．乙方有责任接受甲方对乙方在项目建设期间廉政管理执行情况的监督。</w:t>
      </w:r>
    </w:p>
    <w:p w14:paraId="5CBAB8DF">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1F286183">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6．如因乙方或其人员在项目建设期间贿赂甲方人员，被检察机关立案查处的，甲方有权终止合同履行或解除合同，由此给甲方造成的损失，均由乙方负责赔偿。</w:t>
      </w:r>
    </w:p>
    <w:p w14:paraId="70EA37CE">
      <w:pPr>
        <w:spacing w:line="360" w:lineRule="auto"/>
        <w:ind w:firstLine="482" w:firstLineChars="200"/>
        <w:rPr>
          <w:rFonts w:ascii="宋体" w:hAnsi="宋体" w:cs="宋体"/>
          <w:b/>
          <w:color w:val="auto"/>
          <w:szCs w:val="28"/>
          <w:highlight w:val="none"/>
        </w:rPr>
      </w:pPr>
      <w:r>
        <w:rPr>
          <w:rFonts w:hint="eastAsia" w:ascii="宋体" w:hAnsi="宋体" w:cs="宋体"/>
          <w:b/>
          <w:color w:val="auto"/>
          <w:szCs w:val="28"/>
          <w:highlight w:val="none"/>
        </w:rPr>
        <w:t xml:space="preserve"> 三、为维护甲乙双方的合法利益，营造良好的商务环境，甲方建立多种举报渠道（如下）。甲方审计监察部人员将恪守职业道德，严格履行保密义务！</w:t>
      </w:r>
    </w:p>
    <w:p w14:paraId="2DC4743E">
      <w:pPr>
        <w:spacing w:line="360" w:lineRule="auto"/>
        <w:ind w:firstLine="480" w:firstLineChars="200"/>
        <w:rPr>
          <w:rFonts w:ascii="宋体" w:hAnsi="宋体" w:cs="宋体"/>
          <w:bCs/>
          <w:color w:val="auto"/>
          <w:szCs w:val="28"/>
          <w:highlight w:val="none"/>
        </w:rPr>
      </w:pPr>
      <w:r>
        <w:rPr>
          <w:rFonts w:hint="eastAsia" w:ascii="宋体" w:hAnsi="宋体" w:cs="宋体"/>
          <w:bCs/>
          <w:color w:val="auto"/>
          <w:szCs w:val="28"/>
          <w:highlight w:val="none"/>
        </w:rPr>
        <w:t>（1）微信小程序举报（扫描右侧二维码进入程序，举报信息直达集团董事长）；</w:t>
      </w:r>
    </w:p>
    <w:p w14:paraId="2E922670">
      <w:pPr>
        <w:spacing w:line="360" w:lineRule="auto"/>
        <w:ind w:firstLine="480" w:firstLineChars="200"/>
        <w:rPr>
          <w:rFonts w:ascii="宋体" w:hAnsi="宋体" w:cs="宋体"/>
          <w:color w:val="auto"/>
          <w:szCs w:val="28"/>
          <w:highlight w:val="none"/>
        </w:rPr>
      </w:pPr>
      <w:r>
        <w:rPr>
          <w:color w:val="auto"/>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11" name="图片 111"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说明: 32dc313b898daf07a491037a11ba2c8"/>
                    <pic:cNvPicPr>
                      <a:picLocks noChangeAspect="1"/>
                    </pic:cNvPicPr>
                  </pic:nvPicPr>
                  <pic:blipFill>
                    <a:blip r:embed="rId10"/>
                    <a:stretch>
                      <a:fillRect/>
                    </a:stretch>
                  </pic:blipFill>
                  <pic:spPr>
                    <a:xfrm>
                      <a:off x="0" y="0"/>
                      <a:ext cx="935990" cy="935990"/>
                    </a:xfrm>
                    <a:prstGeom prst="rect">
                      <a:avLst/>
                    </a:prstGeom>
                    <a:noFill/>
                    <a:ln>
                      <a:noFill/>
                    </a:ln>
                  </pic:spPr>
                </pic:pic>
              </a:graphicData>
            </a:graphic>
          </wp:anchor>
        </w:drawing>
      </w:r>
      <w:r>
        <w:rPr>
          <w:rFonts w:hint="eastAsia" w:ascii="宋体" w:hAnsi="宋体" w:cs="宋体"/>
          <w:color w:val="auto"/>
          <w:szCs w:val="28"/>
          <w:highlight w:val="none"/>
        </w:rPr>
        <w:t>（2）邮箱：shenji@chinahonden.com</w:t>
      </w:r>
    </w:p>
    <w:p w14:paraId="336046AF">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（3）电话：风控总监毛政辉：13693798532</w:t>
      </w:r>
    </w:p>
    <w:p w14:paraId="59B00EB7">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（4）电话：审计监察副总监齐全中：18137710188</w:t>
      </w:r>
    </w:p>
    <w:p w14:paraId="6B665FD4">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（5）电话：审计监察高级经理苏文倩：18839528225</w:t>
      </w:r>
    </w:p>
    <w:p w14:paraId="1F25ED11">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（6）信件举报邮寄地址：洛阳市洛龙区关林西路8号中浩德控股集团有限公司审计监察部（收）。</w:t>
      </w:r>
    </w:p>
    <w:p w14:paraId="2E1D926E">
      <w:pPr>
        <w:spacing w:line="360" w:lineRule="auto"/>
        <w:ind w:firstLine="482" w:firstLineChars="200"/>
        <w:rPr>
          <w:rFonts w:ascii="宋体" w:hAnsi="宋体" w:cs="宋体"/>
          <w:b/>
          <w:color w:val="auto"/>
          <w:szCs w:val="28"/>
          <w:highlight w:val="none"/>
        </w:rPr>
      </w:pPr>
      <w:r>
        <w:rPr>
          <w:rFonts w:hint="eastAsia" w:ascii="宋体" w:hAnsi="宋体" w:cs="宋体"/>
          <w:b/>
          <w:color w:val="auto"/>
          <w:szCs w:val="28"/>
          <w:highlight w:val="none"/>
        </w:rPr>
        <w:t>四、甲乙双方发现对方工作人员有下列行为之一的，可通过第三条约定的渠道进行举报：</w:t>
      </w:r>
    </w:p>
    <w:p w14:paraId="5AADFBC0">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1.推诿扯皮、有责不负、处事消极、渎职失职、弄虚作假等行为。</w:t>
      </w:r>
    </w:p>
    <w:p w14:paraId="67E4BF37">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2.以权谋私、滥用职权、处事不公、隐瞒事故、违章指挥造成公司严重事故隐患的行为。</w:t>
      </w:r>
    </w:p>
    <w:p w14:paraId="6271CC6A">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3.贪污、受贿、盗窃、欺上瞒下等违法乱纪行为。</w:t>
      </w:r>
    </w:p>
    <w:p w14:paraId="273CEB34">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4.出卖、泄露公司商业机密等危害公司行为。</w:t>
      </w:r>
    </w:p>
    <w:p w14:paraId="70FC5D0E">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5.重大经济活动未按公司制度、流程执行的违规违纪行为。</w:t>
      </w:r>
    </w:p>
    <w:p w14:paraId="3EA9AE5D">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6.利用职权，任人唯亲，拉帮结派，搞小利益团体或对同事正当行使权利进行打击报复的行为。</w:t>
      </w:r>
    </w:p>
    <w:p w14:paraId="76848204">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7.故意涂改公司文件或以公司名义谋私利，损害公司荣誉和利益的行为。</w:t>
      </w:r>
    </w:p>
    <w:p w14:paraId="7022E1DE">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8.私自侵占、挪用公司财物，损坏公司重要设备或资产的行为。</w:t>
      </w:r>
    </w:p>
    <w:p w14:paraId="31E1D6CA">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9.破坏团队和谐，故意挑拨员工之间关系，对同事恶意侮辱、陷害、制造事端的行为。</w:t>
      </w:r>
    </w:p>
    <w:p w14:paraId="16D7E275">
      <w:pPr>
        <w:spacing w:line="360" w:lineRule="auto"/>
        <w:ind w:firstLine="480" w:firstLineChars="200"/>
        <w:rPr>
          <w:rFonts w:ascii="宋体" w:hAnsi="宋体" w:cs="宋体"/>
          <w:color w:val="auto"/>
          <w:szCs w:val="28"/>
          <w:highlight w:val="none"/>
        </w:rPr>
      </w:pPr>
      <w:r>
        <w:rPr>
          <w:rFonts w:hint="eastAsia" w:ascii="宋体" w:hAnsi="宋体" w:cs="宋体"/>
          <w:color w:val="auto"/>
          <w:szCs w:val="28"/>
          <w:highlight w:val="none"/>
        </w:rPr>
        <w:t>10.妄议集团经营、管理、决策部署、会议决议，对正当行使职权的执法部门、员工进行设置障碍、诋毁、恶意侮辱的行为。</w:t>
      </w:r>
    </w:p>
    <w:p w14:paraId="7E80C3A6">
      <w:pPr>
        <w:spacing w:line="360" w:lineRule="auto"/>
        <w:ind w:firstLine="480" w:firstLineChars="200"/>
        <w:rPr>
          <w:rFonts w:ascii="宋体" w:hAnsi="宋体" w:cs="宋体"/>
          <w:color w:val="auto"/>
          <w:highlight w:val="none"/>
        </w:rPr>
      </w:pPr>
      <w:r>
        <w:rPr>
          <w:rFonts w:hint="eastAsia" w:ascii="宋体" w:hAnsi="宋体" w:cs="宋体"/>
          <w:color w:val="auto"/>
          <w:szCs w:val="28"/>
          <w:highlight w:val="none"/>
        </w:rPr>
        <w:t>11.其他违反法律或者甲方公司相关制度的行为。</w:t>
      </w:r>
    </w:p>
    <w:p w14:paraId="2EE5CAF0">
      <w:pPr>
        <w:spacing w:line="360" w:lineRule="auto"/>
        <w:ind w:firstLine="480" w:firstLineChars="200"/>
        <w:rPr>
          <w:rFonts w:ascii="宋体" w:hAnsi="宋体" w:cs="宋体"/>
          <w:color w:val="auto"/>
          <w:highlight w:val="none"/>
        </w:rPr>
      </w:pPr>
      <w:r>
        <w:rPr>
          <w:rFonts w:hint="eastAsia" w:ascii="宋体" w:hAnsi="宋体" w:cs="宋体"/>
          <w:color w:val="auto"/>
          <w:highlight w:val="none"/>
        </w:rPr>
        <w:t>（以下无正文）</w:t>
      </w:r>
    </w:p>
    <w:p w14:paraId="07CD0515">
      <w:pPr>
        <w:autoSpaceDN w:val="0"/>
        <w:spacing w:line="360" w:lineRule="auto"/>
        <w:ind w:firstLine="480" w:firstLineChars="200"/>
        <w:rPr>
          <w:rFonts w:hint="eastAsia" w:ascii="宋体" w:hAnsi="宋体" w:eastAsia="宋体"/>
          <w:color w:val="auto"/>
          <w:szCs w:val="24"/>
          <w:highlight w:val="none"/>
          <w:lang w:val="en-US" w:eastAsia="zh-CN"/>
        </w:rPr>
      </w:pPr>
      <w:r>
        <w:rPr>
          <w:rFonts w:hint="eastAsia" w:ascii="宋体" w:hAnsi="宋体"/>
          <w:color w:val="auto"/>
          <w:szCs w:val="24"/>
          <w:highlight w:val="none"/>
        </w:rPr>
        <w:t>甲方（盖章）：                        乙方（盖章）：</w:t>
      </w:r>
      <w:r>
        <w:rPr>
          <w:rFonts w:hint="eastAsia" w:ascii="宋体" w:hAnsi="宋体"/>
          <w:color w:val="auto"/>
          <w:szCs w:val="24"/>
          <w:highlight w:val="none"/>
          <w:lang w:val="en-US" w:eastAsia="zh-CN"/>
        </w:rPr>
        <w:t xml:space="preserve">           </w:t>
      </w:r>
    </w:p>
    <w:p w14:paraId="6D7F1DC5">
      <w:pPr>
        <w:autoSpaceDN w:val="0"/>
        <w:spacing w:line="360" w:lineRule="auto"/>
        <w:ind w:left="199" w:leftChars="83" w:firstLine="240" w:firstLineChars="100"/>
        <w:rPr>
          <w:rFonts w:ascii="宋体" w:hAnsi="宋体"/>
          <w:color w:val="auto"/>
          <w:szCs w:val="32"/>
          <w:highlight w:val="none"/>
        </w:rPr>
      </w:pPr>
      <w:r>
        <w:rPr>
          <w:rFonts w:hint="eastAsia" w:ascii="宋体" w:hAnsi="宋体"/>
          <w:color w:val="auto"/>
          <w:szCs w:val="24"/>
          <w:highlight w:val="none"/>
        </w:rPr>
        <w:t>签订日期：</w:t>
      </w:r>
      <w:r>
        <w:rPr>
          <w:rFonts w:hint="eastAsia" w:ascii="宋体" w:hAnsi="宋体" w:cs="宋体"/>
          <w:bCs/>
          <w:color w:val="auto"/>
          <w:szCs w:val="24"/>
          <w:highlight w:val="none"/>
          <w:u w:val="single"/>
          <w:lang w:val="en-US" w:eastAsia="zh-CN"/>
        </w:rPr>
        <w:t>2024</w:t>
      </w:r>
      <w:r>
        <w:rPr>
          <w:rFonts w:hint="eastAsia" w:ascii="宋体" w:hAnsi="宋体" w:cs="宋体"/>
          <w:bCs/>
          <w:color w:val="auto"/>
          <w:szCs w:val="24"/>
          <w:highlight w:val="none"/>
          <w:u w:val="single"/>
        </w:rPr>
        <w:t xml:space="preserve"> </w:t>
      </w:r>
      <w:r>
        <w:rPr>
          <w:rFonts w:hint="eastAsia" w:ascii="宋体" w:hAnsi="宋体" w:cs="宋体"/>
          <w:bCs/>
          <w:color w:val="auto"/>
          <w:szCs w:val="24"/>
          <w:highlight w:val="none"/>
        </w:rPr>
        <w:t>年</w:t>
      </w:r>
      <w:r>
        <w:rPr>
          <w:rFonts w:hint="eastAsia" w:ascii="宋体" w:hAnsi="宋体" w:cs="宋体"/>
          <w:bCs/>
          <w:color w:val="auto"/>
          <w:szCs w:val="24"/>
          <w:highlight w:val="none"/>
          <w:u w:val="single"/>
        </w:rPr>
        <w:t xml:space="preserve"> </w:t>
      </w:r>
      <w:r>
        <w:rPr>
          <w:rFonts w:hint="eastAsia" w:ascii="宋体" w:hAnsi="宋体" w:cs="宋体"/>
          <w:bCs/>
          <w:color w:val="auto"/>
          <w:szCs w:val="24"/>
          <w:highlight w:val="none"/>
          <w:u w:val="single"/>
          <w:lang w:val="en-US" w:eastAsia="zh-CN"/>
        </w:rPr>
        <w:t>8</w:t>
      </w:r>
      <w:r>
        <w:rPr>
          <w:rFonts w:hint="eastAsia" w:ascii="宋体" w:hAnsi="宋体" w:cs="宋体"/>
          <w:bCs/>
          <w:color w:val="auto"/>
          <w:szCs w:val="24"/>
          <w:highlight w:val="none"/>
          <w:u w:val="single"/>
        </w:rPr>
        <w:t xml:space="preserve"> </w:t>
      </w:r>
      <w:r>
        <w:rPr>
          <w:rFonts w:hint="eastAsia" w:ascii="宋体" w:hAnsi="宋体" w:cs="宋体"/>
          <w:bCs/>
          <w:color w:val="auto"/>
          <w:szCs w:val="24"/>
          <w:highlight w:val="none"/>
        </w:rPr>
        <w:t>月</w:t>
      </w:r>
      <w:r>
        <w:rPr>
          <w:rFonts w:hint="eastAsia" w:ascii="宋体" w:hAnsi="宋体" w:cs="宋体"/>
          <w:bCs/>
          <w:color w:val="auto"/>
          <w:szCs w:val="24"/>
          <w:highlight w:val="none"/>
          <w:lang w:val="en-US" w:eastAsia="zh-CN"/>
        </w:rPr>
        <w:t xml:space="preserve"> </w:t>
      </w:r>
      <w:r>
        <w:rPr>
          <w:rFonts w:hint="eastAsia" w:ascii="宋体" w:hAnsi="宋体" w:cs="宋体"/>
          <w:bCs/>
          <w:color w:val="auto"/>
          <w:szCs w:val="24"/>
          <w:highlight w:val="none"/>
        </w:rPr>
        <w:t>日</w:t>
      </w:r>
      <w:r>
        <w:rPr>
          <w:rFonts w:hint="eastAsia" w:ascii="宋体" w:hAnsi="宋体"/>
          <w:color w:val="auto"/>
          <w:szCs w:val="24"/>
          <w:highlight w:val="none"/>
        </w:rPr>
        <w:t xml:space="preserve">    </w:t>
      </w:r>
      <w:r>
        <w:rPr>
          <w:rFonts w:hint="eastAsia" w:ascii="宋体" w:hAnsi="宋体"/>
          <w:color w:val="auto"/>
          <w:szCs w:val="24"/>
          <w:highlight w:val="none"/>
          <w:lang w:val="en-US" w:eastAsia="zh-CN"/>
        </w:rPr>
        <w:t xml:space="preserve">      </w:t>
      </w:r>
      <w:r>
        <w:rPr>
          <w:rFonts w:hint="eastAsia" w:ascii="宋体" w:hAnsi="宋体"/>
          <w:color w:val="auto"/>
          <w:szCs w:val="24"/>
          <w:highlight w:val="none"/>
        </w:rPr>
        <w:t xml:space="preserve"> </w:t>
      </w:r>
      <w:r>
        <w:rPr>
          <w:rFonts w:hint="eastAsia" w:ascii="宋体" w:hAnsi="宋体"/>
          <w:color w:val="auto"/>
          <w:szCs w:val="24"/>
          <w:highlight w:val="none"/>
          <w:lang w:val="en-US" w:eastAsia="zh-CN"/>
        </w:rPr>
        <w:t xml:space="preserve"> </w:t>
      </w:r>
      <w:r>
        <w:rPr>
          <w:rFonts w:hint="eastAsia" w:ascii="宋体" w:hAnsi="宋体"/>
          <w:color w:val="auto"/>
          <w:szCs w:val="24"/>
          <w:highlight w:val="none"/>
        </w:rPr>
        <w:t>签订日期：</w:t>
      </w:r>
      <w:r>
        <w:rPr>
          <w:rFonts w:hint="eastAsia" w:ascii="宋体" w:hAnsi="宋体" w:cs="宋体"/>
          <w:bCs/>
          <w:color w:val="auto"/>
          <w:szCs w:val="24"/>
          <w:highlight w:val="none"/>
          <w:u w:val="single"/>
          <w:lang w:val="en-US" w:eastAsia="zh-CN"/>
        </w:rPr>
        <w:t>2024</w:t>
      </w:r>
      <w:r>
        <w:rPr>
          <w:rFonts w:hint="eastAsia" w:ascii="宋体" w:hAnsi="宋体" w:cs="宋体"/>
          <w:bCs/>
          <w:color w:val="auto"/>
          <w:szCs w:val="24"/>
          <w:highlight w:val="none"/>
        </w:rPr>
        <w:t>年</w:t>
      </w:r>
      <w:r>
        <w:rPr>
          <w:rFonts w:hint="eastAsia" w:ascii="宋体" w:hAnsi="宋体" w:cs="宋体"/>
          <w:bCs/>
          <w:color w:val="auto"/>
          <w:szCs w:val="24"/>
          <w:highlight w:val="none"/>
          <w:u w:val="single"/>
        </w:rPr>
        <w:t xml:space="preserve"> </w:t>
      </w:r>
      <w:r>
        <w:rPr>
          <w:rFonts w:hint="eastAsia" w:ascii="宋体" w:hAnsi="宋体" w:cs="宋体"/>
          <w:bCs/>
          <w:color w:val="auto"/>
          <w:szCs w:val="24"/>
          <w:highlight w:val="none"/>
          <w:u w:val="single"/>
          <w:lang w:val="en-US" w:eastAsia="zh-CN"/>
        </w:rPr>
        <w:t>8</w:t>
      </w:r>
      <w:r>
        <w:rPr>
          <w:rFonts w:hint="eastAsia" w:ascii="宋体" w:hAnsi="宋体" w:cs="宋体"/>
          <w:bCs/>
          <w:color w:val="auto"/>
          <w:szCs w:val="24"/>
          <w:highlight w:val="none"/>
          <w:u w:val="none"/>
          <w:lang w:val="en-US" w:eastAsia="zh-CN"/>
        </w:rPr>
        <w:t xml:space="preserve"> </w:t>
      </w:r>
      <w:r>
        <w:rPr>
          <w:rFonts w:hint="eastAsia" w:ascii="宋体" w:hAnsi="宋体" w:cs="宋体"/>
          <w:bCs/>
          <w:color w:val="auto"/>
          <w:szCs w:val="24"/>
          <w:highlight w:val="none"/>
        </w:rPr>
        <w:t>月</w:t>
      </w:r>
      <w:r>
        <w:rPr>
          <w:rFonts w:hint="eastAsia" w:ascii="宋体" w:hAnsi="宋体" w:cs="宋体"/>
          <w:bCs/>
          <w:color w:val="auto"/>
          <w:szCs w:val="24"/>
          <w:highlight w:val="none"/>
          <w:lang w:val="en-US" w:eastAsia="zh-CN"/>
        </w:rPr>
        <w:t xml:space="preserve"> </w:t>
      </w:r>
      <w:r>
        <w:rPr>
          <w:rFonts w:hint="eastAsia" w:ascii="宋体" w:hAnsi="宋体" w:cs="宋体"/>
          <w:bCs/>
          <w:color w:val="auto"/>
          <w:szCs w:val="24"/>
          <w:highlight w:val="none"/>
        </w:rPr>
        <w:t>日</w:t>
      </w:r>
    </w:p>
    <w:p w14:paraId="1222B2E2">
      <w:pPr>
        <w:pStyle w:val="2"/>
        <w:rPr>
          <w:rFonts w:hAnsi="宋体" w:cs="宋体"/>
          <w:bCs/>
          <w:color w:val="auto"/>
          <w:szCs w:val="24"/>
          <w:highlight w:val="none"/>
        </w:rPr>
      </w:pPr>
    </w:p>
    <w:p w14:paraId="7C709EBB">
      <w:pPr>
        <w:pStyle w:val="2"/>
        <w:rPr>
          <w:rFonts w:hAnsi="宋体" w:cs="宋体"/>
          <w:bCs/>
          <w:color w:val="auto"/>
          <w:szCs w:val="24"/>
          <w:highlight w:val="none"/>
        </w:rPr>
      </w:pPr>
    </w:p>
    <w:p w14:paraId="2C1CECDB">
      <w:pPr>
        <w:pStyle w:val="2"/>
        <w:rPr>
          <w:rFonts w:hAnsi="宋体" w:cs="宋体"/>
          <w:bCs/>
          <w:color w:val="auto"/>
          <w:szCs w:val="24"/>
          <w:highlight w:val="none"/>
        </w:rPr>
      </w:pPr>
      <w:r>
        <w:rPr>
          <w:rFonts w:hint="eastAsia" w:hAnsi="宋体" w:cs="宋体"/>
          <w:bCs/>
          <w:color w:val="auto"/>
          <w:szCs w:val="24"/>
          <w:highlight w:val="none"/>
        </w:rPr>
        <w:t>附件二、《景观绿化工程施工技术要求》</w:t>
      </w:r>
    </w:p>
    <w:p w14:paraId="2D49DD9C">
      <w:pPr>
        <w:tabs>
          <w:tab w:val="left" w:pos="0"/>
        </w:tabs>
        <w:ind w:left="22" w:hanging="22" w:hangingChars="7"/>
        <w:jc w:val="center"/>
        <w:rPr>
          <w:rFonts w:ascii="宋体" w:hAnsi="宋体" w:eastAsia="宋体" w:cs="宋体"/>
          <w:b/>
          <w:bCs/>
          <w:color w:val="auto"/>
          <w:sz w:val="32"/>
          <w:szCs w:val="32"/>
          <w:highlight w:val="none"/>
        </w:rPr>
      </w:pPr>
      <w:r>
        <w:rPr>
          <w:rFonts w:hint="eastAsia" w:ascii="宋体" w:hAnsi="宋体" w:eastAsia="宋体" w:cs="宋体"/>
          <w:b/>
          <w:bCs/>
          <w:color w:val="auto"/>
          <w:kern w:val="0"/>
          <w:sz w:val="32"/>
          <w:szCs w:val="32"/>
          <w:highlight w:val="none"/>
        </w:rPr>
        <w:t>景观绿化</w:t>
      </w:r>
      <w:r>
        <w:rPr>
          <w:rFonts w:hint="eastAsia" w:ascii="宋体" w:hAnsi="宋体" w:eastAsia="宋体" w:cs="宋体"/>
          <w:b/>
          <w:bCs/>
          <w:color w:val="auto"/>
          <w:sz w:val="32"/>
          <w:szCs w:val="32"/>
          <w:highlight w:val="none"/>
        </w:rPr>
        <w:t>工程施工技术要求</w:t>
      </w:r>
    </w:p>
    <w:p w14:paraId="6852BFEB">
      <w:pPr>
        <w:tabs>
          <w:tab w:val="left" w:pos="0"/>
        </w:tabs>
        <w:ind w:left="17" w:hanging="17" w:hangingChars="7"/>
        <w:jc w:val="left"/>
        <w:rPr>
          <w:rFonts w:ascii="宋体" w:hAnsi="宋体" w:eastAsia="宋体" w:cs="宋体"/>
          <w:b/>
          <w:color w:val="auto"/>
          <w:sz w:val="24"/>
          <w:highlight w:val="none"/>
        </w:rPr>
      </w:pPr>
    </w:p>
    <w:p w14:paraId="72AB2849">
      <w:pPr>
        <w:tabs>
          <w:tab w:val="left" w:pos="0"/>
        </w:tabs>
        <w:ind w:left="17" w:hanging="17" w:hangingChars="7"/>
        <w:jc w:val="center"/>
        <w:rPr>
          <w:rFonts w:ascii="宋体" w:hAnsi="宋体" w:eastAsia="宋体" w:cs="宋体"/>
          <w:b/>
          <w:color w:val="auto"/>
          <w:sz w:val="24"/>
          <w:highlight w:val="none"/>
        </w:rPr>
      </w:pPr>
      <w:r>
        <w:rPr>
          <w:rFonts w:hint="eastAsia" w:ascii="宋体" w:hAnsi="宋体" w:eastAsia="宋体" w:cs="宋体"/>
          <w:b/>
          <w:color w:val="auto"/>
          <w:sz w:val="24"/>
          <w:highlight w:val="none"/>
        </w:rPr>
        <w:t>土建、安装技术标准、施工要求</w:t>
      </w:r>
    </w:p>
    <w:p w14:paraId="02866DC5">
      <w:pPr>
        <w:tabs>
          <w:tab w:val="left" w:pos="0"/>
        </w:tabs>
        <w:spacing w:line="360" w:lineRule="auto"/>
        <w:jc w:val="left"/>
        <w:rPr>
          <w:rFonts w:ascii="宋体" w:hAnsi="宋体" w:eastAsia="宋体" w:cs="宋体"/>
          <w:color w:val="auto"/>
          <w:sz w:val="24"/>
          <w:highlight w:val="none"/>
        </w:rPr>
      </w:pPr>
    </w:p>
    <w:p w14:paraId="793F4B2B">
      <w:pPr>
        <w:numPr>
          <w:ilvl w:val="0"/>
          <w:numId w:val="3"/>
        </w:numPr>
        <w:tabs>
          <w:tab w:val="left" w:pos="0"/>
          <w:tab w:val="clear" w:pos="42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硬质景观、水电施工技术要求</w:t>
      </w:r>
    </w:p>
    <w:p w14:paraId="4427D6D0">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一、施工前准备</w:t>
      </w:r>
    </w:p>
    <w:p w14:paraId="169739F2">
      <w:pPr>
        <w:numPr>
          <w:ilvl w:val="0"/>
          <w:numId w:val="4"/>
        </w:numPr>
        <w:tabs>
          <w:tab w:val="left" w:pos="0"/>
          <w:tab w:val="clear" w:pos="36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强调项目：</w:t>
      </w:r>
    </w:p>
    <w:p w14:paraId="70AC9617">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1、定标后，中标单位需在中标后一周内完成图纸深化工作，图纸深化工作应建立在详细了解现场情况的基础上，主要深化内容包括：</w:t>
      </w:r>
    </w:p>
    <w:p w14:paraId="428FDF50">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1.1 根据现场情况，原图纸是否有需调整的地方；</w:t>
      </w:r>
    </w:p>
    <w:p w14:paraId="0C2E8EE4">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1.2 图纸中各类地面铺装、景墙铺贴等的排版图；</w:t>
      </w:r>
    </w:p>
    <w:p w14:paraId="753AD98D">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1.3 各交接部位，如台阶、易沉降部位的结构加固处理方式；</w:t>
      </w:r>
    </w:p>
    <w:p w14:paraId="5B100CD7">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1.4 核对道路、广场、草坪等全场各处的排水设置是否合理，包括雨水口、坡度设计、排水沟截水沟的设计是否能满足需要等，完善相关的详细设计，并在施工过程中考虑此类问题。</w:t>
      </w:r>
    </w:p>
    <w:p w14:paraId="261E8377">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1.5 在后页“施工过程-强调项目”中涉及到各项内容的深化。</w:t>
      </w:r>
    </w:p>
    <w:p w14:paraId="5CFA9EAB">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B、一般项目：</w:t>
      </w:r>
    </w:p>
    <w:p w14:paraId="68323AE1">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工程施工前必须做好各项施工的准备工作，以确保工程顺利进行。准备工作内容包括：掌握资料、熟悉设计、勘查现场、制定方案、编制预算、材料供应和现场准备。</w:t>
      </w:r>
    </w:p>
    <w:p w14:paraId="007A0146">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开工前应了解掌握工程的有关资料，如用地手续、上级批示、工程要求等。</w:t>
      </w:r>
    </w:p>
    <w:p w14:paraId="390CE2B3">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工前必须熟悉设计的指导思想、设计意图、图纸、质量、效果的要求，并由设计人员向施工单位进行设计交底。技术交底前，施工单位应在施工现场对照设计图进行核对，如有不符之处，施工单位应在技术交底会时提出，甲方作相应的处理。</w:t>
      </w:r>
    </w:p>
    <w:p w14:paraId="1DDB9613">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现场勘查：施工人员了解设计意图及组织有关人员到现场勘查，一般包括：现场周围环境、施工条件、电源、水源、土源、交通道路、堆料场地、生活暂设的位置，以及市政、电讯应配合的部门和定点放线的依据。</w:t>
      </w:r>
    </w:p>
    <w:p w14:paraId="754C00EB">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工程开工前应制定施工方案（施工组织设计）；</w:t>
      </w:r>
    </w:p>
    <w:p w14:paraId="3C3E4FBF">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重点材料的准备：应事先了解来源、材料质量、价格、可供应情况；</w:t>
      </w:r>
    </w:p>
    <w:p w14:paraId="56596538">
      <w:pPr>
        <w:numPr>
          <w:ilvl w:val="0"/>
          <w:numId w:val="5"/>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关于劳动力、机械、运输力应事先由专人负责联系安排好。</w:t>
      </w:r>
    </w:p>
    <w:p w14:paraId="720597CF">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二、施工材料采购、大面积施工及进场要求</w:t>
      </w:r>
    </w:p>
    <w:p w14:paraId="41D52636">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A. 强调项目：</w:t>
      </w:r>
    </w:p>
    <w:p w14:paraId="42FE2C69">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1、施工样板先行机制：</w:t>
      </w:r>
    </w:p>
    <w:p w14:paraId="3A7F0803">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1.1 材料进场后需经监理、甲方设计工程师确认后方可使用，各类地面铺装、景墙铺贴、绿植（后面会有专项说明）、亭廊在进行大面积施工前，必须先做少量标准段，材料、做法均需经监理、甲方设计工程师确认后方可进行大面积施工，否则若造成返工、大面材料不满足要求需重新定制等各类损失由施工单位负责；</w:t>
      </w:r>
    </w:p>
    <w:p w14:paraId="25C7C930">
      <w:pPr>
        <w:tabs>
          <w:tab w:val="left" w:pos="0"/>
        </w:tabs>
        <w:spacing w:line="360" w:lineRule="auto"/>
        <w:ind w:left="17" w:hanging="16" w:hangingChars="7"/>
        <w:jc w:val="left"/>
        <w:outlineLvl w:val="0"/>
        <w:rPr>
          <w:rFonts w:ascii="宋体" w:hAnsi="宋体" w:eastAsia="宋体" w:cs="宋体"/>
          <w:bCs/>
          <w:color w:val="auto"/>
          <w:sz w:val="24"/>
          <w:highlight w:val="none"/>
        </w:rPr>
      </w:pPr>
      <w:r>
        <w:rPr>
          <w:rFonts w:hint="eastAsia" w:ascii="宋体" w:hAnsi="宋体" w:eastAsia="宋体" w:cs="宋体"/>
          <w:bCs/>
          <w:color w:val="auto"/>
          <w:sz w:val="24"/>
          <w:highlight w:val="none"/>
        </w:rPr>
        <w:t>1.2 分步验收机制：每步工序完工后须填写“园林景观分项工程验收单”（见下页），方可进行下一步工作；</w:t>
      </w:r>
    </w:p>
    <w:p w14:paraId="4490853C">
      <w:pPr>
        <w:tabs>
          <w:tab w:val="left" w:pos="0"/>
        </w:tabs>
        <w:ind w:left="17" w:hanging="17" w:hangingChars="7"/>
        <w:jc w:val="left"/>
        <w:rPr>
          <w:rFonts w:ascii="宋体" w:hAnsi="宋体" w:eastAsia="宋体" w:cs="宋体"/>
          <w:color w:val="auto"/>
          <w:sz w:val="24"/>
          <w:highlight w:val="none"/>
        </w:rPr>
      </w:pPr>
      <w:r>
        <w:rPr>
          <w:rFonts w:hint="eastAsia" w:ascii="宋体" w:hAnsi="宋体" w:eastAsia="宋体" w:cs="宋体"/>
          <w:b/>
          <w:bCs/>
          <w:color w:val="auto"/>
          <w:sz w:val="24"/>
          <w:highlight w:val="none"/>
        </w:rPr>
        <w:t>硬质施工监控程序</w:t>
      </w:r>
    </w:p>
    <w:p w14:paraId="3242BBAA">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4457700</wp:posOffset>
                </wp:positionH>
                <wp:positionV relativeFrom="paragraph">
                  <wp:posOffset>0</wp:posOffset>
                </wp:positionV>
                <wp:extent cx="914400" cy="990600"/>
                <wp:effectExtent l="4445" t="4445" r="10795" b="10795"/>
                <wp:wrapNone/>
                <wp:docPr id="131" name="文本框 131"/>
                <wp:cNvGraphicFramePr/>
                <a:graphic xmlns:a="http://schemas.openxmlformats.org/drawingml/2006/main">
                  <a:graphicData uri="http://schemas.microsoft.com/office/word/2010/wordprocessingShape">
                    <wps:wsp>
                      <wps:cNvSpPr txBox="1"/>
                      <wps:spPr>
                        <a:xfrm>
                          <a:off x="0" y="0"/>
                          <a:ext cx="9144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CEC82B">
                            <w:r>
                              <w:rPr>
                                <w:rFonts w:hint="eastAsia"/>
                              </w:rPr>
                              <w:t>土壤细平，碾压夯实，</w:t>
                            </w:r>
                          </w:p>
                          <w:p w14:paraId="2F3D2943">
                            <w:r>
                              <w:rPr>
                                <w:rFonts w:hint="eastAsia"/>
                              </w:rPr>
                              <w:t>管线预埋（若有）</w:t>
                            </w:r>
                          </w:p>
                          <w:p w14:paraId="34E66BB9"/>
                        </w:txbxContent>
                      </wps:txbx>
                      <wps:bodyPr upright="1"/>
                    </wps:wsp>
                  </a:graphicData>
                </a:graphic>
              </wp:anchor>
            </w:drawing>
          </mc:Choice>
          <mc:Fallback>
            <w:pict>
              <v:shape id="_x0000_s1026" o:spid="_x0000_s1026" o:spt="202" type="#_x0000_t202" style="position:absolute;left:0pt;margin-left:351pt;margin-top:0pt;height:78pt;width:72pt;z-index:251663360;mso-width-relative:page;mso-height-relative:page;" fillcolor="#FFFFFF" filled="t" stroked="t" coordsize="21600,21600" o:gfxdata="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pr9M1QAAAAgBAAAPAAAAAAAAAAEAIAAA&#10;ACIAAABkcnMvZG93bnJldi54bWxQSwECFAAUAAAACACHTuJAaTM9hA8CAABHBAAADgAAAAAAAAAB&#10;ACAAAAAkAQAAZHJzL2Uyb0RvYy54bWxQSwUGAAAAAAYABgBZAQAApQUAAAAA&#10;">
                <v:fill on="t" focussize="0,0"/>
                <v:stroke color="#000000" joinstyle="miter"/>
                <v:imagedata o:title=""/>
                <o:lock v:ext="edit" aspectratio="f"/>
                <v:textbox>
                  <w:txbxContent>
                    <w:p w14:paraId="37CEC82B">
                      <w:r>
                        <w:rPr>
                          <w:rFonts w:hint="eastAsia"/>
                        </w:rPr>
                        <w:t>土壤细平，碾压夯实，</w:t>
                      </w:r>
                    </w:p>
                    <w:p w14:paraId="2F3D2943">
                      <w:r>
                        <w:rPr>
                          <w:rFonts w:hint="eastAsia"/>
                        </w:rPr>
                        <w:t>管线预埋（若有）</w:t>
                      </w:r>
                    </w:p>
                    <w:p w14:paraId="34E66BB9"/>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9744" behindDoc="0" locked="0" layoutInCell="1" allowOverlap="1">
                <wp:simplePos x="0" y="0"/>
                <wp:positionH relativeFrom="column">
                  <wp:posOffset>5257800</wp:posOffset>
                </wp:positionH>
                <wp:positionV relativeFrom="paragraph">
                  <wp:posOffset>891540</wp:posOffset>
                </wp:positionV>
                <wp:extent cx="457200" cy="69342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457200" cy="693420"/>
                        </a:xfrm>
                        <a:prstGeom prst="rect">
                          <a:avLst/>
                        </a:prstGeom>
                        <a:noFill/>
                        <a:ln w="9525">
                          <a:noFill/>
                        </a:ln>
                        <a:effectLst/>
                      </wps:spPr>
                      <wps:txbx>
                        <w:txbxContent>
                          <w:p w14:paraId="494FE291">
                            <w:pPr>
                              <w:pStyle w:val="17"/>
                            </w:pPr>
                            <w:r>
                              <w:rPr>
                                <w:rFonts w:hint="eastAsia"/>
                                <w:sz w:val="18"/>
                                <w:szCs w:val="18"/>
                              </w:rPr>
                              <w:t>验收通过</w:t>
                            </w:r>
                          </w:p>
                        </w:txbxContent>
                      </wps:txbx>
                      <wps:bodyPr vert="eaVert" upright="1"/>
                    </wps:wsp>
                  </a:graphicData>
                </a:graphic>
              </wp:anchor>
            </w:drawing>
          </mc:Choice>
          <mc:Fallback>
            <w:pict>
              <v:shape id="_x0000_s1026" o:spid="_x0000_s1026" o:spt="202" type="#_x0000_t202" style="position:absolute;left:0pt;margin-left:414pt;margin-top:70.2pt;height:54.6pt;width:36pt;z-index:251679744;mso-width-relative:page;mso-height-relative:page;" filled="f" stroked="f" coordsize="21600,21600" o:gfxdata="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5glXudsAAAALAQAADwAAAAAAAAABACAAAAAiAAAAZHJzL2Rv&#10;d25yZXYueG1sUEsBAhQAFAAAAAgAh07iQM5nzzfFAQAAdgMAAA4AAAAAAAAAAQAgAAAAKgEAAGRy&#10;cy9lMm9Eb2MueG1sUEsFBgAAAAAGAAYAWQEAAGEFAAAAAA==&#10;">
                <v:fill on="f" focussize="0,0"/>
                <v:stroke on="f"/>
                <v:imagedata o:title=""/>
                <o:lock v:ext="edit" aspectratio="f"/>
                <v:textbox style="layout-flow:vertical-ideographic;">
                  <w:txbxContent>
                    <w:p w14:paraId="494FE291">
                      <w:pPr>
                        <w:pStyle w:val="17"/>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3600" behindDoc="0" locked="0" layoutInCell="1" allowOverlap="1">
                <wp:simplePos x="0" y="0"/>
                <wp:positionH relativeFrom="column">
                  <wp:posOffset>5372100</wp:posOffset>
                </wp:positionH>
                <wp:positionV relativeFrom="paragraph">
                  <wp:posOffset>792480</wp:posOffset>
                </wp:positionV>
                <wp:extent cx="635" cy="792480"/>
                <wp:effectExtent l="37465" t="0" r="38100" b="0"/>
                <wp:wrapNone/>
                <wp:docPr id="133" name="直接连接符 133"/>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23pt;margin-top:62.4pt;height:62.4pt;width:0.05pt;z-index:251673600;mso-width-relative:page;mso-height-relative:page;" filled="f" stroked="t" coordsize="21600,21600" o:gfxdata="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OCktvaAAAACwEAAA8AAAAAAAAAAQAgAAAAIgAA&#10;AGRycy9kb3ducmV2LnhtbFBLAQIUABQAAAAIAIdO4kCQok4QBgIAAPsDAAAOAAAAAAAAAAEAIAAA&#10;ACkBAABkcnMvZTJvRG9jLnhtbFBLBQYAAAAABgAGAFkBAACh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1552" behindDoc="0" locked="0" layoutInCell="1" allowOverlap="1">
                <wp:simplePos x="0" y="0"/>
                <wp:positionH relativeFrom="column">
                  <wp:posOffset>1600200</wp:posOffset>
                </wp:positionH>
                <wp:positionV relativeFrom="paragraph">
                  <wp:posOffset>99060</wp:posOffset>
                </wp:positionV>
                <wp:extent cx="800100" cy="4953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w="9525">
                          <a:noFill/>
                        </a:ln>
                        <a:effectLst/>
                      </wps:spPr>
                      <wps:txbx>
                        <w:txbxContent>
                          <w:p w14:paraId="47694141">
                            <w:pPr>
                              <w:pStyle w:val="17"/>
                              <w:rPr>
                                <w:sz w:val="18"/>
                                <w:szCs w:val="18"/>
                              </w:rPr>
                            </w:pPr>
                            <w:r>
                              <w:rPr>
                                <w:rFonts w:hint="eastAsia"/>
                                <w:sz w:val="18"/>
                                <w:szCs w:val="18"/>
                              </w:rPr>
                              <w:t>清理建渣堆积物等</w:t>
                            </w:r>
                          </w:p>
                        </w:txbxContent>
                      </wps:txbx>
                      <wps:bodyPr upright="1"/>
                    </wps:wsp>
                  </a:graphicData>
                </a:graphic>
              </wp:anchor>
            </w:drawing>
          </mc:Choice>
          <mc:Fallback>
            <w:pict>
              <v:shape id="_x0000_s1026" o:spid="_x0000_s1026" o:spt="202" type="#_x0000_t202" style="position:absolute;left:0pt;margin-left:126pt;margin-top:7.8pt;height:39pt;width:63pt;z-index:251671552;mso-width-relative:page;mso-height-relative:page;" filled="f" stroked="f" coordsize="21600,21600" o:gfxdata="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23wLNcAAAAJAQAADwAAAAAAAAABACAAAAAiAAAAZHJzL2Rvd25yZXYueG1sUEsBAhQA&#10;FAAAAAgAh07iQNp/XZu6AQAAaAMAAA4AAAAAAAAAAQAgAAAAJgEAAGRycy9lMm9Eb2MueG1sUEsF&#10;BgAAAAAGAAYAWQEAAFIFAAAAAA==&#10;">
                <v:fill on="f" focussize="0,0"/>
                <v:stroke on="f"/>
                <v:imagedata o:title=""/>
                <o:lock v:ext="edit" aspectratio="f"/>
                <v:textbox>
                  <w:txbxContent>
                    <w:p w14:paraId="47694141">
                      <w:pPr>
                        <w:pStyle w:val="17"/>
                        <w:rPr>
                          <w:sz w:val="18"/>
                          <w:szCs w:val="18"/>
                        </w:rPr>
                      </w:pPr>
                      <w:r>
                        <w:rPr>
                          <w:rFonts w:hint="eastAsia"/>
                          <w:sz w:val="18"/>
                          <w:szCs w:val="18"/>
                        </w:rPr>
                        <w:t>清理建渣堆积物等</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99060</wp:posOffset>
                </wp:positionV>
                <wp:extent cx="1028700" cy="594360"/>
                <wp:effectExtent l="4445" t="4445" r="18415" b="10795"/>
                <wp:wrapNone/>
                <wp:docPr id="135" name="文本框 135"/>
                <wp:cNvGraphicFramePr/>
                <a:graphic xmlns:a="http://schemas.openxmlformats.org/drawingml/2006/main">
                  <a:graphicData uri="http://schemas.microsoft.com/office/word/2010/wordprocessingShape">
                    <wps:wsp>
                      <wps:cNvSpPr txBox="1"/>
                      <wps:spPr>
                        <a:xfrm>
                          <a:off x="0" y="0"/>
                          <a:ext cx="1028700" cy="594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F6CED5">
                            <w:r>
                              <w:rPr>
                                <w:rFonts w:hint="eastAsia"/>
                              </w:rPr>
                              <w:t>场地沉降、粗整形</w:t>
                            </w:r>
                          </w:p>
                          <w:p w14:paraId="49C1D48D"/>
                        </w:txbxContent>
                      </wps:txbx>
                      <wps:bodyPr upright="1"/>
                    </wps:wsp>
                  </a:graphicData>
                </a:graphic>
              </wp:anchor>
            </w:drawing>
          </mc:Choice>
          <mc:Fallback>
            <w:pict>
              <v:shape id="_x0000_s1026" o:spid="_x0000_s1026" o:spt="202" type="#_x0000_t202" style="position:absolute;left:0pt;margin-left:198pt;margin-top:7.8pt;height:46.8pt;width:81pt;z-index:251662336;mso-width-relative:page;mso-height-relative:page;" fillcolor="#FFFFFF" filled="t" stroked="t" coordsize="21600,21600" o:gfxdata="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RtEL9kAAAAKAQAADwAA&#10;AAAAAAABACAAAAAiAAAAZHJzL2Rvd25yZXYueG1sUEsBAhQAFAAAAAgAh07iQKFF8s8VAgAASAQA&#10;AA4AAAAAAAAAAQAgAAAAKAEAAGRycy9lMm9Eb2MueG1sUEsFBgAAAAAGAAYAWQEAAK8FAAAAAA==&#10;">
                <v:fill on="t" focussize="0,0"/>
                <v:stroke color="#000000" joinstyle="miter"/>
                <v:imagedata o:title=""/>
                <o:lock v:ext="edit" aspectratio="f"/>
                <v:textbox>
                  <w:txbxContent>
                    <w:p w14:paraId="30F6CED5">
                      <w:r>
                        <w:rPr>
                          <w:rFonts w:hint="eastAsia"/>
                        </w:rPr>
                        <w:t>场地沉降、粗整形</w:t>
                      </w:r>
                    </w:p>
                    <w:p w14:paraId="49C1D48D"/>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3771900</wp:posOffset>
                </wp:positionH>
                <wp:positionV relativeFrom="paragraph">
                  <wp:posOffset>0</wp:posOffset>
                </wp:positionV>
                <wp:extent cx="685800" cy="39624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w="9525">
                          <a:noFill/>
                        </a:ln>
                        <a:effectLst/>
                      </wps:spPr>
                      <wps:txbx>
                        <w:txbxContent>
                          <w:p w14:paraId="0F544CF8">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297pt;margin-top:0pt;height:31.2pt;width:54pt;z-index:251683840;mso-width-relative:page;mso-height-relative:page;" filled="f" stroked="f" coordsize="21600,21600" o:gfxdata="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M6dG9UAAAAHAQAADwAAAAAAAAABACAAAAAiAAAAZHJzL2Rvd25yZXYueG1sUEsBAhQA&#10;FAAAAAgAh07iQJeZQq28AQAAaAMAAA4AAAAAAAAAAQAgAAAAJAEAAGRycy9lMm9Eb2MueG1sUEsF&#10;BgAAAAAGAAYAWQEAAFIFAAAAAA==&#10;">
                <v:fill on="f" focussize="0,0"/>
                <v:stroke on="f"/>
                <v:imagedata o:title=""/>
                <o:lock v:ext="edit" aspectratio="f"/>
                <v:textbox>
                  <w:txbxContent>
                    <w:p w14:paraId="0F544CF8">
                      <w:pPr>
                        <w:pStyle w:val="17"/>
                        <w:rPr>
                          <w:sz w:val="18"/>
                          <w:szCs w:val="18"/>
                        </w:rPr>
                      </w:pPr>
                      <w:r>
                        <w:rPr>
                          <w:rFonts w:hint="eastAsia"/>
                          <w:sz w:val="18"/>
                          <w:szCs w:val="18"/>
                        </w:rPr>
                        <w:t>验收通过</w:t>
                      </w:r>
                    </w:p>
                  </w:txbxContent>
                </v:textbox>
              </v:shape>
            </w:pict>
          </mc:Fallback>
        </mc:AlternateContent>
      </w:r>
    </w:p>
    <w:p w14:paraId="22213EC3">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70528" behindDoc="0" locked="0" layoutInCell="1" allowOverlap="1">
                <wp:simplePos x="0" y="0"/>
                <wp:positionH relativeFrom="column">
                  <wp:posOffset>1600200</wp:posOffset>
                </wp:positionH>
                <wp:positionV relativeFrom="paragraph">
                  <wp:posOffset>99060</wp:posOffset>
                </wp:positionV>
                <wp:extent cx="800100" cy="0"/>
                <wp:effectExtent l="0" t="38100" r="7620" b="38100"/>
                <wp:wrapNone/>
                <wp:docPr id="137" name="直接连接符 137"/>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26pt;margin-top:7.8pt;height:0pt;width:63pt;z-index:251670528;mso-width-relative:page;mso-height-relative:page;" filled="f" stroked="t" coordsize="21600,21600" o:gfxdata="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vvHtgAAAAJAQAADwAAAAAAAAABACAAAAAiAAAAZHJzL2Rv&#10;d25yZXYueG1sUEsBAhQAFAAAAAgAh07iQLPdaNg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0</wp:posOffset>
                </wp:positionV>
                <wp:extent cx="1028700" cy="297180"/>
                <wp:effectExtent l="4445" t="4445" r="18415" b="18415"/>
                <wp:wrapNone/>
                <wp:docPr id="138" name="文本框 13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71CF91">
                            <w:r>
                              <w:rPr>
                                <w:rFonts w:hint="eastAsia"/>
                              </w:rPr>
                              <w:t>总平场地平整</w:t>
                            </w:r>
                          </w:p>
                        </w:txbxContent>
                      </wps:txbx>
                      <wps:bodyPr upright="1"/>
                    </wps:wsp>
                  </a:graphicData>
                </a:graphic>
              </wp:anchor>
            </w:drawing>
          </mc:Choice>
          <mc:Fallback>
            <w:pict>
              <v:shape id="_x0000_s1026" o:spid="_x0000_s1026" o:spt="202" type="#_x0000_t202" style="position:absolute;left:0pt;margin-left:36pt;margin-top:0pt;height:23.4pt;width:81pt;z-index:251661312;mso-width-relative:page;mso-height-relative:page;" fillcolor="#FFFFFF" filled="t" stroked="t" coordsize="21600,21600" o:gfxdata="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zpSM1gAAAAYBAAAPAAAAAAAA&#10;AAEAIAAAACIAAABkcnMvZG93bnJldi54bWxQSwECFAAUAAAACACHTuJA9cxo4hQCAABIBAAADgAA&#10;AAAAAAABACAAAAAlAQAAZHJzL2Uyb0RvYy54bWxQSwUGAAAAAAYABgBZAQAAqwUAAAAA&#10;">
                <v:fill on="t" focussize="0,0"/>
                <v:stroke color="#000000" joinstyle="miter"/>
                <v:imagedata o:title=""/>
                <o:lock v:ext="edit" aspectratio="f"/>
                <v:textbox>
                  <w:txbxContent>
                    <w:p w14:paraId="7871CF91">
                      <w:r>
                        <w:rPr>
                          <w:rFonts w:hint="eastAsia"/>
                        </w:rPr>
                        <w:t>总平场地平整</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2576" behindDoc="0" locked="0" layoutInCell="1" allowOverlap="1">
                <wp:simplePos x="0" y="0"/>
                <wp:positionH relativeFrom="column">
                  <wp:posOffset>3771900</wp:posOffset>
                </wp:positionH>
                <wp:positionV relativeFrom="paragraph">
                  <wp:posOffset>99060</wp:posOffset>
                </wp:positionV>
                <wp:extent cx="539750" cy="0"/>
                <wp:effectExtent l="0" t="38100" r="8890" b="38100"/>
                <wp:wrapNone/>
                <wp:docPr id="139" name="直接连接符 139"/>
                <wp:cNvGraphicFramePr/>
                <a:graphic xmlns:a="http://schemas.openxmlformats.org/drawingml/2006/main">
                  <a:graphicData uri="http://schemas.microsoft.com/office/word/2010/wordprocessingShape">
                    <wps:wsp>
                      <wps:cNvCnPr/>
                      <wps:spPr>
                        <a:xfrm>
                          <a:off x="0" y="0"/>
                          <a:ext cx="539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7pt;margin-top:7.8pt;height:0pt;width:42.5pt;z-index:251672576;mso-width-relative:page;mso-height-relative:page;" filled="f" stroked="t" coordsize="21600,21600" o:gfxdata="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wKyATYAAAACQEAAA8AAAAAAAAAAQAgAAAAIgAAAGRycy9k&#10;b3ducmV2LnhtbFBLAQIUABQAAAAIAIdO4kB8GHIYAgIAAPkDAAAOAAAAAAAAAAEAIAAAACcBAABk&#10;cnMvZTJvRG9jLnhtbFBLBQYAAAAABgAGAFkBAACbBQAAAAA=&#10;">
                <v:fill on="f" focussize="0,0"/>
                <v:stroke color="#000000" joinstyle="round" endarrow="block"/>
                <v:imagedata o:title=""/>
                <o:lock v:ext="edit" aspectratio="f"/>
              </v:line>
            </w:pict>
          </mc:Fallback>
        </mc:AlternateConten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br w:type="textWrapping"/>
      </w:r>
    </w:p>
    <w:p w14:paraId="469CFBD6">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371600" cy="1287780"/>
                <wp:effectExtent l="4445" t="4445" r="10795" b="18415"/>
                <wp:wrapNone/>
                <wp:docPr id="140" name="文本框 140"/>
                <wp:cNvGraphicFramePr/>
                <a:graphic xmlns:a="http://schemas.openxmlformats.org/drawingml/2006/main">
                  <a:graphicData uri="http://schemas.microsoft.com/office/word/2010/wordprocessingShape">
                    <wps:wsp>
                      <wps:cNvSpPr txBox="1"/>
                      <wps:spPr>
                        <a:xfrm>
                          <a:off x="0" y="0"/>
                          <a:ext cx="1371600" cy="1287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F4A60F">
                            <w:r>
                              <w:rPr>
                                <w:rFonts w:hint="eastAsia"/>
                              </w:rPr>
                              <w:t>结构施工：</w:t>
                            </w:r>
                          </w:p>
                          <w:p w14:paraId="5F67B778">
                            <w:r>
                              <w:rPr>
                                <w:rFonts w:hint="eastAsia"/>
                              </w:rPr>
                              <w:t>1、道路垫层施工；</w:t>
                            </w:r>
                          </w:p>
                          <w:p w14:paraId="0C74D996">
                            <w:r>
                              <w:rPr>
                                <w:rFonts w:hint="eastAsia"/>
                              </w:rPr>
                              <w:t>2、各类墙体的砌筑；</w:t>
                            </w:r>
                          </w:p>
                          <w:p w14:paraId="36FAB9EB">
                            <w:r>
                              <w:rPr>
                                <w:rFonts w:hint="eastAsia"/>
                              </w:rPr>
                              <w:t>3、建筑、泳池等硬质的结构施工，砼浇筑等；</w:t>
                            </w:r>
                          </w:p>
                        </w:txbxContent>
                      </wps:txbx>
                      <wps:bodyPr upright="1"/>
                    </wps:wsp>
                  </a:graphicData>
                </a:graphic>
              </wp:anchor>
            </w:drawing>
          </mc:Choice>
          <mc:Fallback>
            <w:pict>
              <v:shape id="_x0000_s1026" o:spid="_x0000_s1026" o:spt="202" type="#_x0000_t202" style="position:absolute;left:0pt;margin-left:9pt;margin-top:0pt;height:101.4pt;width:108pt;z-index:251667456;mso-width-relative:page;mso-height-relative:page;" fillcolor="#FFFFFF" filled="t" stroked="t" coordsize="21600,21600" o:gfxdata="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vTrB1QAAAAcBAAAPAAAAAAAA&#10;AAEAIAAAACIAAABkcnMvZG93bnJldi54bWxQSwECFAAUAAAACACHTuJAkGXBYxUCAABJBAAADgAA&#10;AAAAAAABACAAAAAkAQAAZHJzL2Uyb0RvYy54bWxQSwUGAAAAAAYABgBZAQAAqwUAAAAA&#10;">
                <v:fill on="t" focussize="0,0"/>
                <v:stroke color="#000000" joinstyle="miter"/>
                <v:imagedata o:title=""/>
                <o:lock v:ext="edit" aspectratio="f"/>
                <v:textbox>
                  <w:txbxContent>
                    <w:p w14:paraId="07F4A60F">
                      <w:r>
                        <w:rPr>
                          <w:rFonts w:hint="eastAsia"/>
                        </w:rPr>
                        <w:t>结构施工：</w:t>
                      </w:r>
                    </w:p>
                    <w:p w14:paraId="5F67B778">
                      <w:r>
                        <w:rPr>
                          <w:rFonts w:hint="eastAsia"/>
                        </w:rPr>
                        <w:t>1、道路垫层施工；</w:t>
                      </w:r>
                    </w:p>
                    <w:p w14:paraId="0C74D996">
                      <w:r>
                        <w:rPr>
                          <w:rFonts w:hint="eastAsia"/>
                        </w:rPr>
                        <w:t>2、各类墙体的砌筑；</w:t>
                      </w:r>
                    </w:p>
                    <w:p w14:paraId="36FAB9EB">
                      <w:r>
                        <w:rPr>
                          <w:rFonts w:hint="eastAsia"/>
                        </w:rPr>
                        <w:t>3、建筑、泳池等硬质的结构施工，砼浇筑等；</w:t>
                      </w:r>
                    </w:p>
                  </w:txbxContent>
                </v:textbox>
              </v:shape>
            </w:pict>
          </mc:Fallback>
        </mc:AlternateContent>
      </w:r>
    </w:p>
    <w:p w14:paraId="324EDC8C">
      <w:pPr>
        <w:tabs>
          <w:tab w:val="left" w:pos="0"/>
        </w:tabs>
        <w:ind w:left="17" w:hanging="16" w:hangingChars="7"/>
        <w:jc w:val="left"/>
        <w:rPr>
          <w:rFonts w:ascii="宋体" w:hAnsi="宋体" w:eastAsia="宋体" w:cs="宋体"/>
          <w:color w:val="auto"/>
          <w:sz w:val="24"/>
          <w:highlight w:val="none"/>
        </w:rPr>
      </w:pPr>
    </w:p>
    <w:p w14:paraId="600CB979">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0</wp:posOffset>
                </wp:positionV>
                <wp:extent cx="1143000" cy="29718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143000" cy="297180"/>
                        </a:xfrm>
                        <a:prstGeom prst="rect">
                          <a:avLst/>
                        </a:prstGeom>
                        <a:noFill/>
                        <a:ln w="9525">
                          <a:noFill/>
                        </a:ln>
                        <a:effectLst/>
                      </wps:spPr>
                      <wps:txbx>
                        <w:txbxContent>
                          <w:p w14:paraId="296CB026">
                            <w:pPr>
                              <w:pStyle w:val="17"/>
                              <w:rPr>
                                <w:sz w:val="18"/>
                                <w:szCs w:val="18"/>
                              </w:rPr>
                            </w:pPr>
                            <w:r>
                              <w:rPr>
                                <w:rFonts w:hint="eastAsia"/>
                                <w:sz w:val="18"/>
                                <w:szCs w:val="18"/>
                              </w:rPr>
                              <w:t>验收通过或调整</w:t>
                            </w:r>
                          </w:p>
                        </w:txbxContent>
                      </wps:txbx>
                      <wps:bodyPr upright="1"/>
                    </wps:wsp>
                  </a:graphicData>
                </a:graphic>
              </wp:anchor>
            </w:drawing>
          </mc:Choice>
          <mc:Fallback>
            <w:pict>
              <v:shape id="_x0000_s1026" o:spid="_x0000_s1026" o:spt="202" type="#_x0000_t202" style="position:absolute;left:0pt;margin-left:117pt;margin-top:0pt;height:23.4pt;width:90pt;z-index:251684864;mso-width-relative:page;mso-height-relative:page;" filled="f" stroked="f" coordsize="21600,21600" o:gfxdata="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pgdx1AAAAAcBAAAPAAAAAAAAAAEAIAAAACIAAABkcnMvZG93bnJldi54bWxQSwECFAAU&#10;AAAACACHTuJA4lXTTbwBAABpAwAADgAAAAAAAAABACAAAAAjAQAAZHJzL2Uyb0RvYy54bWxQSwUG&#10;AAAAAAYABgBZAQAAUQUAAAAA&#10;">
                <v:fill on="f" focussize="0,0"/>
                <v:stroke on="f"/>
                <v:imagedata o:title=""/>
                <o:lock v:ext="edit" aspectratio="f"/>
                <v:textbox>
                  <w:txbxContent>
                    <w:p w14:paraId="296CB026">
                      <w:pPr>
                        <w:pStyle w:val="17"/>
                        <w:rPr>
                          <w:sz w:val="18"/>
                          <w:szCs w:val="18"/>
                        </w:rPr>
                      </w:pPr>
                      <w:r>
                        <w:rPr>
                          <w:rFonts w:hint="eastAsia"/>
                          <w:sz w:val="18"/>
                          <w:szCs w:val="18"/>
                        </w:rPr>
                        <w:t>验收通过或调整</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4000500</wp:posOffset>
                </wp:positionH>
                <wp:positionV relativeFrom="paragraph">
                  <wp:posOffset>99060</wp:posOffset>
                </wp:positionV>
                <wp:extent cx="914400" cy="59436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w="9525">
                          <a:noFill/>
                        </a:ln>
                        <a:effectLst/>
                      </wps:spPr>
                      <wps:txbx>
                        <w:txbxContent>
                          <w:p w14:paraId="012885FA">
                            <w:pPr>
                              <w:rPr>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315pt;margin-top:7.8pt;height:46.8pt;width:72pt;z-index:251685888;mso-width-relative:page;mso-height-relative:page;" filled="f" stroked="f" coordsize="21600,21600" o:gfxdata="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yKYN1wAAAAoBAAAPAAAAAAAAAAEAIAAAACIAAABkcnMvZG93bnJldi54bWxQSwEC&#10;FAAUAAAACACHTuJAKKazO7wBAABoAwAADgAAAAAAAAABACAAAAAmAQAAZHJzL2Uyb0RvYy54bWxQ&#10;SwUGAAAAAAYABgBZAQAAVAUAAAAA&#10;">
                <v:fill on="f" focussize="0,0"/>
                <v:stroke on="f"/>
                <v:imagedata o:title=""/>
                <o:lock v:ext="edit" aspectratio="f"/>
                <v:textbox>
                  <w:txbxContent>
                    <w:p w14:paraId="012885FA">
                      <w:pPr>
                        <w:rPr>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2514600</wp:posOffset>
                </wp:positionH>
                <wp:positionV relativeFrom="paragraph">
                  <wp:posOffset>0</wp:posOffset>
                </wp:positionV>
                <wp:extent cx="1485900" cy="792480"/>
                <wp:effectExtent l="4445" t="4445" r="18415" b="10795"/>
                <wp:wrapNone/>
                <wp:docPr id="143" name="文本框 143"/>
                <wp:cNvGraphicFramePr/>
                <a:graphic xmlns:a="http://schemas.openxmlformats.org/drawingml/2006/main">
                  <a:graphicData uri="http://schemas.microsoft.com/office/word/2010/wordprocessingShape">
                    <wps:wsp>
                      <wps:cNvSpPr txBox="1"/>
                      <wps:spPr>
                        <a:xfrm>
                          <a:off x="0" y="0"/>
                          <a:ext cx="1485900" cy="792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0BA9DF">
                            <w:r>
                              <w:rPr>
                                <w:rFonts w:hint="eastAsia"/>
                              </w:rPr>
                              <w:t>硬质钢筋绑扎及模板施工（泳池、建筑等）、管线预埋（若有）</w:t>
                            </w:r>
                          </w:p>
                        </w:txbxContent>
                      </wps:txbx>
                      <wps:bodyPr upright="1"/>
                    </wps:wsp>
                  </a:graphicData>
                </a:graphic>
              </wp:anchor>
            </w:drawing>
          </mc:Choice>
          <mc:Fallback>
            <w:pict>
              <v:shape id="_x0000_s1026" o:spid="_x0000_s1026" o:spt="202" type="#_x0000_t202" style="position:absolute;left:0pt;margin-left:198pt;margin-top:0pt;height:62.4pt;width:117pt;z-index:251666432;mso-width-relative:page;mso-height-relative:page;" fillcolor="#FFFFFF" filled="t" stroked="t" coordsize="21600,21600" o:gfxdata="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9pyg2AAAAAgBAAAPAAAA&#10;AAAAAAEAIAAAACIAAABkcnMvZG93bnJldi54bWxQSwECFAAUAAAACACHTuJAj7yt+hUCAABIBAAA&#10;DgAAAAAAAAABACAAAAAnAQAAZHJzL2Uyb0RvYy54bWxQSwUGAAAAAAYABgBZAQAArgUAAAAA&#10;">
                <v:fill on="t" focussize="0,0"/>
                <v:stroke color="#000000" joinstyle="miter"/>
                <v:imagedata o:title=""/>
                <o:lock v:ext="edit" aspectratio="f"/>
                <v:textbox>
                  <w:txbxContent>
                    <w:p w14:paraId="140BA9DF">
                      <w:r>
                        <w:rPr>
                          <w:rFonts w:hint="eastAsia"/>
                        </w:rPr>
                        <w:t>硬质钢筋绑扎及模板施工（泳池、建筑等）、管线预埋（若有）</w:t>
                      </w:r>
                    </w:p>
                  </w:txbxContent>
                </v:textbox>
              </v:shape>
            </w:pict>
          </mc:Fallback>
        </mc:AlternateContent>
      </w:r>
    </w:p>
    <w:p w14:paraId="41546691">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4800600</wp:posOffset>
                </wp:positionH>
                <wp:positionV relativeFrom="paragraph">
                  <wp:posOffset>0</wp:posOffset>
                </wp:positionV>
                <wp:extent cx="762635" cy="600075"/>
                <wp:effectExtent l="4445" t="4445" r="10160" b="5080"/>
                <wp:wrapNone/>
                <wp:docPr id="144" name="文本框 144"/>
                <wp:cNvGraphicFramePr/>
                <a:graphic xmlns:a="http://schemas.openxmlformats.org/drawingml/2006/main">
                  <a:graphicData uri="http://schemas.microsoft.com/office/word/2010/wordprocessingShape">
                    <wps:wsp>
                      <wps:cNvSpPr txBox="1"/>
                      <wps:spPr>
                        <a:xfrm>
                          <a:off x="0" y="0"/>
                          <a:ext cx="762635" cy="600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EAA23D">
                            <w:r>
                              <w:rPr>
                                <w:rFonts w:hint="eastAsia"/>
                              </w:rPr>
                              <w:t>硬质定点放线</w:t>
                            </w:r>
                          </w:p>
                          <w:p w14:paraId="6B2BF199"/>
                        </w:txbxContent>
                      </wps:txbx>
                      <wps:bodyPr upright="1"/>
                    </wps:wsp>
                  </a:graphicData>
                </a:graphic>
              </wp:anchor>
            </w:drawing>
          </mc:Choice>
          <mc:Fallback>
            <w:pict>
              <v:shape id="_x0000_s1026" o:spid="_x0000_s1026" o:spt="202" type="#_x0000_t202" style="position:absolute;left:0pt;margin-left:378pt;margin-top:0pt;height:47.25pt;width:60.05pt;z-index:251664384;mso-width-relative:page;mso-height-relative:page;" fillcolor="#FFFFFF" filled="t" stroked="t" coordsize="21600,21600" o:gfxdata="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s/JT2AAAAAcBAAAPAAAAAAAA&#10;AAEAIAAAACIAAABkcnMvZG93bnJldi54bWxQSwECFAAUAAAACACHTuJAHT6P6xICAABHBAAADgAA&#10;AAAAAAABACAAAAAnAQAAZHJzL2Uyb0RvYy54bWxQSwUGAAAAAAYABgBZAQAAqwUAAAAA&#10;">
                <v:fill on="t" focussize="0,0"/>
                <v:stroke color="#000000" joinstyle="miter"/>
                <v:imagedata o:title=""/>
                <o:lock v:ext="edit" aspectratio="f"/>
                <v:textbox>
                  <w:txbxContent>
                    <w:p w14:paraId="2AEAA23D">
                      <w:r>
                        <w:rPr>
                          <w:rFonts w:hint="eastAsia"/>
                        </w:rPr>
                        <w:t>硬质定点放线</w:t>
                      </w:r>
                    </w:p>
                    <w:p w14:paraId="6B2BF199"/>
                  </w:txbxContent>
                </v:textbox>
              </v:shape>
            </w:pict>
          </mc:Fallback>
        </mc:AlternateContent>
      </w:r>
    </w:p>
    <w:p w14:paraId="4E885FE1">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75648" behindDoc="0" locked="0" layoutInCell="1" allowOverlap="1">
                <wp:simplePos x="0" y="0"/>
                <wp:positionH relativeFrom="column">
                  <wp:posOffset>4000500</wp:posOffset>
                </wp:positionH>
                <wp:positionV relativeFrom="paragraph">
                  <wp:posOffset>0</wp:posOffset>
                </wp:positionV>
                <wp:extent cx="800100" cy="0"/>
                <wp:effectExtent l="0" t="38100" r="7620" b="38100"/>
                <wp:wrapNone/>
                <wp:docPr id="145" name="直接连接符 145"/>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15pt;margin-top:0pt;height:0pt;width:63pt;z-index:251675648;mso-width-relative:page;mso-height-relative:page;" filled="f" stroked="t" coordsize="21600,21600" o:gfxdata="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nlAIjVAAAABQEAAA8AAAAAAAAAAQAgAAAAIgAAAGRy&#10;cy9kb3ducmV2LnhtbFBLAQIUABQAAAAIAIdO4kB21N66CAIAAAMEAAAOAAAAAAAAAAEAIAAAACQB&#10;AABkcnMvZTJvRG9jLnhtbFBLBQYAAAAABgAGAFkBAACe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0</wp:posOffset>
                </wp:positionV>
                <wp:extent cx="800100" cy="0"/>
                <wp:effectExtent l="0" t="38100" r="7620" b="38100"/>
                <wp:wrapNone/>
                <wp:docPr id="148" name="直接连接符 148"/>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26pt;margin-top:0pt;height:0pt;width:63pt;z-index:251674624;mso-width-relative:page;mso-height-relative:page;" filled="f" stroked="t" coordsize="21600,21600" o:gfxdata="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&#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Oy+F1gAAAAUBAAAPAAAAAAAAAAEAIAAAACIAAABk&#10;cnMvZG93bnJldi54bWxQSwECFAAUAAAACACHTuJAaVxXlggCAAADBAAADgAAAAAAAAABACAAAAAl&#10;AQAAZHJzL2Uyb0RvYy54bWxQSwUGAAAAAAYABgBZAQAAnwUAAAAA&#10;">
                <v:fill on="f" focussize="0,0"/>
                <v:stroke color="#000000" joinstyle="round" endarrow="block"/>
                <v:imagedata o:title=""/>
                <o:lock v:ext="edit" aspectratio="f"/>
              </v:line>
            </w:pict>
          </mc:Fallback>
        </mc:AlternateContent>
      </w:r>
    </w:p>
    <w:p w14:paraId="790AFD07">
      <w:pPr>
        <w:tabs>
          <w:tab w:val="left" w:pos="0"/>
        </w:tabs>
        <w:ind w:left="17" w:hanging="16" w:hangingChars="7"/>
        <w:jc w:val="left"/>
        <w:rPr>
          <w:rFonts w:ascii="宋体" w:hAnsi="宋体" w:eastAsia="宋体" w:cs="宋体"/>
          <w:color w:val="auto"/>
          <w:sz w:val="24"/>
          <w:highlight w:val="none"/>
        </w:rPr>
      </w:pPr>
    </w:p>
    <w:p w14:paraId="027B1013">
      <w:pPr>
        <w:tabs>
          <w:tab w:val="left" w:pos="0"/>
        </w:tabs>
        <w:ind w:left="17" w:hanging="16" w:hangingChars="7"/>
        <w:jc w:val="left"/>
        <w:rPr>
          <w:rFonts w:ascii="宋体" w:hAnsi="宋体" w:eastAsia="宋体" w:cs="宋体"/>
          <w:color w:val="auto"/>
          <w:sz w:val="24"/>
          <w:highlight w:val="none"/>
        </w:rPr>
      </w:pPr>
    </w:p>
    <w:p w14:paraId="6353C795">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0768" behindDoc="0" locked="0" layoutInCell="1" allowOverlap="1">
                <wp:simplePos x="0" y="0"/>
                <wp:positionH relativeFrom="column">
                  <wp:posOffset>685800</wp:posOffset>
                </wp:positionH>
                <wp:positionV relativeFrom="paragraph">
                  <wp:posOffset>0</wp:posOffset>
                </wp:positionV>
                <wp:extent cx="457200" cy="69342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457200" cy="693420"/>
                        </a:xfrm>
                        <a:prstGeom prst="rect">
                          <a:avLst/>
                        </a:prstGeom>
                        <a:noFill/>
                        <a:ln w="9525">
                          <a:noFill/>
                        </a:ln>
                        <a:effectLst/>
                      </wps:spPr>
                      <wps:txbx>
                        <w:txbxContent>
                          <w:p w14:paraId="28A083F6">
                            <w:pPr>
                              <w:pStyle w:val="17"/>
                            </w:pPr>
                            <w:r>
                              <w:rPr>
                                <w:rFonts w:hint="eastAsia"/>
                              </w:rPr>
                              <w:t>验收通过</w:t>
                            </w:r>
                          </w:p>
                        </w:txbxContent>
                      </wps:txbx>
                      <wps:bodyPr vert="eaVert" upright="1"/>
                    </wps:wsp>
                  </a:graphicData>
                </a:graphic>
              </wp:anchor>
            </w:drawing>
          </mc:Choice>
          <mc:Fallback>
            <w:pict>
              <v:shape id="_x0000_s1026" o:spid="_x0000_s1026" o:spt="202" type="#_x0000_t202" style="position:absolute;left:0pt;margin-left:54pt;margin-top:0pt;height:54.6pt;width:36pt;z-index:251680768;mso-width-relative:page;mso-height-relative:page;" filled="f" stroked="f" coordsize="21600,21600" o:gfxdata="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cxBA3WAAAACAEAAA8AAAAAAAAAAQAgAAAAIgAAAGRycy9kb3ducmV2&#10;LnhtbFBLAQIUABQAAAAIAIdO4kCf4ehhxQEAAHYDAAAOAAAAAAAAAAEAIAAAACUBAABkcnMvZTJv&#10;RG9jLnhtbFBLBQYAAAAABgAGAFkBAABcBQAAAAA=&#10;">
                <v:fill on="f" focussize="0,0"/>
                <v:stroke on="f"/>
                <v:imagedata o:title=""/>
                <o:lock v:ext="edit" aspectratio="f"/>
                <v:textbox style="layout-flow:vertical-ideographic;">
                  <w:txbxContent>
                    <w:p w14:paraId="28A083F6">
                      <w:pPr>
                        <w:pStyle w:val="17"/>
                      </w:pPr>
                      <w:r>
                        <w:rPr>
                          <w:rFonts w:hint="eastAsia"/>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6672" behindDoc="0" locked="0" layoutInCell="1" allowOverlap="1">
                <wp:simplePos x="0" y="0"/>
                <wp:positionH relativeFrom="column">
                  <wp:posOffset>800100</wp:posOffset>
                </wp:positionH>
                <wp:positionV relativeFrom="paragraph">
                  <wp:posOffset>0</wp:posOffset>
                </wp:positionV>
                <wp:extent cx="635" cy="693420"/>
                <wp:effectExtent l="37465" t="0" r="38100" b="7620"/>
                <wp:wrapNone/>
                <wp:docPr id="113" name="直接连接符 113"/>
                <wp:cNvGraphicFramePr/>
                <a:graphic xmlns:a="http://schemas.openxmlformats.org/drawingml/2006/main">
                  <a:graphicData uri="http://schemas.microsoft.com/office/word/2010/wordprocessingShape">
                    <wps:wsp>
                      <wps:cNvCnPr/>
                      <wps:spPr>
                        <a:xfrm>
                          <a:off x="0" y="0"/>
                          <a:ext cx="635" cy="6934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3pt;margin-top:0pt;height:54.6pt;width:0.05pt;z-index:251676672;mso-width-relative:page;mso-height-relative:page;" filled="f" stroked="t" coordsize="21600,21600" o:gfxdata="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1ueJB2AAAAAgBAAAPAAAAAAAAAAEAIAAAACIAAABk&#10;cnMvZG93bnJldi54bWxQSwECFAAUAAAACACHTuJAIb0GaQYCAAD7AwAADgAAAAAAAAABACAAAAAn&#10;AQAAZHJzL2Uyb0RvYy54bWxQSwUGAAAAAAYABgBZAQAAnwUAAAAA&#10;">
                <v:fill on="f" focussize="0,0"/>
                <v:stroke color="#000000" joinstyle="round" endarrow="block"/>
                <v:imagedata o:title=""/>
                <o:lock v:ext="edit" aspectratio="f"/>
              </v:line>
            </w:pict>
          </mc:Fallback>
        </mc:AlternateContent>
      </w:r>
    </w:p>
    <w:p w14:paraId="7EAA606F">
      <w:pPr>
        <w:tabs>
          <w:tab w:val="left" w:pos="0"/>
        </w:tabs>
        <w:ind w:left="17" w:hanging="16" w:hangingChars="7"/>
        <w:jc w:val="left"/>
        <w:rPr>
          <w:rFonts w:ascii="宋体" w:hAnsi="宋体" w:eastAsia="宋体" w:cs="宋体"/>
          <w:color w:val="auto"/>
          <w:sz w:val="24"/>
          <w:highlight w:val="none"/>
        </w:rPr>
      </w:pPr>
    </w:p>
    <w:p w14:paraId="429CD428">
      <w:pPr>
        <w:tabs>
          <w:tab w:val="left" w:pos="0"/>
        </w:tabs>
        <w:ind w:left="17" w:hanging="16" w:hangingChars="7"/>
        <w:jc w:val="left"/>
        <w:rPr>
          <w:rFonts w:ascii="宋体" w:hAnsi="宋体" w:eastAsia="宋体" w:cs="宋体"/>
          <w:color w:val="auto"/>
          <w:sz w:val="24"/>
          <w:highlight w:val="none"/>
        </w:rPr>
      </w:pPr>
    </w:p>
    <w:p w14:paraId="22134823">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4457700</wp:posOffset>
                </wp:positionH>
                <wp:positionV relativeFrom="paragraph">
                  <wp:posOffset>99060</wp:posOffset>
                </wp:positionV>
                <wp:extent cx="914400" cy="693420"/>
                <wp:effectExtent l="4445" t="4445" r="10795" b="18415"/>
                <wp:wrapNone/>
                <wp:docPr id="114" name="文本框 114"/>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4F1829">
                            <w:r>
                              <w:rPr>
                                <w:rFonts w:hint="eastAsia"/>
                              </w:rPr>
                              <w:t>面层施工（铺贴、喷漆等）</w:t>
                            </w:r>
                          </w:p>
                        </w:txbxContent>
                      </wps:txbx>
                      <wps:bodyPr upright="1"/>
                    </wps:wsp>
                  </a:graphicData>
                </a:graphic>
              </wp:anchor>
            </w:drawing>
          </mc:Choice>
          <mc:Fallback>
            <w:pict>
              <v:shape id="_x0000_s1026" o:spid="_x0000_s1026" o:spt="202" type="#_x0000_t202" style="position:absolute;left:0pt;margin-left:351pt;margin-top:7.8pt;height:54.6pt;width:72pt;z-index:251669504;mso-width-relative:page;mso-height-relative:page;" fillcolor="#FFFFFF" filled="t" stroked="t" coordsize="21600,21600" o:gfxdata="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XudB9gAAAAKAQAADwAAAAAA&#10;AAABACAAAAAiAAAAZHJzL2Rvd25yZXYueG1sUEsBAhQAFAAAAAgAh07iQIJOQ7MTAgAARwQAAA4A&#10;AAAAAAAAAQAgAAAAJwEAAGRycy9lMm9Eb2MueG1sUEsFBgAAAAAGAAYAWQEAAKwFAAAAAA==&#10;">
                <v:fill on="t" focussize="0,0"/>
                <v:stroke color="#000000" joinstyle="miter"/>
                <v:imagedata o:title=""/>
                <o:lock v:ext="edit" aspectratio="f"/>
                <v:textbox>
                  <w:txbxContent>
                    <w:p w14:paraId="784F1829">
                      <w:r>
                        <w:rPr>
                          <w:rFonts w:hint="eastAsia"/>
                        </w:rPr>
                        <w:t>面层施工（铺贴、喷漆等）</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0</wp:posOffset>
                </wp:positionV>
                <wp:extent cx="1485900" cy="1089660"/>
                <wp:effectExtent l="5080" t="4445" r="17780" b="18415"/>
                <wp:wrapNone/>
                <wp:docPr id="117" name="文本框 117"/>
                <wp:cNvGraphicFramePr/>
                <a:graphic xmlns:a="http://schemas.openxmlformats.org/drawingml/2006/main">
                  <a:graphicData uri="http://schemas.microsoft.com/office/word/2010/wordprocessingShape">
                    <wps:wsp>
                      <wps:cNvSpPr txBox="1"/>
                      <wps:spPr>
                        <a:xfrm>
                          <a:off x="0" y="0"/>
                          <a:ext cx="14859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282A58">
                            <w:r>
                              <w:rPr>
                                <w:rFonts w:hint="eastAsia"/>
                              </w:rPr>
                              <w:t>作出施工成品样板，要求：铺贴类样板面积不小于5平米，围墙类要求做一个标准单元，必须包含至少一个柱子</w:t>
                            </w:r>
                          </w:p>
                        </w:txbxContent>
                      </wps:txbx>
                      <wps:bodyPr upright="1"/>
                    </wps:wsp>
                  </a:graphicData>
                </a:graphic>
              </wp:anchor>
            </w:drawing>
          </mc:Choice>
          <mc:Fallback>
            <w:pict>
              <v:shape id="_x0000_s1026" o:spid="_x0000_s1026" o:spt="202" type="#_x0000_t202" style="position:absolute;left:0pt;margin-left:153pt;margin-top:0pt;height:85.8pt;width:117pt;z-index:251665408;mso-width-relative:page;mso-height-relative:page;" fillcolor="#FFFFFF" filled="t" stroked="t" coordsize="21600,21600" o:gfxdata="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ReMovXAAAACAEAAA8AAAAA&#10;AAAAAQAgAAAAIgAAAGRycy9kb3ducmV2LnhtbFBLAQIUABQAAAAIAIdO4kAfxN6XFQIAAEkEAAAO&#10;AAAAAAAAAAEAIAAAACYBAABkcnMvZTJvRG9jLnhtbFBLBQYAAAAABgAGAFkBAACtBQAAAAA=&#10;">
                <v:fill on="t" focussize="0,0"/>
                <v:stroke color="#000000" joinstyle="miter"/>
                <v:imagedata o:title=""/>
                <o:lock v:ext="edit" aspectratio="f"/>
                <v:textbox>
                  <w:txbxContent>
                    <w:p w14:paraId="11282A58">
                      <w:r>
                        <w:rPr>
                          <w:rFonts w:hint="eastAsia"/>
                        </w:rPr>
                        <w:t>作出施工成品样板，要求：铺贴类样板面积不小于5平米，围墙类要求做一个标准单元，必须包含至少一个柱子</w:t>
                      </w:r>
                    </w:p>
                  </w:txbxContent>
                </v:textbox>
              </v:shape>
            </w:pict>
          </mc:Fallback>
        </mc:AlternateContent>
      </w:r>
    </w:p>
    <w:p w14:paraId="109707FB">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3657600</wp:posOffset>
                </wp:positionH>
                <wp:positionV relativeFrom="paragraph">
                  <wp:posOffset>0</wp:posOffset>
                </wp:positionV>
                <wp:extent cx="685800" cy="29718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685800" cy="297180"/>
                        </a:xfrm>
                        <a:prstGeom prst="rect">
                          <a:avLst/>
                        </a:prstGeom>
                        <a:noFill/>
                        <a:ln w="9525">
                          <a:noFill/>
                        </a:ln>
                        <a:effectLst/>
                      </wps:spPr>
                      <wps:txbx>
                        <w:txbxContent>
                          <w:p w14:paraId="0230F76C">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288pt;margin-top:0pt;height:23.4pt;width:54pt;z-index:251681792;mso-width-relative:page;mso-height-relative:page;" filled="f" stroked="f" coordsize="21600,21600" o:gfxdata="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pZo+1QAAAAcBAAAPAAAAAAAAAAEAIAAAACIAAABkcnMvZG93bnJldi54bWxQSwECFAAU&#10;AAAACACHTuJA1TmLYLsBAABoAwAADgAAAAAAAAABACAAAAAkAQAAZHJzL2Uyb0RvYy54bWxQSwUG&#10;AAAAAAYABgBZAQAAUQUAAAAA&#10;">
                <v:fill on="f" focussize="0,0"/>
                <v:stroke on="f"/>
                <v:imagedata o:title=""/>
                <o:lock v:ext="edit" aspectratio="f"/>
                <v:textbox>
                  <w:txbxContent>
                    <w:p w14:paraId="0230F76C">
                      <w:pPr>
                        <w:pStyle w:val="17"/>
                        <w:rPr>
                          <w:sz w:val="18"/>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1143000" cy="693420"/>
                <wp:effectExtent l="4445" t="4445" r="10795" b="18415"/>
                <wp:wrapNone/>
                <wp:docPr id="119" name="文本框 119"/>
                <wp:cNvGraphicFramePr/>
                <a:graphic xmlns:a="http://schemas.openxmlformats.org/drawingml/2006/main">
                  <a:graphicData uri="http://schemas.microsoft.com/office/word/2010/wordprocessingShape">
                    <wps:wsp>
                      <wps:cNvSpPr txBox="1"/>
                      <wps:spPr>
                        <a:xfrm>
                          <a:off x="0" y="0"/>
                          <a:ext cx="1143000" cy="693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848A4C">
                            <w:r>
                              <w:rPr>
                                <w:rFonts w:hint="eastAsia"/>
                              </w:rPr>
                              <w:t>结构稳定器（砼凝固期等）</w:t>
                            </w:r>
                          </w:p>
                        </w:txbxContent>
                      </wps:txbx>
                      <wps:bodyPr upright="1"/>
                    </wps:wsp>
                  </a:graphicData>
                </a:graphic>
              </wp:anchor>
            </w:drawing>
          </mc:Choice>
          <mc:Fallback>
            <w:pict>
              <v:shape id="_x0000_s1026" o:spid="_x0000_s1026" o:spt="202" type="#_x0000_t202" style="position:absolute;left:0pt;margin-left:9pt;margin-top:0pt;height:54.6pt;width:90pt;z-index:251668480;mso-width-relative:page;mso-height-relative:page;" fillcolor="#FFFFFF" filled="t" stroked="t" coordsize="21600,21600" o:gfxdata="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dYIHdUAAAAHAQAADwAAAAAA&#10;AAABACAAAAAiAAAAZHJzL2Rvd25yZXYueG1sUEsBAhQAFAAAAAgAh07iQIbNIDIWAgAASAQAAA4A&#10;AAAAAAAAAQAgAAAAJAEAAGRycy9lMm9Eb2MueG1sUEsFBgAAAAAGAAYAWQEAAKwFAAAAAA==&#10;">
                <v:fill on="t" focussize="0,0"/>
                <v:stroke color="#000000" joinstyle="miter"/>
                <v:imagedata o:title=""/>
                <o:lock v:ext="edit" aspectratio="f"/>
                <v:textbox>
                  <w:txbxContent>
                    <w:p w14:paraId="39848A4C">
                      <w:r>
                        <w:rPr>
                          <w:rFonts w:hint="eastAsia"/>
                        </w:rPr>
                        <w:t>结构稳定器（砼凝固期等）</w:t>
                      </w:r>
                    </w:p>
                  </w:txbxContent>
                </v:textbox>
              </v:shape>
            </w:pict>
          </mc:Fallback>
        </mc:AlternateContent>
      </w:r>
    </w:p>
    <w:p w14:paraId="7A7F9B6F">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3543300</wp:posOffset>
                </wp:positionH>
                <wp:positionV relativeFrom="paragraph">
                  <wp:posOffset>99060</wp:posOffset>
                </wp:positionV>
                <wp:extent cx="800100" cy="0"/>
                <wp:effectExtent l="0" t="38100" r="7620" b="38100"/>
                <wp:wrapNone/>
                <wp:docPr id="120" name="直接连接符 12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8pt;height:0pt;width:63pt;z-index:251686912;mso-width-relative:page;mso-height-relative:page;" filled="f" stroked="t" coordsize="21600,21600" o:gfxdata="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ZWvB2AAAAAkBAAAPAAAAAAAAAAEAIAAAACIAAABkcnMvZG93&#10;bnJldi54bWxQSwECFAAUAAAACACHTuJAfxPlhwACAAD5AwAADgAAAAAAAAABACAAAAAnAQAAZHJz&#10;L2Uyb0RvYy54bWxQSwUGAAAAAAYABgBZAQAAmQU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77696" behindDoc="0" locked="0" layoutInCell="1" allowOverlap="1">
                <wp:simplePos x="0" y="0"/>
                <wp:positionH relativeFrom="column">
                  <wp:posOffset>1371600</wp:posOffset>
                </wp:positionH>
                <wp:positionV relativeFrom="paragraph">
                  <wp:posOffset>99060</wp:posOffset>
                </wp:positionV>
                <wp:extent cx="571500" cy="0"/>
                <wp:effectExtent l="0" t="38100" r="7620" b="38100"/>
                <wp:wrapNone/>
                <wp:docPr id="121" name="直接连接符 12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7.8pt;height:0pt;width:45pt;z-index:251677696;mso-width-relative:page;mso-height-relative:page;" filled="f" stroked="t" coordsize="21600,21600" o:gfxdata="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xwYj1wAAAAkBAAAPAAAAAAAAAAEAIAAAACIAAABkcnMvZG93&#10;bnJldi54bWxQSwECFAAUAAAACACHTuJANRer+gECAAD5AwAADgAAAAAAAAABACAAAAAmAQAAZHJz&#10;L2Uyb0RvYy54bWxQSwUGAAAAAAYABgBZAQAAmQUAAAAA&#10;">
                <v:fill on="f" focussize="0,0"/>
                <v:stroke color="#000000" joinstyle="round" endarrow="block"/>
                <v:imagedata o:title=""/>
                <o:lock v:ext="edit" aspectratio="f"/>
              </v:line>
            </w:pict>
          </mc:Fallback>
        </mc:AlternateContent>
      </w:r>
    </w:p>
    <w:p w14:paraId="3AC442BB">
      <w:pPr>
        <w:tabs>
          <w:tab w:val="left" w:pos="0"/>
        </w:tabs>
        <w:ind w:left="17" w:hanging="16" w:hangingChars="7"/>
        <w:jc w:val="left"/>
        <w:rPr>
          <w:rFonts w:ascii="宋体" w:hAnsi="宋体" w:eastAsia="宋体" w:cs="宋体"/>
          <w:color w:val="auto"/>
          <w:sz w:val="24"/>
          <w:highlight w:val="none"/>
        </w:rPr>
      </w:pPr>
    </w:p>
    <w:p w14:paraId="06DBAF12">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78720" behindDoc="0" locked="0" layoutInCell="1" allowOverlap="1">
                <wp:simplePos x="0" y="0"/>
                <wp:positionH relativeFrom="column">
                  <wp:posOffset>4800600</wp:posOffset>
                </wp:positionH>
                <wp:positionV relativeFrom="paragraph">
                  <wp:posOffset>0</wp:posOffset>
                </wp:positionV>
                <wp:extent cx="635" cy="990600"/>
                <wp:effectExtent l="37465" t="0" r="38100" b="0"/>
                <wp:wrapNone/>
                <wp:docPr id="122" name="直接连接符 122"/>
                <wp:cNvGraphicFramePr/>
                <a:graphic xmlns:a="http://schemas.openxmlformats.org/drawingml/2006/main">
                  <a:graphicData uri="http://schemas.microsoft.com/office/word/2010/wordprocessingShape">
                    <wps:wsp>
                      <wps:cNvCnPr/>
                      <wps:spPr>
                        <a:xfrm>
                          <a:off x="0" y="0"/>
                          <a:ext cx="635" cy="990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8pt;margin-top:0pt;height:78pt;width:0.05pt;z-index:251678720;mso-width-relative:page;mso-height-relative:page;" filled="f" stroked="t" coordsize="21600,21600" o:gfxdata="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ZXFDWAAAACAEAAA8AAAAAAAAAAQAgAAAAIgAAAGRycy9k&#10;b3ducmV2LnhtbFBLAQIUABQAAAAIAIdO4kDp4vXhBAIAAPsDAAAOAAAAAAAAAAEAIAAAACUBAABk&#10;cnMvZTJvRG9jLnhtbFBLBQYAAAAABgAGAFkBAACbBQAAAAA=&#10;">
                <v:fill on="f" focussize="0,0"/>
                <v:stroke color="#000000" joinstyle="round" endarrow="block"/>
                <v:imagedata o:title=""/>
                <o:lock v:ext="edit" aspectratio="f"/>
              </v:line>
            </w:pict>
          </mc:Fallback>
        </mc:AlternateContent>
      </w:r>
    </w:p>
    <w:p w14:paraId="7A164B45">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4914900</wp:posOffset>
                </wp:positionH>
                <wp:positionV relativeFrom="paragraph">
                  <wp:posOffset>99060</wp:posOffset>
                </wp:positionV>
                <wp:extent cx="457200" cy="69342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457200" cy="693420"/>
                        </a:xfrm>
                        <a:prstGeom prst="rect">
                          <a:avLst/>
                        </a:prstGeom>
                        <a:noFill/>
                        <a:ln w="9525">
                          <a:noFill/>
                        </a:ln>
                        <a:effectLst/>
                      </wps:spPr>
                      <wps:txbx>
                        <w:txbxContent>
                          <w:p w14:paraId="62C6E0DF">
                            <w:pPr>
                              <w:pStyle w:val="17"/>
                            </w:pPr>
                            <w:r>
                              <w:rPr>
                                <w:rFonts w:hint="eastAsia"/>
                                <w:sz w:val="18"/>
                                <w:szCs w:val="18"/>
                              </w:rPr>
                              <w:t>验收通过</w:t>
                            </w:r>
                          </w:p>
                        </w:txbxContent>
                      </wps:txbx>
                      <wps:bodyPr vert="eaVert" upright="1"/>
                    </wps:wsp>
                  </a:graphicData>
                </a:graphic>
              </wp:anchor>
            </w:drawing>
          </mc:Choice>
          <mc:Fallback>
            <w:pict>
              <v:shape id="_x0000_s1026" o:spid="_x0000_s1026" o:spt="202" type="#_x0000_t202" style="position:absolute;left:0pt;margin-left:387pt;margin-top:7.8pt;height:54.6pt;width:36pt;z-index:251688960;mso-width-relative:page;mso-height-relative:page;" filled="f" stroked="f" coordsize="21600,21600" o:gfxdata="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OZ4Ip2gAAAAoBAAAPAAAAAAAAAAEAIAAAACIAAABkcnMvZG93&#10;bnJldi54bWxQSwECFAAUAAAACACHTuJA/J39VsUBAAB2AwAADgAAAAAAAAABACAAAAApAQAAZHJz&#10;L2Uyb0RvYy54bWxQSwUGAAAAAAYABgBZAQAAYAUAAAAA&#10;">
                <v:fill on="f" focussize="0,0"/>
                <v:stroke on="f"/>
                <v:imagedata o:title=""/>
                <o:lock v:ext="edit" aspectratio="f"/>
                <v:textbox style="layout-flow:vertical-ideographic;">
                  <w:txbxContent>
                    <w:p w14:paraId="62C6E0DF">
                      <w:pPr>
                        <w:pStyle w:val="17"/>
                      </w:pPr>
                      <w:r>
                        <w:rPr>
                          <w:rFonts w:hint="eastAsia"/>
                          <w:sz w:val="18"/>
                          <w:szCs w:val="18"/>
                        </w:rPr>
                        <w:t>验收通过</w:t>
                      </w:r>
                    </w:p>
                  </w:txbxContent>
                </v:textbox>
              </v:shape>
            </w:pict>
          </mc:Fallback>
        </mc:AlternateContent>
      </w:r>
    </w:p>
    <w:p w14:paraId="05645B70">
      <w:pPr>
        <w:tabs>
          <w:tab w:val="left" w:pos="0"/>
        </w:tabs>
        <w:ind w:left="17" w:hanging="16" w:hangingChars="7"/>
        <w:jc w:val="left"/>
        <w:rPr>
          <w:rFonts w:ascii="宋体" w:hAnsi="宋体" w:eastAsia="宋体" w:cs="宋体"/>
          <w:color w:val="auto"/>
          <w:sz w:val="24"/>
          <w:highlight w:val="none"/>
        </w:rPr>
      </w:pPr>
    </w:p>
    <w:p w14:paraId="2A780CA1">
      <w:pPr>
        <w:tabs>
          <w:tab w:val="left" w:pos="0"/>
        </w:tabs>
        <w:ind w:left="17" w:hanging="16" w:hangingChars="7"/>
        <w:jc w:val="left"/>
        <w:rPr>
          <w:rFonts w:ascii="宋体" w:hAnsi="宋体" w:eastAsia="宋体" w:cs="宋体"/>
          <w:color w:val="auto"/>
          <w:sz w:val="24"/>
          <w:highlight w:val="none"/>
        </w:rPr>
      </w:pPr>
    </w:p>
    <w:p w14:paraId="3CCA7467">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3820160</wp:posOffset>
                </wp:positionH>
                <wp:positionV relativeFrom="paragraph">
                  <wp:posOffset>125730</wp:posOffset>
                </wp:positionV>
                <wp:extent cx="2018665" cy="1432560"/>
                <wp:effectExtent l="4445" t="4445" r="19050" b="10795"/>
                <wp:wrapNone/>
                <wp:docPr id="124" name="文本框 124"/>
                <wp:cNvGraphicFramePr/>
                <a:graphic xmlns:a="http://schemas.openxmlformats.org/drawingml/2006/main">
                  <a:graphicData uri="http://schemas.microsoft.com/office/word/2010/wordprocessingShape">
                    <wps:wsp>
                      <wps:cNvSpPr txBox="1"/>
                      <wps:spPr>
                        <a:xfrm>
                          <a:off x="0" y="0"/>
                          <a:ext cx="2018665" cy="1432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7A8C22">
                            <w:r>
                              <w:rPr>
                                <w:rFonts w:hint="eastAsia"/>
                              </w:rPr>
                              <w:t>在大雨过后检验全场各类场地的排水效果，包括广场、台阶、绿地等各类场地。对疏排水效果不理想的地方进行调整，调整手段包括增加雨水口、排水沟、管等。调整直至满意为止</w:t>
                            </w:r>
                          </w:p>
                        </w:txbxContent>
                      </wps:txbx>
                      <wps:bodyPr upright="1"/>
                    </wps:wsp>
                  </a:graphicData>
                </a:graphic>
              </wp:anchor>
            </w:drawing>
          </mc:Choice>
          <mc:Fallback>
            <w:pict>
              <v:shape id="_x0000_s1026" o:spid="_x0000_s1026" o:spt="202" type="#_x0000_t202" style="position:absolute;left:0pt;margin-left:300.8pt;margin-top:9.9pt;height:112.8pt;width:158.95pt;z-index:251687936;mso-width-relative:page;mso-height-relative:page;" fillcolor="#FFFFFF" filled="t" stroked="t" coordsize="21600,21600" o:gfxdata="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dNik9kAAAAKAQAADwAA&#10;AAAAAAABACAAAAAiAAAAZHJzL2Rvd25yZXYueG1sUEsBAhQAFAAAAAgAh07iQGbq/NkVAgAASQQA&#10;AA4AAAAAAAAAAQAgAAAAKAEAAGRycy9lMm9Eb2MueG1sUEsFBgAAAAAGAAYAWQEAAK8FAAAAAA==&#10;">
                <v:fill on="t" focussize="0,0"/>
                <v:stroke color="#000000" joinstyle="miter"/>
                <v:imagedata o:title=""/>
                <o:lock v:ext="edit" aspectratio="f"/>
                <v:textbox>
                  <w:txbxContent>
                    <w:p w14:paraId="1B7A8C22">
                      <w:r>
                        <w:rPr>
                          <w:rFonts w:hint="eastAsia"/>
                        </w:rPr>
                        <w:t>在大雨过后检验全场各类场地的排水效果，包括广场、台阶、绿地等各类场地。对疏排水效果不理想的地方进行调整，调整手段包括增加雨水口、排水沟、管等。调整直至满意为止</w:t>
                      </w:r>
                    </w:p>
                  </w:txbxContent>
                </v:textbox>
              </v:shape>
            </w:pict>
          </mc:Fallback>
        </mc:AlternateContent>
      </w:r>
    </w:p>
    <w:p w14:paraId="0115F44D">
      <w:pPr>
        <w:tabs>
          <w:tab w:val="left" w:pos="0"/>
        </w:tabs>
        <w:ind w:left="17" w:hanging="16" w:hangingChars="7"/>
        <w:jc w:val="left"/>
        <w:rPr>
          <w:rFonts w:ascii="宋体" w:hAnsi="宋体" w:eastAsia="宋体" w:cs="宋体"/>
          <w:color w:val="auto"/>
          <w:sz w:val="24"/>
          <w:highlight w:val="none"/>
        </w:rPr>
      </w:pPr>
    </w:p>
    <w:p w14:paraId="67636223">
      <w:pPr>
        <w:tabs>
          <w:tab w:val="left" w:pos="0"/>
        </w:tabs>
        <w:ind w:left="17" w:hanging="16" w:hangingChars="7"/>
        <w:jc w:val="left"/>
        <w:rPr>
          <w:rFonts w:ascii="宋体" w:hAnsi="宋体" w:eastAsia="宋体" w:cs="宋体"/>
          <w:color w:val="auto"/>
          <w:sz w:val="24"/>
          <w:highlight w:val="none"/>
        </w:rPr>
      </w:pPr>
    </w:p>
    <w:p w14:paraId="5C108FA9">
      <w:pPr>
        <w:tabs>
          <w:tab w:val="left" w:pos="0"/>
        </w:tabs>
        <w:ind w:left="17" w:hanging="16" w:hangingChars="7"/>
        <w:jc w:val="left"/>
        <w:rPr>
          <w:rFonts w:ascii="宋体" w:hAnsi="宋体" w:eastAsia="宋体" w:cs="宋体"/>
          <w:color w:val="auto"/>
          <w:sz w:val="24"/>
          <w:highlight w:val="none"/>
        </w:rPr>
      </w:pPr>
    </w:p>
    <w:p w14:paraId="770978FA">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91008" behindDoc="0" locked="0" layoutInCell="1" allowOverlap="1">
                <wp:simplePos x="0" y="0"/>
                <wp:positionH relativeFrom="column">
                  <wp:posOffset>2804160</wp:posOffset>
                </wp:positionH>
                <wp:positionV relativeFrom="paragraph">
                  <wp:posOffset>45085</wp:posOffset>
                </wp:positionV>
                <wp:extent cx="1323340" cy="353695"/>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323340" cy="353695"/>
                        </a:xfrm>
                        <a:prstGeom prst="rect">
                          <a:avLst/>
                        </a:prstGeom>
                        <a:noFill/>
                        <a:ln w="9525">
                          <a:noFill/>
                        </a:ln>
                        <a:effectLst/>
                      </wps:spPr>
                      <wps:txbx>
                        <w:txbxContent>
                          <w:p w14:paraId="13B4E5C0">
                            <w:pPr>
                              <w:pStyle w:val="17"/>
                              <w:rPr>
                                <w:sz w:val="18"/>
                                <w:szCs w:val="18"/>
                              </w:rPr>
                            </w:pPr>
                            <w:r>
                              <w:rPr>
                                <w:rFonts w:hint="eastAsia"/>
                                <w:sz w:val="18"/>
                                <w:szCs w:val="18"/>
                              </w:rPr>
                              <w:t>综合性整改或调整</w:t>
                            </w:r>
                          </w:p>
                        </w:txbxContent>
                      </wps:txbx>
                      <wps:bodyPr upright="1"/>
                    </wps:wsp>
                  </a:graphicData>
                </a:graphic>
              </wp:anchor>
            </w:drawing>
          </mc:Choice>
          <mc:Fallback>
            <w:pict>
              <v:shape id="_x0000_s1026" o:spid="_x0000_s1026" o:spt="202" type="#_x0000_t202" style="position:absolute;left:0pt;margin-left:220.8pt;margin-top:3.55pt;height:27.85pt;width:104.2pt;z-index:251691008;mso-width-relative:page;mso-height-relative:page;" filled="f" stroked="f" coordsize="21600,21600" o:gfxdata="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MBcuNYAAAAIAQAADwAAAAAAAAABACAAAAAiAAAAZHJzL2Rvd25yZXYueG1sUEsBAhQA&#10;FAAAAAgAh07iQOKxmWa7AQAAaQMAAA4AAAAAAAAAAQAgAAAAJQEAAGRycy9lMm9Eb2MueG1sUEsF&#10;BgAAAAAGAAYAWQEAAFIFAAAAAA==&#10;">
                <v:fill on="f" focussize="0,0"/>
                <v:stroke on="f"/>
                <v:imagedata o:title=""/>
                <o:lock v:ext="edit" aspectratio="f"/>
                <v:textbox>
                  <w:txbxContent>
                    <w:p w14:paraId="13B4E5C0">
                      <w:pPr>
                        <w:pStyle w:val="17"/>
                        <w:rPr>
                          <w:sz w:val="18"/>
                          <w:szCs w:val="18"/>
                        </w:rPr>
                      </w:pPr>
                      <w:r>
                        <w:rPr>
                          <w:rFonts w:hint="eastAsia"/>
                          <w:sz w:val="18"/>
                          <w:szCs w:val="18"/>
                        </w:rPr>
                        <w:t>综合性整改或调整</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82816" behindDoc="0" locked="0" layoutInCell="1" allowOverlap="1">
                <wp:simplePos x="0" y="0"/>
                <wp:positionH relativeFrom="column">
                  <wp:posOffset>2089150</wp:posOffset>
                </wp:positionH>
                <wp:positionV relativeFrom="paragraph">
                  <wp:posOffset>198120</wp:posOffset>
                </wp:positionV>
                <wp:extent cx="800100" cy="297180"/>
                <wp:effectExtent l="4445" t="4445" r="18415" b="18415"/>
                <wp:wrapNone/>
                <wp:docPr id="127" name="文本框 12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AF56EB">
                            <w:pPr>
                              <w:jc w:val="center"/>
                            </w:pPr>
                            <w:r>
                              <w:rPr>
                                <w:rFonts w:hint="eastAsia"/>
                              </w:rPr>
                              <w:t>硬质完成</w:t>
                            </w:r>
                          </w:p>
                        </w:txbxContent>
                      </wps:txbx>
                      <wps:bodyPr upright="1"/>
                    </wps:wsp>
                  </a:graphicData>
                </a:graphic>
              </wp:anchor>
            </w:drawing>
          </mc:Choice>
          <mc:Fallback>
            <w:pict>
              <v:shape id="_x0000_s1026" o:spid="_x0000_s1026" o:spt="202" type="#_x0000_t202" style="position:absolute;left:0pt;margin-left:164.5pt;margin-top:15.6pt;height:23.4pt;width:63pt;z-index:251682816;mso-width-relative:page;mso-height-relative:page;" fillcolor="#FFFFFF" filled="t" stroked="t" coordsize="21600,21600" o:gfxdata="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39/29kAAAAJAQAADwAAAAAA&#10;AAABACAAAAAiAAAAZHJzL2Rvd25yZXYueG1sUEsBAhQAFAAAAAgAh07iQHzHnsgSAgAARwQAAA4A&#10;AAAAAAAAAQAgAAAAKAEAAGRycy9lMm9Eb2MueG1sUEsFBgAAAAAGAAYAWQEAAKwFAAAAAA==&#10;">
                <v:fill on="t" focussize="0,0"/>
                <v:stroke color="#000000" joinstyle="miter"/>
                <v:imagedata o:title=""/>
                <o:lock v:ext="edit" aspectratio="f"/>
                <v:textbox>
                  <w:txbxContent>
                    <w:p w14:paraId="32AF56EB">
                      <w:pPr>
                        <w:jc w:val="center"/>
                      </w:pPr>
                      <w:r>
                        <w:rPr>
                          <w:rFonts w:hint="eastAsia"/>
                        </w:rPr>
                        <w:t>硬质完成</w:t>
                      </w:r>
                    </w:p>
                  </w:txbxContent>
                </v:textbox>
              </v:shape>
            </w:pict>
          </mc:Fallback>
        </mc:AlternateContent>
      </w:r>
    </w:p>
    <w:p w14:paraId="19FEE406">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2838450</wp:posOffset>
                </wp:positionH>
                <wp:positionV relativeFrom="paragraph">
                  <wp:posOffset>169545</wp:posOffset>
                </wp:positionV>
                <wp:extent cx="914400" cy="0"/>
                <wp:effectExtent l="0" t="38100" r="0" b="38100"/>
                <wp:wrapNone/>
                <wp:docPr id="128" name="直接连接符 128"/>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23.5pt;margin-top:13.35pt;height:0pt;width:72pt;z-index:251689984;mso-width-relative:page;mso-height-relative:page;" filled="f" stroked="t" coordsize="21600,21600" o:gfxdata="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Ajy92AAAAAkBAAAPAAAAAAAAAAEAIAAAACIA&#10;AABkcnMvZG93bnJldi54bWxQSwECFAAUAAAACACHTuJAhcAg/QkCAAADBAAADgAAAAAAAAABACAA&#10;AAAnAQAAZHJzL2Uyb0RvYy54bWxQSwUGAAAAAAYABgBZAQAAogUAAAAA&#10;">
                <v:fill on="f" focussize="0,0"/>
                <v:stroke color="#000000" joinstyle="round" endarrow="block"/>
                <v:imagedata o:title=""/>
                <o:lock v:ext="edit" aspectratio="f"/>
              </v:line>
            </w:pict>
          </mc:Fallback>
        </mc:AlternateContent>
      </w:r>
    </w:p>
    <w:p w14:paraId="1B88D049">
      <w:pPr>
        <w:tabs>
          <w:tab w:val="left" w:pos="0"/>
        </w:tabs>
        <w:ind w:left="17" w:hanging="16" w:hangingChars="7"/>
        <w:jc w:val="left"/>
        <w:rPr>
          <w:rFonts w:ascii="宋体" w:hAnsi="宋体" w:eastAsia="宋体" w:cs="宋体"/>
          <w:color w:val="auto"/>
          <w:sz w:val="24"/>
          <w:highlight w:val="none"/>
        </w:rPr>
      </w:pPr>
    </w:p>
    <w:p w14:paraId="3783560A">
      <w:pPr>
        <w:tabs>
          <w:tab w:val="left" w:pos="0"/>
        </w:tabs>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机电施工监控程序</w:t>
      </w:r>
    </w:p>
    <w:p w14:paraId="772EA6E0">
      <w:pPr>
        <w:tabs>
          <w:tab w:val="left" w:pos="0"/>
        </w:tabs>
        <w:ind w:left="17" w:hanging="16" w:hangingChars="7"/>
        <w:jc w:val="left"/>
        <w:outlineLvl w:val="0"/>
        <w:rPr>
          <w:rFonts w:ascii="宋体" w:hAnsi="宋体" w:eastAsia="宋体" w:cs="宋体"/>
          <w:b/>
          <w:bCs/>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02272" behindDoc="0" locked="0" layoutInCell="1" allowOverlap="1">
                <wp:simplePos x="0" y="0"/>
                <wp:positionH relativeFrom="column">
                  <wp:posOffset>3953510</wp:posOffset>
                </wp:positionH>
                <wp:positionV relativeFrom="paragraph">
                  <wp:posOffset>76200</wp:posOffset>
                </wp:positionV>
                <wp:extent cx="1875790" cy="1453515"/>
                <wp:effectExtent l="5080" t="4445" r="8890" b="5080"/>
                <wp:wrapNone/>
                <wp:docPr id="126" name="文本框 126"/>
                <wp:cNvGraphicFramePr/>
                <a:graphic xmlns:a="http://schemas.openxmlformats.org/drawingml/2006/main">
                  <a:graphicData uri="http://schemas.microsoft.com/office/word/2010/wordprocessingShape">
                    <wps:wsp>
                      <wps:cNvSpPr txBox="1"/>
                      <wps:spPr>
                        <a:xfrm>
                          <a:off x="0" y="0"/>
                          <a:ext cx="1875790" cy="1453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F41027">
                            <w:r>
                              <w:rPr>
                                <w:rFonts w:hint="eastAsia" w:ascii="宋体" w:hAnsi="宋体"/>
                                <w:szCs w:val="21"/>
                              </w:rPr>
                              <w:t>所有插泥射灯、埋地射灯、射树灯等一类位置较灵活的水电设备在安装后，甲方设计工程师需根据效果需要审核并有可能调整位置，确认位置后方可完全固定；</w:t>
                            </w:r>
                          </w:p>
                        </w:txbxContent>
                      </wps:txbx>
                      <wps:bodyPr upright="1"/>
                    </wps:wsp>
                  </a:graphicData>
                </a:graphic>
              </wp:anchor>
            </w:drawing>
          </mc:Choice>
          <mc:Fallback>
            <w:pict>
              <v:shape id="_x0000_s1026" o:spid="_x0000_s1026" o:spt="202" type="#_x0000_t202" style="position:absolute;left:0pt;margin-left:311.3pt;margin-top:6pt;height:114.45pt;width:147.7pt;z-index:251702272;mso-width-relative:page;mso-height-relative:page;" fillcolor="#FFFFFF" filled="t" stroked="t" coordsize="21600,21600" o:gfxdata="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yuIZ/ZAAAACgEAAA8AAAAA&#10;AAAAAQAgAAAAIgAAAGRycy9kb3ducmV2LnhtbFBLAQIUABQAAAAIAIdO4kDZeDO7EwIAAEkEAAAO&#10;AAAAAAAAAAEAIAAAACgBAABkcnMvZTJvRG9jLnhtbFBLBQYAAAAABgAGAFkBAACtBQAAAAA=&#10;">
                <v:fill on="t" focussize="0,0"/>
                <v:stroke color="#000000" joinstyle="miter"/>
                <v:imagedata o:title=""/>
                <o:lock v:ext="edit" aspectratio="f"/>
                <v:textbox>
                  <w:txbxContent>
                    <w:p w14:paraId="27F41027">
                      <w:r>
                        <w:rPr>
                          <w:rFonts w:hint="eastAsia" w:ascii="宋体" w:hAnsi="宋体"/>
                          <w:szCs w:val="21"/>
                        </w:rPr>
                        <w:t>所有插泥射灯、埋地射灯、射树灯等一类位置较灵活的水电设备在安装后，甲方设计工程师需根据效果需要审核并有可能调整位置，确认位置后方可完全固定；</w:t>
                      </w:r>
                    </w:p>
                  </w:txbxContent>
                </v:textbox>
              </v:shape>
            </w:pict>
          </mc:Fallback>
        </mc:AlternateContent>
      </w:r>
    </w:p>
    <w:p w14:paraId="01C7D6CB">
      <w:pPr>
        <w:tabs>
          <w:tab w:val="left" w:pos="0"/>
        </w:tabs>
        <w:ind w:left="17" w:hanging="16" w:hangingChars="7"/>
        <w:jc w:val="left"/>
        <w:rPr>
          <w:rFonts w:ascii="宋体" w:hAnsi="宋体" w:eastAsia="宋体" w:cs="宋体"/>
          <w:color w:val="auto"/>
          <w:sz w:val="24"/>
          <w:highlight w:val="none"/>
        </w:rPr>
      </w:pPr>
    </w:p>
    <w:p w14:paraId="60582F23">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93056" behindDoc="0" locked="0" layoutInCell="1" allowOverlap="1">
                <wp:simplePos x="0" y="0"/>
                <wp:positionH relativeFrom="column">
                  <wp:posOffset>1943100</wp:posOffset>
                </wp:positionH>
                <wp:positionV relativeFrom="paragraph">
                  <wp:posOffset>0</wp:posOffset>
                </wp:positionV>
                <wp:extent cx="1371600" cy="990600"/>
                <wp:effectExtent l="4445" t="4445" r="10795" b="10795"/>
                <wp:wrapNone/>
                <wp:docPr id="125" name="文本框 125"/>
                <wp:cNvGraphicFramePr/>
                <a:graphic xmlns:a="http://schemas.openxmlformats.org/drawingml/2006/main">
                  <a:graphicData uri="http://schemas.microsoft.com/office/word/2010/wordprocessingShape">
                    <wps:wsp>
                      <wps:cNvSpPr txBox="1"/>
                      <wps:spPr>
                        <a:xfrm>
                          <a:off x="0" y="0"/>
                          <a:ext cx="13716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7F88BD">
                            <w:r>
                              <w:rPr>
                                <w:rFonts w:hint="eastAsia"/>
                              </w:rPr>
                              <w:t>按计划分块进行水电设备施工，特别注意各类构筑物中的管道预埋工作</w:t>
                            </w:r>
                          </w:p>
                        </w:txbxContent>
                      </wps:txbx>
                      <wps:bodyPr upright="1"/>
                    </wps:wsp>
                  </a:graphicData>
                </a:graphic>
              </wp:anchor>
            </w:drawing>
          </mc:Choice>
          <mc:Fallback>
            <w:pict>
              <v:shape id="_x0000_s1026" o:spid="_x0000_s1026" o:spt="202" type="#_x0000_t202" style="position:absolute;left:0pt;margin-left:153pt;margin-top:0pt;height:78pt;width:108pt;z-index:251693056;mso-width-relative:page;mso-height-relative:page;" fillcolor="#FFFFFF" filled="t" stroked="t" coordsize="21600,21600" o:gfxdata="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CiNc1QAAAAgBAAAPAAAAAAAAAAEAIAAA&#10;ACIAAABkcnMvZG93bnJldi54bWxQSwECFAAUAAAACACHTuJAacIo3w8CAABIBAAADgAAAAAAAAAB&#10;ACAAAAAkAQAAZHJzL2Uyb0RvYy54bWxQSwUGAAAAAAYABgBZAQAApQUAAAAA&#10;">
                <v:fill on="t" focussize="0,0"/>
                <v:stroke color="#000000" joinstyle="miter"/>
                <v:imagedata o:title=""/>
                <o:lock v:ext="edit" aspectratio="f"/>
                <v:textbox>
                  <w:txbxContent>
                    <w:p w14:paraId="4B7F88BD">
                      <w:r>
                        <w:rPr>
                          <w:rFonts w:hint="eastAsia"/>
                        </w:rPr>
                        <w:t>按计划分块进行水电设备施工，特别注意各类构筑物中的管道预埋工作</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0</wp:posOffset>
                </wp:positionV>
                <wp:extent cx="1257300" cy="891540"/>
                <wp:effectExtent l="5080" t="4445" r="17780" b="18415"/>
                <wp:wrapNone/>
                <wp:docPr id="130" name="文本框 130"/>
                <wp:cNvGraphicFramePr/>
                <a:graphic xmlns:a="http://schemas.openxmlformats.org/drawingml/2006/main">
                  <a:graphicData uri="http://schemas.microsoft.com/office/word/2010/wordprocessingShape">
                    <wps:wsp>
                      <wps:cNvSpPr txBox="1"/>
                      <wps:spPr>
                        <a:xfrm>
                          <a:off x="0" y="0"/>
                          <a:ext cx="1257300" cy="891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B907DA">
                            <w:r>
                              <w:rPr>
                                <w:rFonts w:hint="eastAsia"/>
                              </w:rPr>
                              <w:t>随硬质、软景的工程进度上报水电预埋及安装计划</w:t>
                            </w:r>
                          </w:p>
                          <w:p w14:paraId="2E2EA65F"/>
                        </w:txbxContent>
                      </wps:txbx>
                      <wps:bodyPr upright="1"/>
                    </wps:wsp>
                  </a:graphicData>
                </a:graphic>
              </wp:anchor>
            </w:drawing>
          </mc:Choice>
          <mc:Fallback>
            <w:pict>
              <v:shape id="_x0000_s1026" o:spid="_x0000_s1026" o:spt="202" type="#_x0000_t202" style="position:absolute;left:0pt;margin-left:-9pt;margin-top:0pt;height:70.2pt;width:99pt;z-index:251692032;mso-width-relative:page;mso-height-relative:page;" fillcolor="#FFFFFF" filled="t" stroked="t" coordsize="21600,21600" o:gfxdata="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YP0xNcAAAAIAQAADwAAAAAA&#10;AAABACAAAAAiAAAAZHJzL2Rvd25yZXYueG1sUEsBAhQAFAAAAAgAh07iQM9CYksUAgAASAQAAA4A&#10;AAAAAAAAAQAgAAAAJgEAAGRycy9lMm9Eb2MueG1sUEsFBgAAAAAGAAYAWQEAAKwFAAAAAA==&#10;">
                <v:fill on="t" focussize="0,0"/>
                <v:stroke color="#000000" joinstyle="miter"/>
                <v:imagedata o:title=""/>
                <o:lock v:ext="edit" aspectratio="f"/>
                <v:textbox>
                  <w:txbxContent>
                    <w:p w14:paraId="0AB907DA">
                      <w:r>
                        <w:rPr>
                          <w:rFonts w:hint="eastAsia"/>
                        </w:rPr>
                        <w:t>随硬质、软景的工程进度上报水电预埋及安装计划</w:t>
                      </w:r>
                    </w:p>
                    <w:p w14:paraId="2E2EA65F"/>
                  </w:txbxContent>
                </v:textbox>
              </v:shape>
            </w:pict>
          </mc:Fallback>
        </mc:AlternateContent>
      </w:r>
    </w:p>
    <w:p w14:paraId="486FA03C">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95104" behindDoc="0" locked="0" layoutInCell="1" allowOverlap="1">
                <wp:simplePos x="0" y="0"/>
                <wp:positionH relativeFrom="column">
                  <wp:posOffset>3314700</wp:posOffset>
                </wp:positionH>
                <wp:positionV relativeFrom="paragraph">
                  <wp:posOffset>198120</wp:posOffset>
                </wp:positionV>
                <wp:extent cx="654050" cy="0"/>
                <wp:effectExtent l="0" t="38100" r="1270" b="38100"/>
                <wp:wrapNone/>
                <wp:docPr id="146" name="直接连接符 146"/>
                <wp:cNvGraphicFramePr/>
                <a:graphic xmlns:a="http://schemas.openxmlformats.org/drawingml/2006/main">
                  <a:graphicData uri="http://schemas.microsoft.com/office/word/2010/wordprocessingShape">
                    <wps:wsp>
                      <wps:cNvCnPr/>
                      <wps:spPr>
                        <a:xfrm>
                          <a:off x="0" y="0"/>
                          <a:ext cx="6540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61pt;margin-top:15.6pt;height:0pt;width:51.5pt;z-index:251695104;mso-width-relative:page;mso-height-relative:page;" filled="f" stroked="t" coordsize="21600,21600" o:gfxdata="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OJlZ2QAAAAkBAAAPAAAAAAAAAAEAIAAAACIAAABkcnMv&#10;ZG93bnJldi54bWxQSwECFAAUAAAACACHTuJAz1VRKgICAAD5AwAADgAAAAAAAAABACAAAAAoAQAA&#10;ZHJzL2Uyb0RvYy54bWxQSwUGAAAAAAYABgBZAQAAnAU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94080" behindDoc="0" locked="0" layoutInCell="1" allowOverlap="1">
                <wp:simplePos x="0" y="0"/>
                <wp:positionH relativeFrom="column">
                  <wp:posOffset>1143000</wp:posOffset>
                </wp:positionH>
                <wp:positionV relativeFrom="paragraph">
                  <wp:posOffset>198120</wp:posOffset>
                </wp:positionV>
                <wp:extent cx="800100" cy="0"/>
                <wp:effectExtent l="0" t="38100" r="7620" b="38100"/>
                <wp:wrapNone/>
                <wp:docPr id="147" name="直接连接符 147"/>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90pt;margin-top:15.6pt;height:0pt;width:63pt;z-index:251694080;mso-width-relative:page;mso-height-relative:page;" filled="f" stroked="t" coordsize="21600,21600" o:gfxdata="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eF4F1wAAAAkBAAAPAAAAAAAAAAEAIAAAACIAAABkcnMvZG93&#10;bnJldi54bWxQSwECFAAUAAAACACHTuJAPTh8hgECAAD5AwAADgAAAAAAAAABACAAAAAmAQAAZHJz&#10;L2Uyb0RvYy54bWxQSwUGAAAAAAYABgBZAQAAmQUAAAAA&#10;">
                <v:fill on="f" focussize="0,0"/>
                <v:stroke color="#000000" joinstyle="round" endarrow="block"/>
                <v:imagedata o:title=""/>
                <o:lock v:ext="edit" aspectratio="f"/>
              </v:line>
            </w:pict>
          </mc:Fallback>
        </mc:AlternateConten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br w:type="textWrapping"/>
      </w:r>
    </w:p>
    <w:p w14:paraId="2D9AA3AD">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03296" behindDoc="0" locked="0" layoutInCell="1" allowOverlap="1">
                <wp:simplePos x="0" y="0"/>
                <wp:positionH relativeFrom="column">
                  <wp:posOffset>4457700</wp:posOffset>
                </wp:positionH>
                <wp:positionV relativeFrom="paragraph">
                  <wp:posOffset>99060</wp:posOffset>
                </wp:positionV>
                <wp:extent cx="685800" cy="59436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685800" cy="594360"/>
                        </a:xfrm>
                        <a:prstGeom prst="rect">
                          <a:avLst/>
                        </a:prstGeom>
                        <a:noFill/>
                        <a:ln w="9525">
                          <a:noFill/>
                        </a:ln>
                        <a:effectLst/>
                      </wps:spPr>
                      <wps:txbx>
                        <w:txbxContent>
                          <w:p w14:paraId="7B02B861">
                            <w:pPr>
                              <w:pStyle w:val="17"/>
                              <w:rPr>
                                <w:sz w:val="18"/>
                                <w:szCs w:val="18"/>
                              </w:rPr>
                            </w:pPr>
                            <w:r>
                              <w:rPr>
                                <w:rFonts w:hint="eastAsia"/>
                                <w:sz w:val="18"/>
                                <w:szCs w:val="18"/>
                              </w:rPr>
                              <w:t>调整、验收通过</w:t>
                            </w:r>
                          </w:p>
                        </w:txbxContent>
                      </wps:txbx>
                      <wps:bodyPr upright="1"/>
                    </wps:wsp>
                  </a:graphicData>
                </a:graphic>
              </wp:anchor>
            </w:drawing>
          </mc:Choice>
          <mc:Fallback>
            <w:pict>
              <v:shape id="_x0000_s1026" o:spid="_x0000_s1026" o:spt="202" type="#_x0000_t202" style="position:absolute;left:0pt;margin-left:351pt;margin-top:7.8pt;height:46.8pt;width:54pt;z-index:251703296;mso-width-relative:page;mso-height-relative:page;" filled="f" stroked="f" coordsize="21600,21600" o:gfxdata="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b6q/XWAAAACgEAAA8AAAAAAAAAAQAgAAAAIgAAAGRycy9kb3ducmV2LnhtbFBLAQIU&#10;ABQAAAAIAIdO4kBXUvGMvAEAAGgDAAAOAAAAAAAAAAEAIAAAACUBAABkcnMvZTJvRG9jLnhtbFBL&#10;BQYAAAAABgAGAFkBAABTBQAAAAA=&#10;">
                <v:fill on="f" focussize="0,0"/>
                <v:stroke on="f"/>
                <v:imagedata o:title=""/>
                <o:lock v:ext="edit" aspectratio="f"/>
                <v:textbox>
                  <w:txbxContent>
                    <w:p w14:paraId="7B02B861">
                      <w:pPr>
                        <w:pStyle w:val="17"/>
                        <w:rPr>
                          <w:sz w:val="18"/>
                          <w:szCs w:val="18"/>
                        </w:rPr>
                      </w:pPr>
                      <w:r>
                        <w:rPr>
                          <w:rFonts w:hint="eastAsia"/>
                          <w:sz w:val="18"/>
                          <w:szCs w:val="18"/>
                        </w:rPr>
                        <w:t>调整、验收通过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96128" behindDoc="0" locked="0" layoutInCell="1" allowOverlap="1">
                <wp:simplePos x="0" y="0"/>
                <wp:positionH relativeFrom="column">
                  <wp:posOffset>5143500</wp:posOffset>
                </wp:positionH>
                <wp:positionV relativeFrom="paragraph">
                  <wp:posOffset>0</wp:posOffset>
                </wp:positionV>
                <wp:extent cx="635" cy="792480"/>
                <wp:effectExtent l="37465" t="0" r="38100" b="0"/>
                <wp:wrapNone/>
                <wp:docPr id="160" name="直接连接符 160"/>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05pt;margin-top:0pt;height:62.4pt;width:0.05pt;z-index:251696128;mso-width-relative:page;mso-height-relative:page;" filled="f" stroked="t" coordsize="21600,21600" o:gfxdata="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VomNtcAAAAIAQAADwAAAAAAAAABACAAAAAiAAAAZHJz&#10;L2Rvd25yZXYueG1sUEsBAhQAFAAAAAgAh07iQO5XbsgFAgAA+wMAAA4AAAAAAAAAAQAgAAAAJgEA&#10;AGRycy9lMm9Eb2MueG1sUEsFBgAAAAAGAAYAWQEAAJ0FAAAAAA==&#10;">
                <v:fill on="f" focussize="0,0"/>
                <v:stroke color="#000000" joinstyle="round" endarrow="block"/>
                <v:imagedata o:title=""/>
                <o:lock v:ext="edit" aspectratio="f"/>
              </v:line>
            </w:pict>
          </mc:Fallback>
        </mc:AlternateContent>
      </w:r>
    </w:p>
    <w:p w14:paraId="278CE99E">
      <w:pPr>
        <w:tabs>
          <w:tab w:val="left" w:pos="0"/>
        </w:tabs>
        <w:ind w:left="17" w:hanging="16" w:hangingChars="7"/>
        <w:jc w:val="left"/>
        <w:rPr>
          <w:rFonts w:ascii="宋体" w:hAnsi="宋体" w:eastAsia="宋体" w:cs="宋体"/>
          <w:color w:val="auto"/>
          <w:sz w:val="24"/>
          <w:highlight w:val="none"/>
        </w:rPr>
      </w:pPr>
    </w:p>
    <w:p w14:paraId="09DCED2C">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98176" behindDoc="0" locked="0" layoutInCell="1" allowOverlap="1">
                <wp:simplePos x="0" y="0"/>
                <wp:positionH relativeFrom="column">
                  <wp:posOffset>1485900</wp:posOffset>
                </wp:positionH>
                <wp:positionV relativeFrom="paragraph">
                  <wp:posOffset>99060</wp:posOffset>
                </wp:positionV>
                <wp:extent cx="2057400" cy="1584960"/>
                <wp:effectExtent l="4445" t="4445" r="10795" b="10795"/>
                <wp:wrapNone/>
                <wp:docPr id="170" name="文本框 170"/>
                <wp:cNvGraphicFramePr/>
                <a:graphic xmlns:a="http://schemas.openxmlformats.org/drawingml/2006/main">
                  <a:graphicData uri="http://schemas.microsoft.com/office/word/2010/wordprocessingShape">
                    <wps:wsp>
                      <wps:cNvSpPr txBox="1"/>
                      <wps:spPr>
                        <a:xfrm>
                          <a:off x="0" y="0"/>
                          <a:ext cx="2057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BC8C9F">
                            <w:r>
                              <w:rPr>
                                <w:rFonts w:hint="eastAsia"/>
                              </w:rPr>
                              <w:t>根据硬质施工的进度，在大雨过后检验全场各类场地的疏排水效果，包括广场、台阶、绿地等各类场地。对疏排水效果不理想的地方进行调整，调整手段包括增加雨水口、排水沟、管等。调整直至满意为止</w:t>
                            </w:r>
                          </w:p>
                        </w:txbxContent>
                      </wps:txbx>
                      <wps:bodyPr upright="1"/>
                    </wps:wsp>
                  </a:graphicData>
                </a:graphic>
              </wp:anchor>
            </w:drawing>
          </mc:Choice>
          <mc:Fallback>
            <w:pict>
              <v:shape id="_x0000_s1026" o:spid="_x0000_s1026" o:spt="202" type="#_x0000_t202" style="position:absolute;left:0pt;margin-left:117pt;margin-top:7.8pt;height:124.8pt;width:162pt;z-index:251698176;mso-width-relative:page;mso-height-relative:page;" fillcolor="#FFFFFF" filled="t" stroked="t" coordsize="21600,21600" o:gfxdata="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hTN3tkAAAAKAQAADwAA&#10;AAAAAAABACAAAAAiAAAAZHJzL2Rvd25yZXYueG1sUEsBAhQAFAAAAAgAh07iQKzhGyoVAgAASQQA&#10;AA4AAAAAAAAAAQAgAAAAKAEAAGRycy9lMm9Eb2MueG1sUEsFBgAAAAAGAAYAWQEAAK8FAAAAAA==&#10;">
                <v:fill on="t" focussize="0,0"/>
                <v:stroke color="#000000" joinstyle="miter"/>
                <v:imagedata o:title=""/>
                <o:lock v:ext="edit" aspectratio="f"/>
                <v:textbox>
                  <w:txbxContent>
                    <w:p w14:paraId="58BC8C9F">
                      <w:r>
                        <w:rPr>
                          <w:rFonts w:hint="eastAsia"/>
                        </w:rPr>
                        <w:t>根据硬质施工的进度，在大雨过后检验全场各类场地的疏排水效果，包括广场、台阶、绿地等各类场地。对疏排水效果不理想的地方进行调整，调整手段包括增加雨水口、排水沟、管等。调整直至满意为止</w:t>
                      </w:r>
                    </w:p>
                  </w:txbxContent>
                </v:textbox>
              </v:shape>
            </w:pict>
          </mc:Fallback>
        </mc:AlternateContent>
      </w:r>
    </w:p>
    <w:p w14:paraId="7B8EB513">
      <w:pPr>
        <w:tabs>
          <w:tab w:val="left" w:pos="0"/>
        </w:tabs>
        <w:ind w:left="17" w:hanging="16" w:hangingChars="7"/>
        <w:jc w:val="left"/>
        <w:rPr>
          <w:rFonts w:ascii="宋体" w:hAnsi="宋体" w:eastAsia="宋体" w:cs="宋体"/>
          <w:color w:val="auto"/>
          <w:sz w:val="24"/>
          <w:highlight w:val="none"/>
        </w:rPr>
      </w:pPr>
    </w:p>
    <w:p w14:paraId="3800593F">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04320" behindDoc="0" locked="0" layoutInCell="1" allowOverlap="1">
                <wp:simplePos x="0" y="0"/>
                <wp:positionH relativeFrom="column">
                  <wp:posOffset>3543300</wp:posOffset>
                </wp:positionH>
                <wp:positionV relativeFrom="paragraph">
                  <wp:posOffset>99060</wp:posOffset>
                </wp:positionV>
                <wp:extent cx="914400" cy="59436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w="9525">
                          <a:noFill/>
                        </a:ln>
                        <a:effectLst/>
                      </wps:spPr>
                      <wps:txbx>
                        <w:txbxContent>
                          <w:p w14:paraId="65680209">
                            <w:pPr>
                              <w:rPr>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279pt;margin-top:7.8pt;height:46.8pt;width:72pt;z-index:251704320;mso-width-relative:page;mso-height-relative:page;" filled="f" stroked="f" coordsize="21600,21600" o:gfxdata="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1p/ovWAAAACgEAAA8AAAAAAAAAAQAgAAAAIgAAAGRycy9kb3ducmV2LnhtbFBLAQIU&#10;ABQAAAAIAIdO4kBaELOHvAEAAGgDAAAOAAAAAAAAAAEAIAAAACUBAABkcnMvZTJvRG9jLnhtbFBL&#10;BQYAAAAABgAGAFkBAABTBQAAAAA=&#10;">
                <v:fill on="f" focussize="0,0"/>
                <v:stroke on="f"/>
                <v:imagedata o:title=""/>
                <o:lock v:ext="edit" aspectratio="f"/>
                <v:textbox>
                  <w:txbxContent>
                    <w:p w14:paraId="65680209">
                      <w:pPr>
                        <w:rPr>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01248" behindDoc="0" locked="0" layoutInCell="1" allowOverlap="1">
                <wp:simplePos x="0" y="0"/>
                <wp:positionH relativeFrom="column">
                  <wp:posOffset>685800</wp:posOffset>
                </wp:positionH>
                <wp:positionV relativeFrom="paragraph">
                  <wp:posOffset>0</wp:posOffset>
                </wp:positionV>
                <wp:extent cx="685800" cy="83121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685800" cy="831215"/>
                        </a:xfrm>
                        <a:prstGeom prst="rect">
                          <a:avLst/>
                        </a:prstGeom>
                        <a:noFill/>
                        <a:ln w="9525">
                          <a:noFill/>
                        </a:ln>
                        <a:effectLst/>
                      </wps:spPr>
                      <wps:txbx>
                        <w:txbxContent>
                          <w:p w14:paraId="4A98338A">
                            <w:pPr>
                              <w:pStyle w:val="17"/>
                              <w:rPr>
                                <w:sz w:val="18"/>
                                <w:szCs w:val="18"/>
                              </w:rPr>
                            </w:pPr>
                            <w:r>
                              <w:rPr>
                                <w:rFonts w:hint="eastAsia"/>
                                <w:sz w:val="18"/>
                                <w:szCs w:val="18"/>
                              </w:rPr>
                              <w:t>综合性整改或调整</w:t>
                            </w:r>
                          </w:p>
                        </w:txbxContent>
                      </wps:txbx>
                      <wps:bodyPr upright="1"/>
                    </wps:wsp>
                  </a:graphicData>
                </a:graphic>
              </wp:anchor>
            </w:drawing>
          </mc:Choice>
          <mc:Fallback>
            <w:pict>
              <v:shape id="_x0000_s1026" o:spid="_x0000_s1026" o:spt="202" type="#_x0000_t202" style="position:absolute;left:0pt;margin-left:54pt;margin-top:0pt;height:65.45pt;width:54pt;z-index:251701248;mso-width-relative:page;mso-height-relative:page;" filled="f" stroked="f" coordsize="21600,21600" o:gfxdata="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Yn7E9MAAAAIAQAADwAAAAAAAAABACAAAAAiAAAAZHJzL2Rvd25yZXYueG1sUEsBAhQAFAAA&#10;AAgAh07iQNHBoAm7AQAAaAMAAA4AAAAAAAAAAQAgAAAAIgEAAGRycy9lMm9Eb2MueG1sUEsFBgAA&#10;AAAGAAYAWQEAAE8FAAAAAA==&#10;">
                <v:fill on="f" focussize="0,0"/>
                <v:stroke on="f"/>
                <v:imagedata o:title=""/>
                <o:lock v:ext="edit" aspectratio="f"/>
                <v:textbox>
                  <w:txbxContent>
                    <w:p w14:paraId="4A98338A">
                      <w:pPr>
                        <w:pStyle w:val="17"/>
                        <w:rPr>
                          <w:sz w:val="18"/>
                          <w:szCs w:val="18"/>
                        </w:rPr>
                      </w:pPr>
                      <w:r>
                        <w:rPr>
                          <w:rFonts w:hint="eastAsia"/>
                          <w:sz w:val="18"/>
                          <w:szCs w:val="18"/>
                        </w:rPr>
                        <w:t>综合性整改或调整</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697152" behindDoc="0" locked="0" layoutInCell="1" allowOverlap="1">
                <wp:simplePos x="0" y="0"/>
                <wp:positionH relativeFrom="column">
                  <wp:posOffset>4229100</wp:posOffset>
                </wp:positionH>
                <wp:positionV relativeFrom="paragraph">
                  <wp:posOffset>0</wp:posOffset>
                </wp:positionV>
                <wp:extent cx="1488440" cy="1327785"/>
                <wp:effectExtent l="4445" t="4445" r="15875" b="8890"/>
                <wp:wrapNone/>
                <wp:docPr id="166" name="文本框 166"/>
                <wp:cNvGraphicFramePr/>
                <a:graphic xmlns:a="http://schemas.openxmlformats.org/drawingml/2006/main">
                  <a:graphicData uri="http://schemas.microsoft.com/office/word/2010/wordprocessingShape">
                    <wps:wsp>
                      <wps:cNvSpPr txBox="1"/>
                      <wps:spPr>
                        <a:xfrm>
                          <a:off x="0" y="0"/>
                          <a:ext cx="1488440" cy="1327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E743A8">
                            <w:r>
                              <w:rPr>
                                <w:rFonts w:hint="eastAsia"/>
                              </w:rPr>
                              <w:t>水电功能性检验（需贯穿整个施工过程，分区检验，对于泳池、水景、及给排水管道等需进行及时的专项检验）；</w:t>
                            </w:r>
                          </w:p>
                        </w:txbxContent>
                      </wps:txbx>
                      <wps:bodyPr upright="1"/>
                    </wps:wsp>
                  </a:graphicData>
                </a:graphic>
              </wp:anchor>
            </w:drawing>
          </mc:Choice>
          <mc:Fallback>
            <w:pict>
              <v:shape id="_x0000_s1026" o:spid="_x0000_s1026" o:spt="202" type="#_x0000_t202" style="position:absolute;left:0pt;margin-left:333pt;margin-top:0pt;height:104.55pt;width:117.2pt;z-index:251697152;mso-width-relative:page;mso-height-relative:page;" fillcolor="#FFFFFF" filled="t" stroked="t" coordsize="21600,21600" o:gfxdata="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7tJPYAAAACAEAAA8AAAAA&#10;AAAAAQAgAAAAIgAAAGRycy9kb3ducmV2LnhtbFBLAQIUABQAAAAIAIdO4kCsOiY2FAIAAEkEAAAO&#10;AAAAAAAAAAEAIAAAACcBAABkcnMvZTJvRG9jLnhtbFBLBQYAAAAABgAGAFkBAACtBQAAAAA=&#10;">
                <v:fill on="t" focussize="0,0"/>
                <v:stroke color="#000000" joinstyle="miter"/>
                <v:imagedata o:title=""/>
                <o:lock v:ext="edit" aspectratio="f"/>
                <v:textbox>
                  <w:txbxContent>
                    <w:p w14:paraId="6CE743A8">
                      <w:r>
                        <w:rPr>
                          <w:rFonts w:hint="eastAsia"/>
                        </w:rPr>
                        <w:t>水电功能性检验（需贯穿整个施工过程，分区检验，对于泳池、水景、及给排水管道等需进行及时的专项检验）；</w:t>
                      </w:r>
                    </w:p>
                  </w:txbxContent>
                </v:textbox>
              </v:shape>
            </w:pict>
          </mc:Fallback>
        </mc:AlternateContent>
      </w:r>
    </w:p>
    <w:p w14:paraId="22702956">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699200" behindDoc="0" locked="0" layoutInCell="1" allowOverlap="1">
                <wp:simplePos x="0" y="0"/>
                <wp:positionH relativeFrom="column">
                  <wp:posOffset>-228600</wp:posOffset>
                </wp:positionH>
                <wp:positionV relativeFrom="paragraph">
                  <wp:posOffset>99060</wp:posOffset>
                </wp:positionV>
                <wp:extent cx="800100" cy="297180"/>
                <wp:effectExtent l="4445" t="4445" r="18415" b="18415"/>
                <wp:wrapNone/>
                <wp:docPr id="154" name="文本框 1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631394">
                            <w:pPr>
                              <w:jc w:val="center"/>
                            </w:pPr>
                            <w:r>
                              <w:rPr>
                                <w:rFonts w:hint="eastAsia"/>
                              </w:rPr>
                              <w:t>水电完成</w:t>
                            </w:r>
                          </w:p>
                        </w:txbxContent>
                      </wps:txbx>
                      <wps:bodyPr upright="1"/>
                    </wps:wsp>
                  </a:graphicData>
                </a:graphic>
              </wp:anchor>
            </w:drawing>
          </mc:Choice>
          <mc:Fallback>
            <w:pict>
              <v:shape id="_x0000_s1026" o:spid="_x0000_s1026" o:spt="202" type="#_x0000_t202" style="position:absolute;left:0pt;margin-left:-18pt;margin-top:7.8pt;height:23.4pt;width:63pt;z-index:251699200;mso-width-relative:page;mso-height-relative:page;" fillcolor="#FFFFFF" filled="t" stroked="t" coordsize="21600,21600" o:gfxdata="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EnGWzXAAAACAEAAA8AAAAAAAAA&#10;AQAgAAAAIgAAAGRycy9kb3ducmV2LnhtbFBLAQIUABQAAAAIAIdO4kCVKAiBEgIAAEcEAAAOAAAA&#10;AAAAAAEAIAAAACYBAABkcnMvZTJvRG9jLnhtbFBLBQYAAAAABgAGAFkBAACqBQAAAAA=&#10;">
                <v:fill on="t" focussize="0,0"/>
                <v:stroke color="#000000" joinstyle="miter"/>
                <v:imagedata o:title=""/>
                <o:lock v:ext="edit" aspectratio="f"/>
                <v:textbox>
                  <w:txbxContent>
                    <w:p w14:paraId="74631394">
                      <w:pPr>
                        <w:jc w:val="center"/>
                      </w:pPr>
                      <w:r>
                        <w:rPr>
                          <w:rFonts w:hint="eastAsia"/>
                        </w:rPr>
                        <w:t>水电完成</w:t>
                      </w:r>
                    </w:p>
                  </w:txbxContent>
                </v:textbox>
              </v:shape>
            </w:pict>
          </mc:Fallback>
        </mc:AlternateContent>
      </w:r>
    </w:p>
    <w:p w14:paraId="747DFC77">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05344" behindDoc="0" locked="0" layoutInCell="1" allowOverlap="1">
                <wp:simplePos x="0" y="0"/>
                <wp:positionH relativeFrom="column">
                  <wp:posOffset>3543300</wp:posOffset>
                </wp:positionH>
                <wp:positionV relativeFrom="paragraph">
                  <wp:posOffset>99060</wp:posOffset>
                </wp:positionV>
                <wp:extent cx="685800" cy="0"/>
                <wp:effectExtent l="0" t="38100" r="0" b="38100"/>
                <wp:wrapNone/>
                <wp:docPr id="153" name="直接连接符 153"/>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79pt;margin-top:7.8pt;height:0pt;width:54pt;z-index:251705344;mso-width-relative:page;mso-height-relative:page;" filled="f" stroked="t" coordsize="21600,21600" o:gfxdata="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Co1PbXAAAACQEAAA8AAAAAAAAAAQAgAAAAIgAA&#10;AGRycy9kb3ducmV2LnhtbFBLAQIUABQAAAAIAIdO4kBVK2ceCQIAAAMEAAAOAAAAAAAAAAEAIAAA&#10;ACYBAABkcnMvZTJvRG9jLnhtbFBLBQYAAAAABgAGAFkBAACh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00224" behindDoc="0" locked="0" layoutInCell="1" allowOverlap="1">
                <wp:simplePos x="0" y="0"/>
                <wp:positionH relativeFrom="column">
                  <wp:posOffset>571500</wp:posOffset>
                </wp:positionH>
                <wp:positionV relativeFrom="paragraph">
                  <wp:posOffset>99060</wp:posOffset>
                </wp:positionV>
                <wp:extent cx="800100" cy="0"/>
                <wp:effectExtent l="0" t="38100" r="7620" b="38100"/>
                <wp:wrapNone/>
                <wp:docPr id="152" name="直接连接符 152"/>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45pt;margin-top:7.8pt;height:0pt;width:63pt;z-index:251700224;mso-width-relative:page;mso-height-relative:page;" filled="f" stroked="t" coordsize="21600,21600" o:gfxdata="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cXHbVAAAACAEAAA8AAAAAAAAAAQAgAAAAIgAAAGRy&#10;cy9kb3ducmV2LnhtbFBLAQIUABQAAAAIAIdO4kDW6/u1CAIAAAMEAAAOAAAAAAAAAAEAIAAAACQB&#10;AABkcnMvZTJvRG9jLnhtbFBLBQYAAAAABgAGAFkBAACeBQAAAAA=&#10;">
                <v:fill on="f" focussize="0,0"/>
                <v:stroke color="#000000" joinstyle="round" endarrow="block"/>
                <v:imagedata o:title=""/>
                <o:lock v:ext="edit" aspectratio="f"/>
              </v:line>
            </w:pict>
          </mc:Fallback>
        </mc:AlternateContent>
      </w:r>
    </w:p>
    <w:p w14:paraId="61132BD0">
      <w:pPr>
        <w:tabs>
          <w:tab w:val="left" w:pos="0"/>
        </w:tabs>
        <w:ind w:left="17" w:hanging="16" w:hangingChars="7"/>
        <w:jc w:val="left"/>
        <w:rPr>
          <w:rFonts w:ascii="宋体" w:hAnsi="宋体" w:eastAsia="宋体" w:cs="宋体"/>
          <w:color w:val="auto"/>
          <w:sz w:val="24"/>
          <w:highlight w:val="none"/>
        </w:rPr>
      </w:pPr>
    </w:p>
    <w:p w14:paraId="3E242CFE">
      <w:pPr>
        <w:tabs>
          <w:tab w:val="left" w:pos="0"/>
        </w:tabs>
        <w:ind w:left="17" w:hanging="16" w:hangingChars="7"/>
        <w:jc w:val="left"/>
        <w:rPr>
          <w:rFonts w:ascii="宋体" w:hAnsi="宋体" w:eastAsia="宋体" w:cs="宋体"/>
          <w:color w:val="auto"/>
          <w:sz w:val="24"/>
          <w:highlight w:val="none"/>
        </w:rPr>
      </w:pPr>
    </w:p>
    <w:p w14:paraId="5B1942FE">
      <w:pPr>
        <w:tabs>
          <w:tab w:val="left" w:pos="0"/>
        </w:tabs>
        <w:ind w:left="17" w:hanging="17" w:hangingChars="7"/>
        <w:jc w:val="left"/>
        <w:outlineLvl w:val="0"/>
        <w:rPr>
          <w:rFonts w:ascii="宋体" w:hAnsi="宋体" w:eastAsia="宋体" w:cs="宋体"/>
          <w:b/>
          <w:bCs/>
          <w:color w:val="auto"/>
          <w:sz w:val="24"/>
          <w:highlight w:val="none"/>
        </w:rPr>
      </w:pPr>
    </w:p>
    <w:p w14:paraId="4D1F1764">
      <w:pPr>
        <w:tabs>
          <w:tab w:val="left" w:pos="0"/>
        </w:tabs>
        <w:ind w:left="-17" w:leftChars="-7"/>
        <w:jc w:val="left"/>
        <w:rPr>
          <w:rFonts w:ascii="宋体" w:hAnsi="宋体" w:eastAsia="宋体" w:cs="宋体"/>
          <w:bCs/>
          <w:color w:val="auto"/>
          <w:sz w:val="24"/>
          <w:highlight w:val="none"/>
        </w:rPr>
      </w:pPr>
    </w:p>
    <w:p w14:paraId="1B1BC61A">
      <w:pPr>
        <w:tabs>
          <w:tab w:val="left" w:pos="0"/>
        </w:tabs>
        <w:ind w:left="-17" w:leftChars="-7"/>
        <w:jc w:val="left"/>
        <w:rPr>
          <w:rFonts w:ascii="宋体" w:hAnsi="宋体" w:eastAsia="宋体" w:cs="宋体"/>
          <w:bCs/>
          <w:color w:val="auto"/>
          <w:sz w:val="24"/>
          <w:highlight w:val="none"/>
        </w:rPr>
      </w:pPr>
    </w:p>
    <w:p w14:paraId="4B801703">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2、水电安装注意事项：</w:t>
      </w:r>
    </w:p>
    <w:p w14:paraId="268FA572">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2.1 </w:t>
      </w:r>
      <w:r>
        <w:rPr>
          <w:rFonts w:hint="eastAsia" w:ascii="宋体" w:hAnsi="宋体" w:eastAsia="宋体" w:cs="宋体"/>
          <w:bCs/>
          <w:color w:val="auto"/>
          <w:sz w:val="24"/>
          <w:highlight w:val="none"/>
        </w:rPr>
        <w:t>水电预埋及安装，</w:t>
      </w:r>
      <w:r>
        <w:rPr>
          <w:rFonts w:hint="eastAsia" w:ascii="宋体" w:hAnsi="宋体" w:eastAsia="宋体" w:cs="宋体"/>
          <w:color w:val="auto"/>
          <w:sz w:val="24"/>
          <w:highlight w:val="none"/>
        </w:rPr>
        <w:t>调试严格按照国家相关规范技术要求进行施工。</w:t>
      </w:r>
    </w:p>
    <w:p w14:paraId="5169A6E8">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 其他：</w:t>
      </w:r>
    </w:p>
    <w:p w14:paraId="58A3B6B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2.2.1景观配电柜位置得选择需施工单位深化设计，并经甲方确认；</w:t>
      </w:r>
    </w:p>
    <w:p w14:paraId="05AE78D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2.2.2一些灯位（如埋地灯）的确定，会有调整的过程，甲方有权根据现场效果对灯位进行调整；</w:t>
      </w:r>
    </w:p>
    <w:p w14:paraId="1BEFD50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2.2.3固定灯座的螺栓数量不应少于灯具底座上固定孔的数量，安装完成后，灯具的绝缘外壳不应有破损和漏电现象。不允许仅通过水泥砂浆进行灯套的固定。</w:t>
      </w:r>
    </w:p>
    <w:p w14:paraId="219D0DD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2.2.4所有管线不得有露出表面的情况</w:t>
      </w:r>
    </w:p>
    <w:p w14:paraId="59155A0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2.2.5水景喷头须选择不锈钢或铜等耐腐材质，包括转接头同样须采用不锈钢材质</w:t>
      </w:r>
    </w:p>
    <w:p w14:paraId="7216E0D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2.2.6</w:t>
      </w:r>
      <w:r>
        <w:rPr>
          <w:rFonts w:hint="eastAsia" w:ascii="宋体" w:hAnsi="宋体" w:cs="宋体"/>
          <w:color w:val="auto"/>
          <w:sz w:val="24"/>
          <w:highlight w:val="none"/>
          <w:lang w:eastAsia="zh-CN"/>
        </w:rPr>
        <w:t>庭院灯混凝土基础</w:t>
      </w:r>
      <w:r>
        <w:rPr>
          <w:rFonts w:hint="eastAsia" w:ascii="宋体" w:hAnsi="宋体" w:cs="宋体"/>
          <w:color w:val="auto"/>
          <w:sz w:val="24"/>
          <w:highlight w:val="none"/>
          <w:lang w:val="en-US" w:eastAsia="zh-CN"/>
        </w:rPr>
        <w:t>顶标高低于</w:t>
      </w:r>
      <w:r>
        <w:rPr>
          <w:rFonts w:hint="eastAsia" w:ascii="宋体" w:hAnsi="宋体" w:cs="宋体"/>
          <w:color w:val="auto"/>
          <w:sz w:val="24"/>
          <w:highlight w:val="none"/>
          <w:lang w:eastAsia="zh-CN"/>
        </w:rPr>
        <w:t>周边路面</w:t>
      </w:r>
      <w:r>
        <w:rPr>
          <w:rFonts w:hint="eastAsia" w:ascii="宋体" w:hAnsi="宋体" w:cs="宋体"/>
          <w:color w:val="auto"/>
          <w:sz w:val="24"/>
          <w:highlight w:val="none"/>
          <w:lang w:val="en-US" w:eastAsia="zh-CN"/>
        </w:rPr>
        <w:t>完成面</w:t>
      </w:r>
      <w:r>
        <w:rPr>
          <w:rFonts w:hint="eastAsia" w:ascii="宋体" w:hAnsi="宋体" w:cs="宋体"/>
          <w:color w:val="auto"/>
          <w:sz w:val="24"/>
          <w:highlight w:val="none"/>
          <w:lang w:eastAsia="zh-CN"/>
        </w:rPr>
        <w:t>20公分，</w:t>
      </w:r>
      <w:r>
        <w:rPr>
          <w:rFonts w:hint="eastAsia" w:ascii="宋体" w:hAnsi="宋体" w:cs="宋体"/>
          <w:color w:val="auto"/>
          <w:sz w:val="24"/>
          <w:highlight w:val="none"/>
          <w:lang w:val="en-US" w:eastAsia="zh-CN"/>
        </w:rPr>
        <w:t>草坪</w:t>
      </w:r>
      <w:r>
        <w:rPr>
          <w:rFonts w:hint="eastAsia" w:ascii="宋体" w:hAnsi="宋体" w:cs="宋体"/>
          <w:color w:val="auto"/>
          <w:sz w:val="24"/>
          <w:highlight w:val="none"/>
          <w:lang w:eastAsia="zh-CN"/>
        </w:rPr>
        <w:t>灯混凝土基础</w:t>
      </w:r>
      <w:r>
        <w:rPr>
          <w:rFonts w:hint="eastAsia" w:ascii="宋体" w:hAnsi="宋体" w:cs="宋体"/>
          <w:color w:val="auto"/>
          <w:sz w:val="24"/>
          <w:highlight w:val="none"/>
          <w:lang w:val="en-US" w:eastAsia="zh-CN"/>
        </w:rPr>
        <w:t>顶标高低于</w:t>
      </w:r>
      <w:r>
        <w:rPr>
          <w:rFonts w:hint="eastAsia" w:ascii="宋体" w:hAnsi="宋体" w:cs="宋体"/>
          <w:color w:val="auto"/>
          <w:sz w:val="24"/>
          <w:highlight w:val="none"/>
          <w:lang w:eastAsia="zh-CN"/>
        </w:rPr>
        <w:t>周边路面</w:t>
      </w:r>
      <w:r>
        <w:rPr>
          <w:rFonts w:hint="eastAsia" w:ascii="宋体" w:hAnsi="宋体" w:cs="宋体"/>
          <w:color w:val="auto"/>
          <w:sz w:val="24"/>
          <w:highlight w:val="none"/>
          <w:lang w:val="en-US" w:eastAsia="zh-CN"/>
        </w:rPr>
        <w:t>完成面15</w:t>
      </w:r>
      <w:r>
        <w:rPr>
          <w:rFonts w:hint="eastAsia" w:ascii="宋体" w:hAnsi="宋体" w:cs="宋体"/>
          <w:color w:val="auto"/>
          <w:sz w:val="24"/>
          <w:highlight w:val="none"/>
          <w:lang w:eastAsia="zh-CN"/>
        </w:rPr>
        <w:t>公分，灯具加工时</w:t>
      </w:r>
      <w:r>
        <w:rPr>
          <w:rFonts w:hint="eastAsia" w:ascii="宋体" w:hAnsi="宋体" w:cs="宋体"/>
          <w:color w:val="auto"/>
          <w:sz w:val="24"/>
          <w:highlight w:val="none"/>
          <w:lang w:val="en-US" w:eastAsia="zh-CN"/>
        </w:rPr>
        <w:t>将</w:t>
      </w:r>
      <w:r>
        <w:rPr>
          <w:rFonts w:hint="eastAsia" w:ascii="宋体" w:hAnsi="宋体" w:cs="宋体"/>
          <w:color w:val="auto"/>
          <w:sz w:val="24"/>
          <w:highlight w:val="none"/>
          <w:lang w:eastAsia="zh-CN"/>
        </w:rPr>
        <w:t>灯具骨架加长15公分</w:t>
      </w:r>
      <w:r>
        <w:rPr>
          <w:rFonts w:hint="eastAsia" w:ascii="宋体" w:hAnsi="宋体" w:cs="宋体"/>
          <w:color w:val="auto"/>
          <w:sz w:val="24"/>
          <w:highlight w:val="none"/>
          <w:lang w:val="en-US" w:eastAsia="zh-CN"/>
        </w:rPr>
        <w:t>或</w:t>
      </w:r>
      <w:r>
        <w:rPr>
          <w:rFonts w:hint="eastAsia" w:ascii="宋体" w:hAnsi="宋体" w:cs="宋体"/>
          <w:color w:val="auto"/>
          <w:sz w:val="24"/>
          <w:highlight w:val="none"/>
          <w:lang w:eastAsia="zh-CN"/>
        </w:rPr>
        <w:t>20公分，</w:t>
      </w:r>
      <w:r>
        <w:rPr>
          <w:rFonts w:hint="eastAsia" w:ascii="宋体" w:hAnsi="宋体" w:cs="宋体"/>
          <w:color w:val="auto"/>
          <w:sz w:val="24"/>
          <w:highlight w:val="none"/>
          <w:lang w:val="en-US" w:eastAsia="zh-CN"/>
        </w:rPr>
        <w:t>确保出地面高度与设计一致。</w:t>
      </w:r>
    </w:p>
    <w:p w14:paraId="6DEAD2F0">
      <w:pPr>
        <w:tabs>
          <w:tab w:val="left" w:pos="0"/>
        </w:tabs>
        <w:spacing w:line="360" w:lineRule="auto"/>
        <w:ind w:left="17" w:hanging="16" w:hangingChars="7"/>
        <w:jc w:val="left"/>
        <w:outlineLvl w:val="0"/>
        <w:rPr>
          <w:rFonts w:ascii="宋体" w:hAnsi="宋体" w:eastAsia="宋体" w:cs="宋体"/>
          <w:color w:val="auto"/>
          <w:sz w:val="24"/>
          <w:highlight w:val="none"/>
        </w:rPr>
      </w:pPr>
      <w:r>
        <w:rPr>
          <w:rFonts w:hint="eastAsia" w:ascii="宋体" w:hAnsi="宋体" w:eastAsia="宋体" w:cs="宋体"/>
          <w:color w:val="auto"/>
          <w:sz w:val="24"/>
          <w:highlight w:val="none"/>
        </w:rPr>
        <w:t>2.2.7水景蓄水池内表面需贴面</w:t>
      </w:r>
    </w:p>
    <w:p w14:paraId="629ADA2F">
      <w:pPr>
        <w:tabs>
          <w:tab w:val="left" w:pos="0"/>
        </w:tabs>
        <w:spacing w:line="360" w:lineRule="auto"/>
        <w:ind w:left="17" w:hanging="16" w:hangingChars="7"/>
        <w:jc w:val="left"/>
        <w:outlineLvl w:val="0"/>
        <w:rPr>
          <w:rFonts w:ascii="宋体" w:hAnsi="宋体" w:eastAsia="宋体" w:cs="宋体"/>
          <w:color w:val="auto"/>
          <w:sz w:val="24"/>
          <w:highlight w:val="none"/>
        </w:rPr>
      </w:pPr>
      <w:r>
        <w:rPr>
          <w:rFonts w:hint="eastAsia" w:ascii="宋体" w:hAnsi="宋体" w:eastAsia="宋体" w:cs="宋体"/>
          <w:color w:val="auto"/>
          <w:sz w:val="24"/>
          <w:highlight w:val="none"/>
        </w:rPr>
        <w:t>2.2.8所有插泥射灯、埋地射灯、射树灯等一类位置较灵活的灯具在安装后，甲方设计工程师需根据效果需要审核并有可能调整位置，确认为之后方可完全固定；</w:t>
      </w:r>
    </w:p>
    <w:p w14:paraId="1C5538C0">
      <w:pPr>
        <w:tabs>
          <w:tab w:val="left" w:pos="0"/>
        </w:tabs>
        <w:spacing w:line="360" w:lineRule="auto"/>
        <w:ind w:left="17" w:hanging="16" w:hangingChars="7"/>
        <w:jc w:val="left"/>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2.2.9过池塘、泳池的套管必须有止水翼环，pvc电气套管必须做特殊处理。</w:t>
      </w:r>
    </w:p>
    <w:p w14:paraId="03E9A23A">
      <w:pPr>
        <w:pStyle w:val="52"/>
        <w:rPr>
          <w:rFonts w:hint="eastAsia" w:eastAsia="宋体"/>
          <w:color w:val="auto"/>
          <w:highlight w:val="none"/>
          <w:lang w:val="en-US"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10</w:t>
      </w:r>
      <w:r>
        <w:rPr>
          <w:rFonts w:hint="eastAsia"/>
          <w:color w:val="auto"/>
          <w:highlight w:val="none"/>
        </w:rPr>
        <w:t>雨水收集口平行于路边安装，庭院灯距离路边40公分，草坪灯距离路边30公分，快速取水口取水阀不要放在地被里，距离路边20公分安装，给水、雨水收集口的点位优化</w:t>
      </w:r>
      <w:r>
        <w:rPr>
          <w:rFonts w:hint="eastAsia"/>
          <w:color w:val="auto"/>
          <w:highlight w:val="none"/>
          <w:lang w:eastAsia="zh-CN"/>
        </w:rPr>
        <w:t>。</w:t>
      </w:r>
    </w:p>
    <w:p w14:paraId="53D2519C">
      <w:pPr>
        <w:pStyle w:val="52"/>
        <w:rPr>
          <w:color w:val="auto"/>
          <w:highlight w:val="none"/>
        </w:rPr>
      </w:pPr>
    </w:p>
    <w:p w14:paraId="0B4E5034">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B．一般项目</w:t>
      </w:r>
    </w:p>
    <w:p w14:paraId="6C603DA5">
      <w:pPr>
        <w:numPr>
          <w:ilvl w:val="0"/>
          <w:numId w:val="6"/>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所有硬质材料以投标时确定的材料样板为准；</w:t>
      </w:r>
    </w:p>
    <w:p w14:paraId="48BA5753">
      <w:pPr>
        <w:numPr>
          <w:ilvl w:val="0"/>
          <w:numId w:val="6"/>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施工单位将施工材料运至现场后，施工单位提交工程材料质检报告和工程材料进场申请书至甲方，甲方及监理对照样品对施工材料进行审查，合格后方可进场施工，不合格产品禁止进场并用于工程施工；</w:t>
      </w:r>
    </w:p>
    <w:p w14:paraId="16B4971E">
      <w:pPr>
        <w:numPr>
          <w:ilvl w:val="0"/>
          <w:numId w:val="6"/>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木作制品材料必须在加工工厂完成切割、防腐处理；</w:t>
      </w:r>
    </w:p>
    <w:p w14:paraId="67CA2EC3">
      <w:pPr>
        <w:numPr>
          <w:ilvl w:val="0"/>
          <w:numId w:val="6"/>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其他单独委托材料（包括灯具、水体设备、室外家具及雕塑等）施工单位做好预留、预埋、安装调试及其他配合工作。</w:t>
      </w:r>
    </w:p>
    <w:p w14:paraId="25869E9D">
      <w:pPr>
        <w:tabs>
          <w:tab w:val="left" w:pos="0"/>
        </w:tabs>
        <w:spacing w:line="360" w:lineRule="auto"/>
        <w:ind w:left="0" w:firstLine="0" w:firstLineChars="0"/>
        <w:jc w:val="left"/>
        <w:rPr>
          <w:rFonts w:ascii="宋体" w:hAnsi="宋体" w:eastAsia="宋体" w:cs="宋体"/>
          <w:color w:val="auto"/>
          <w:sz w:val="24"/>
          <w:highlight w:val="none"/>
        </w:rPr>
      </w:pPr>
    </w:p>
    <w:p w14:paraId="1AAB6EF3">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三、施工过程</w:t>
      </w:r>
    </w:p>
    <w:p w14:paraId="0104274E">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rPr>
        <w:t>A. 强调项目：</w:t>
      </w:r>
    </w:p>
    <w:p w14:paraId="5EBE619B">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bCs/>
          <w:color w:val="auto"/>
          <w:sz w:val="24"/>
          <w:highlight w:val="none"/>
        </w:rPr>
        <w:t>1、施工样板先行机制（前面已有介绍）；</w:t>
      </w:r>
    </w:p>
    <w:p w14:paraId="55C153DF">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2、分步验收机制（前面已有介绍）；</w:t>
      </w:r>
    </w:p>
    <w:p w14:paraId="68352FC5">
      <w:pPr>
        <w:tabs>
          <w:tab w:val="left" w:pos="0"/>
        </w:tabs>
        <w:autoSpaceDE w:val="0"/>
        <w:autoSpaceDN w:val="0"/>
        <w:adjustRightInd w:val="0"/>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3、成品保护与协调：</w:t>
      </w:r>
    </w:p>
    <w:p w14:paraId="66CA2171">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3.1 现场施工区域在移交后即由施工单位进行管理，在保留为其它必要工程的施工通道外由景观施工单位进行组织管理；</w:t>
      </w:r>
    </w:p>
    <w:p w14:paraId="7699BB66">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3.1.1 对已完成铺设和植栽的区域应用围挡措施，防止车辆或其它工人的破坏。</w:t>
      </w:r>
    </w:p>
    <w:p w14:paraId="216D03AC">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3.1.2 设专人对已完成的作业面进行看护；在未竣工验收前，施工单位对自身施工成果均具有保护义务，并需协调好与其他施工单位之间的关系。</w:t>
      </w:r>
    </w:p>
    <w:p w14:paraId="5EAD0EEB">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4、</w:t>
      </w:r>
      <w:r>
        <w:rPr>
          <w:rFonts w:hint="eastAsia" w:ascii="宋体" w:hAnsi="宋体" w:eastAsia="宋体" w:cs="宋体"/>
          <w:b/>
          <w:color w:val="auto"/>
          <w:kern w:val="0"/>
          <w:sz w:val="24"/>
          <w:highlight w:val="none"/>
        </w:rPr>
        <w:t>一些施工技术通病及处理方法参考（包含部分绿植）：</w:t>
      </w:r>
    </w:p>
    <w:p w14:paraId="32A5249E">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施工单位在深化设计、施工过程中必须控制以下问题的发生，深化设计及上报施工组织设计时需有体现，出现问题甲方有权要求修整及返工（包括但不仅限于以下质量问题）：</w:t>
      </w:r>
    </w:p>
    <w:p w14:paraId="49663EF0">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
          <w:color w:val="auto"/>
          <w:sz w:val="24"/>
          <w:highlight w:val="none"/>
        </w:rPr>
        <w:t>4.1 户外积水与排水不畅：</w:t>
      </w:r>
      <w:r>
        <w:rPr>
          <w:rFonts w:hint="eastAsia" w:ascii="宋体" w:hAnsi="宋体" w:eastAsia="宋体" w:cs="宋体"/>
          <w:color w:val="auto"/>
          <w:sz w:val="24"/>
          <w:highlight w:val="none"/>
        </w:rPr>
        <w:t>主要包括道路、广场积水、台阶积水、</w:t>
      </w:r>
      <w:r>
        <w:rPr>
          <w:rFonts w:hint="eastAsia" w:ascii="宋体" w:hAnsi="宋体" w:eastAsia="宋体" w:cs="宋体"/>
          <w:bCs/>
          <w:color w:val="auto"/>
          <w:sz w:val="24"/>
          <w:highlight w:val="none"/>
        </w:rPr>
        <w:t>草坪积水</w:t>
      </w:r>
    </w:p>
    <w:p w14:paraId="1048A5D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4.1.1 处理方式：</w:t>
      </w:r>
    </w:p>
    <w:p w14:paraId="7F054FD4">
      <w:pPr>
        <w:numPr>
          <w:ilvl w:val="2"/>
          <w:numId w:val="7"/>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在道路边尤其是与坡地、矮墙等的交界处设置截水沟，尽量分化汇水面；</w:t>
      </w:r>
    </w:p>
    <w:p w14:paraId="56614FDA">
      <w:pPr>
        <w:numPr>
          <w:ilvl w:val="2"/>
          <w:numId w:val="7"/>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广场在深化设计时注意好排水坡度的设计，排水坡度不宜小于0.5%，尤其须注意扭曲面的出现，广场中间可以设置隐形的排水沟；、</w:t>
      </w:r>
    </w:p>
    <w:p w14:paraId="63BBA88B">
      <w:pPr>
        <w:numPr>
          <w:ilvl w:val="2"/>
          <w:numId w:val="7"/>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在室内与室外地坪交接处设置截水沟；</w:t>
      </w:r>
    </w:p>
    <w:p w14:paraId="4661D03C">
      <w:pPr>
        <w:numPr>
          <w:ilvl w:val="2"/>
          <w:numId w:val="7"/>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在刚施工完如有下雨天气可现场观察，必要时增加部分雨水口；</w:t>
      </w:r>
    </w:p>
    <w:p w14:paraId="06935947">
      <w:pPr>
        <w:numPr>
          <w:ilvl w:val="2"/>
          <w:numId w:val="7"/>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在最低处设置雨水口，部分草坪如会水面过大，可在坡道中央增设排水沟。</w:t>
      </w:r>
    </w:p>
    <w:p w14:paraId="62E14774">
      <w:pPr>
        <w:tabs>
          <w:tab w:val="left" w:pos="0"/>
        </w:tabs>
        <w:spacing w:line="360" w:lineRule="auto"/>
        <w:ind w:left="0" w:leftChars="0"/>
        <w:jc w:val="left"/>
        <w:rPr>
          <w:rFonts w:ascii="宋体" w:hAnsi="宋体" w:eastAsia="宋体" w:cs="宋体"/>
          <w:color w:val="auto"/>
          <w:sz w:val="24"/>
          <w:highlight w:val="none"/>
        </w:rPr>
      </w:pPr>
    </w:p>
    <w:p w14:paraId="7BC38247">
      <w:pPr>
        <w:pStyle w:val="3"/>
        <w:spacing w:before="0" w:after="0" w:line="360" w:lineRule="auto"/>
        <w:ind w:left="-17" w:leftChars="-7"/>
        <w:jc w:val="left"/>
        <w:rPr>
          <w:rFonts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rPr>
        <w:t>4.2 返碱与水斑：</w:t>
      </w:r>
    </w:p>
    <w:p w14:paraId="7030AF0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4.2.1 防止泛碱现象产生的关键是如何阻止水进出面层，以预防措施为主。</w:t>
      </w:r>
    </w:p>
    <w:p w14:paraId="244BEA9B">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4.2.2 地面、墙面面层防泛碱措施：</w:t>
      </w:r>
    </w:p>
    <w:p w14:paraId="39D7C1EC">
      <w:pPr>
        <w:numPr>
          <w:ilvl w:val="0"/>
          <w:numId w:val="8"/>
        </w:numPr>
        <w:tabs>
          <w:tab w:val="left" w:pos="0"/>
          <w:tab w:val="clear" w:pos="1261"/>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面层施工前，进行充分浸泡并晾干。</w:t>
      </w:r>
    </w:p>
    <w:p w14:paraId="2FACBAFE">
      <w:pPr>
        <w:numPr>
          <w:ilvl w:val="0"/>
          <w:numId w:val="8"/>
        </w:numPr>
        <w:tabs>
          <w:tab w:val="left" w:pos="0"/>
          <w:tab w:val="clear" w:pos="1261"/>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采用水泥浆或水泥砂浆作为粘结材料和嵌缝材料时，掺入一定量的缓凝减水剂或防水剂。</w:t>
      </w:r>
    </w:p>
    <w:p w14:paraId="7A72B816">
      <w:pPr>
        <w:numPr>
          <w:ilvl w:val="0"/>
          <w:numId w:val="8"/>
        </w:numPr>
        <w:tabs>
          <w:tab w:val="left" w:pos="0"/>
          <w:tab w:val="clear" w:pos="1261"/>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施工过程中保证粘贴饱满、勾缝密实，以减少雨水侵入的可能。</w:t>
      </w:r>
    </w:p>
    <w:p w14:paraId="0E6FE94D">
      <w:pPr>
        <w:numPr>
          <w:ilvl w:val="0"/>
          <w:numId w:val="8"/>
        </w:numPr>
        <w:tabs>
          <w:tab w:val="left" w:pos="0"/>
          <w:tab w:val="clear" w:pos="1261"/>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同一施工面上粘贴面砖及嵌缝材料，配比一定要准确、一致，以防止不同配合比砂浆干缩率不同而产生裂缝、空鼓，从而引至雨水浸渗。</w:t>
      </w:r>
    </w:p>
    <w:p w14:paraId="63662B31">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4.2.3 水景防返碱措施：</w:t>
      </w:r>
    </w:p>
    <w:p w14:paraId="6D48D565">
      <w:pPr>
        <w:numPr>
          <w:ilvl w:val="0"/>
          <w:numId w:val="9"/>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严格控制结构质量，避免大量的砂浆找平层；抹灰砂浆可选用低碱水泥，并添加一定量的减水剂，减少水含量；</w:t>
      </w:r>
    </w:p>
    <w:p w14:paraId="31289B6A">
      <w:pPr>
        <w:numPr>
          <w:ilvl w:val="0"/>
          <w:numId w:val="9"/>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水景石材精确下料，避免局部修补；</w:t>
      </w:r>
    </w:p>
    <w:p w14:paraId="1AC81B1A">
      <w:pPr>
        <w:numPr>
          <w:ilvl w:val="0"/>
          <w:numId w:val="9"/>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在粘贴前，可在抹灰层上先满刮一层防水剂，采用具有防水功能的粘贴剂进行面层粘贴；粘结层填充饱满，不留缝隙；勾缝密实饱满，有条件时可在接缝处施打密封胶；</w:t>
      </w:r>
    </w:p>
    <w:p w14:paraId="32E2B801">
      <w:pPr>
        <w:numPr>
          <w:ilvl w:val="0"/>
          <w:numId w:val="9"/>
        </w:numPr>
        <w:tabs>
          <w:tab w:val="left" w:pos="0"/>
          <w:tab w:val="clear" w:pos="120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对石材采用渗透性防护剂进行六面防护处理，使其具有防水性能；</w:t>
      </w:r>
    </w:p>
    <w:p w14:paraId="7879DEC3">
      <w:pPr>
        <w:numPr>
          <w:ilvl w:val="0"/>
          <w:numId w:val="9"/>
        </w:numPr>
        <w:tabs>
          <w:tab w:val="left" w:pos="0"/>
          <w:tab w:val="clear" w:pos="1200"/>
        </w:tabs>
        <w:spacing w:line="360" w:lineRule="auto"/>
        <w:ind w:left="17" w:hanging="16" w:hangingChars="7"/>
        <w:jc w:val="left"/>
        <w:rPr>
          <w:rFonts w:ascii="宋体" w:hAnsi="宋体" w:eastAsia="宋体" w:cs="宋体"/>
          <w:b/>
          <w:bCs/>
          <w:color w:val="auto"/>
          <w:sz w:val="24"/>
          <w:highlight w:val="none"/>
        </w:rPr>
      </w:pPr>
      <w:r>
        <w:rPr>
          <w:rFonts w:hint="eastAsia" w:ascii="宋体" w:hAnsi="宋体" w:eastAsia="宋体" w:cs="宋体"/>
          <w:color w:val="auto"/>
          <w:sz w:val="24"/>
          <w:highlight w:val="none"/>
        </w:rPr>
        <w:t>条件允许时可采用干挂施工工艺。</w:t>
      </w:r>
    </w:p>
    <w:p w14:paraId="1197F38C">
      <w:pPr>
        <w:tabs>
          <w:tab w:val="left" w:pos="0"/>
        </w:tabs>
        <w:spacing w:line="360" w:lineRule="auto"/>
        <w:ind w:left="-17" w:left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4.3 管井位置处理不当</w:t>
      </w:r>
    </w:p>
    <w:p w14:paraId="45019798">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4.3.1 无法避免在硬质地面区域设置管井时应考虑做双层井盖。双层井盖铺装应考虑与地面铺装形式结合，当地面铺装形式为块材时，井盖尺寸应与地面铺装材料统一模数，进行对线；双层井盖应具有足够的刚度并考虑后期物业开启方便；</w:t>
      </w:r>
    </w:p>
    <w:p w14:paraId="273EA9F4">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4.3.2 现场施工前应核实景观图纸与管线位置的关系，建立统一的坐标系，井位及其他专业均采用此坐标系，确保图上预先设计的井位关系实现，或在不影响效果的情况下预先作出调整；</w:t>
      </w:r>
    </w:p>
    <w:p w14:paraId="4FE31875">
      <w:pPr>
        <w:tabs>
          <w:tab w:val="left" w:pos="0"/>
        </w:tabs>
        <w:spacing w:line="360" w:lineRule="auto"/>
        <w:ind w:left="0" w:firstLine="0" w:firstLineChars="0"/>
        <w:jc w:val="left"/>
        <w:rPr>
          <w:rFonts w:ascii="宋体" w:hAnsi="宋体" w:eastAsia="宋体" w:cs="宋体"/>
          <w:color w:val="auto"/>
          <w:sz w:val="24"/>
          <w:highlight w:val="none"/>
        </w:rPr>
      </w:pPr>
    </w:p>
    <w:p w14:paraId="0CAB4863">
      <w:pPr>
        <w:tabs>
          <w:tab w:val="left" w:pos="0"/>
        </w:tabs>
        <w:spacing w:line="360" w:lineRule="auto"/>
        <w:ind w:left="-17" w:left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4.4 台阶或平台等不均匀沉降</w:t>
      </w:r>
    </w:p>
    <w:p w14:paraId="7D4B6EE4">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4.4.1 建筑周边容易产生沉降;管线集中部位，容易产生沉降；冻土回填，化冻后容易产生沉降； 橡皮土:填土受夯打(碾压)后，基土发生颤动，受夯击(碾压)处下陷，四周鼓起，形成软塑状态，而体积并没有压缩，人踩上去有一种颤动感觉。在人工填土地基内，成片出现这种橡皮土(又称弹簧土)，将使地基的承载力降低，变形加大，地基长时间不能得到稳定。</w:t>
      </w:r>
    </w:p>
    <w:p w14:paraId="61C2201A">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4.4.2 建筑周边采用分层夯实法，并做环岛取样实验后，方进行下道工序施工，如果有灰空间，将灰空间采用砌筑的方式进行封堵后回填,如果建筑周边回填采用分层夯实法难以操作，可采用灌砂法，并用水撼，直至回填土密实度达到要求；管线集中区域，管线在回填时可回填砂或灰土，管线施工应先回填—夯实—开挖—回填，不可先施工管线后直接回填；回填土、夯(压)实填土时，应适当控制填土的含水量，工地简单检验，一般以手握成团，落地开花为宜。填方区如有地表水时，应设排水沟排走；有地下水应降低至基底0．5m以下；橡皮土，用干土、石灰粉、碎砖等吸水材料均匀掺入橡皮土中，吸收土中水分，降低土的含水量；将橡皮土翻松、晾晒、风干至最优含水量范围，再夯(压)实；将橡皮土挖除，采取换土回填夯(压)实，或填以3：7灰土、级配砂石夯(压)实。其他还可考虑打桩植筋等方法；</w:t>
      </w:r>
    </w:p>
    <w:p w14:paraId="7D138F0D">
      <w:pPr>
        <w:tabs>
          <w:tab w:val="left" w:pos="0"/>
        </w:tabs>
        <w:spacing w:line="360" w:lineRule="auto"/>
        <w:ind w:left="0" w:firstLine="0" w:firstLineChars="0"/>
        <w:jc w:val="left"/>
        <w:rPr>
          <w:rFonts w:ascii="宋体" w:hAnsi="宋体" w:eastAsia="宋体" w:cs="宋体"/>
          <w:color w:val="auto"/>
          <w:sz w:val="24"/>
          <w:highlight w:val="none"/>
        </w:rPr>
      </w:pPr>
    </w:p>
    <w:p w14:paraId="7F066E36">
      <w:pPr>
        <w:tabs>
          <w:tab w:val="left" w:pos="0"/>
        </w:tabs>
        <w:spacing w:line="360" w:lineRule="auto"/>
        <w:ind w:left="-17" w:left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4.5 水景渗漏、防水不当等——主要分为柔性防水渗漏、刚性防水渗漏、石材间隙漏水等；</w:t>
      </w:r>
    </w:p>
    <w:p w14:paraId="31901CC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4.5.1 对柔性防水漏水的管控建议主要有：</w:t>
      </w:r>
    </w:p>
    <w:p w14:paraId="715068F9">
      <w:pPr>
        <w:numPr>
          <w:ilvl w:val="0"/>
          <w:numId w:val="1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选用较好的防水卷材，并对进场卷材进行严格签收、确认，以防施工单位偷梁换柱；</w:t>
      </w:r>
    </w:p>
    <w:p w14:paraId="0F678D91">
      <w:pPr>
        <w:numPr>
          <w:ilvl w:val="0"/>
          <w:numId w:val="1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严格控制施工工序，卷材一定需满烤满粘，卷材施工完后严格检查是否空谷，确认无空谷后在做防水保护层；</w:t>
      </w:r>
    </w:p>
    <w:p w14:paraId="6E3EECC4">
      <w:pPr>
        <w:numPr>
          <w:ilvl w:val="0"/>
          <w:numId w:val="1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水景完成后，条件允许建议做72小时闭水实验；</w:t>
      </w:r>
    </w:p>
    <w:p w14:paraId="26CC599B">
      <w:pPr>
        <w:numPr>
          <w:ilvl w:val="0"/>
          <w:numId w:val="1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对水景基础进行严格把关。</w:t>
      </w:r>
    </w:p>
    <w:p w14:paraId="0B5C755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4.5.2 对刚性防水漏水的管控建议主要有：</w:t>
      </w:r>
    </w:p>
    <w:p w14:paraId="01BD2173">
      <w:pPr>
        <w:numPr>
          <w:ilvl w:val="0"/>
          <w:numId w:val="11"/>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选用较好的防水涂料，防水涂料干后需要有一定的韧性；</w:t>
      </w:r>
    </w:p>
    <w:p w14:paraId="3E285EA9">
      <w:pPr>
        <w:numPr>
          <w:ilvl w:val="0"/>
          <w:numId w:val="11"/>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严格控制施工工序，防水涂料一般至少需涂刷3遍以上，尤其在锐角或转弯处需仔细涂刷，以免留下死角；</w:t>
      </w:r>
    </w:p>
    <w:p w14:paraId="0D54018A">
      <w:pPr>
        <w:numPr>
          <w:ilvl w:val="0"/>
          <w:numId w:val="11"/>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水景完成后，条件允许建议做72小时闭水实验；</w:t>
      </w:r>
    </w:p>
    <w:p w14:paraId="6D05D5A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4.5.3 对石材间隙漏水的管控建议主要有：</w:t>
      </w:r>
    </w:p>
    <w:p w14:paraId="6BFE27FA">
      <w:pPr>
        <w:numPr>
          <w:ilvl w:val="0"/>
          <w:numId w:val="12"/>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水景内选用质地较密实的石材；</w:t>
      </w:r>
    </w:p>
    <w:p w14:paraId="2E914209">
      <w:pPr>
        <w:numPr>
          <w:ilvl w:val="0"/>
          <w:numId w:val="12"/>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水景区域一定采用防水砂浆进行砌筑;</w:t>
      </w:r>
    </w:p>
    <w:p w14:paraId="6D56E6AE">
      <w:pPr>
        <w:tabs>
          <w:tab w:val="left" w:pos="0"/>
        </w:tabs>
        <w:spacing w:line="360" w:lineRule="auto"/>
        <w:ind w:left="0" w:firstLine="0" w:firstLineChars="0"/>
        <w:jc w:val="left"/>
        <w:rPr>
          <w:rFonts w:ascii="宋体" w:hAnsi="宋体" w:eastAsia="宋体" w:cs="宋体"/>
          <w:b/>
          <w:color w:val="auto"/>
          <w:sz w:val="24"/>
          <w:highlight w:val="none"/>
        </w:rPr>
      </w:pPr>
      <w:r>
        <w:rPr>
          <w:rFonts w:hint="eastAsia" w:ascii="宋体" w:hAnsi="宋体" w:eastAsia="宋体" w:cs="宋体"/>
          <w:b/>
          <w:color w:val="auto"/>
          <w:sz w:val="24"/>
          <w:highlight w:val="none"/>
        </w:rPr>
        <w:t>4.6 车库顶部施工工艺不到位</w:t>
      </w:r>
    </w:p>
    <w:p w14:paraId="7758046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4.6.1分类：</w:t>
      </w:r>
    </w:p>
    <w:p w14:paraId="57567779">
      <w:pPr>
        <w:numPr>
          <w:ilvl w:val="0"/>
          <w:numId w:val="1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排水不畅，导致场地积水或植物积水死亡</w:t>
      </w:r>
    </w:p>
    <w:p w14:paraId="34D43479">
      <w:pPr>
        <w:numPr>
          <w:ilvl w:val="0"/>
          <w:numId w:val="1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覆土厚度不足，导致植物无法栽植或地形有缺陷。</w:t>
      </w:r>
    </w:p>
    <w:p w14:paraId="78F57CF4">
      <w:pPr>
        <w:numPr>
          <w:ilvl w:val="0"/>
          <w:numId w:val="1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防水层破坏，导致绿化施工无法进行，工序反复。</w:t>
      </w:r>
    </w:p>
    <w:p w14:paraId="2AD2EE5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4.6.2 问题分析：</w:t>
      </w:r>
    </w:p>
    <w:p w14:paraId="2796A71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1）排水不畅</w:t>
      </w:r>
    </w:p>
    <w:p w14:paraId="1811BC78">
      <w:pPr>
        <w:numPr>
          <w:ilvl w:val="0"/>
          <w:numId w:val="14"/>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车库顶板排水坡度不合理。</w:t>
      </w:r>
    </w:p>
    <w:p w14:paraId="32758194">
      <w:pPr>
        <w:numPr>
          <w:ilvl w:val="0"/>
          <w:numId w:val="14"/>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土壤质量不合格，渗水性很差。</w:t>
      </w:r>
    </w:p>
    <w:p w14:paraId="4C61EF36">
      <w:pPr>
        <w:numPr>
          <w:ilvl w:val="0"/>
          <w:numId w:val="14"/>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个别地方密实度太高，导致渗水不畅。</w:t>
      </w:r>
    </w:p>
    <w:p w14:paraId="349BA24D">
      <w:pPr>
        <w:numPr>
          <w:ilvl w:val="0"/>
          <w:numId w:val="14"/>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排水层材料选择不当。</w:t>
      </w:r>
    </w:p>
    <w:p w14:paraId="70E0818D">
      <w:pPr>
        <w:numPr>
          <w:ilvl w:val="0"/>
          <w:numId w:val="14"/>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施工细节控制不严格导致排水不畅。</w:t>
      </w:r>
    </w:p>
    <w:p w14:paraId="0775C0B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2）防水层破坏</w:t>
      </w:r>
    </w:p>
    <w:p w14:paraId="6DDEFF37">
      <w:pPr>
        <w:numPr>
          <w:ilvl w:val="0"/>
          <w:numId w:val="15"/>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顶板覆土时，施工组织及保护措施不当，导致顶板防水被破坏。</w:t>
      </w:r>
    </w:p>
    <w:p w14:paraId="14D319C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3）覆土厚度不足</w:t>
      </w:r>
    </w:p>
    <w:p w14:paraId="53ADD7A9">
      <w:pPr>
        <w:numPr>
          <w:ilvl w:val="0"/>
          <w:numId w:val="16"/>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车库顶板荷载不足，导致土层厚度不足。</w:t>
      </w:r>
    </w:p>
    <w:p w14:paraId="2E9A93E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4.6.3 解决措施：</w:t>
      </w:r>
    </w:p>
    <w:p w14:paraId="0E583BAB">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1）排水不畅</w:t>
      </w:r>
    </w:p>
    <w:p w14:paraId="5231A927">
      <w:pPr>
        <w:numPr>
          <w:ilvl w:val="0"/>
          <w:numId w:val="17"/>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车库顶板排水坡度建议为1%，最小不能低于0.5%。</w:t>
      </w:r>
    </w:p>
    <w:p w14:paraId="02950A0C">
      <w:pPr>
        <w:numPr>
          <w:ilvl w:val="0"/>
          <w:numId w:val="17"/>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面积较大的车库顶板建议采用150毫米厚的石子或陶粒，上覆土工布，土工布搭接不小于100毫米。土工布边界与建筑、管线等交接处，土工布应上翻。</w:t>
      </w:r>
    </w:p>
    <w:p w14:paraId="20C4D017">
      <w:pPr>
        <w:numPr>
          <w:ilvl w:val="0"/>
          <w:numId w:val="17"/>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土壤应该保证渗水性和通气性良好，不能使用粘土或亚粘土。</w:t>
      </w:r>
    </w:p>
    <w:p w14:paraId="776CE891">
      <w:pPr>
        <w:numPr>
          <w:ilvl w:val="0"/>
          <w:numId w:val="17"/>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对于回填土为粘性较大的，可以在栽植时可以从排水层以上进行树穴换土。在北方可以通过冬季灌水措施降低粘性。</w:t>
      </w:r>
    </w:p>
    <w:p w14:paraId="37751862">
      <w:pPr>
        <w:numPr>
          <w:ilvl w:val="0"/>
          <w:numId w:val="17"/>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部分地形低洼易积水的绿化区域可以增加盲管、地漏和雨水口等。</w:t>
      </w:r>
    </w:p>
    <w:p w14:paraId="5EE1643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2）防水层破坏（详见管控建议）</w:t>
      </w:r>
    </w:p>
    <w:p w14:paraId="5DCD636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3）覆土厚度不足</w:t>
      </w:r>
    </w:p>
    <w:p w14:paraId="40472DA8">
      <w:pPr>
        <w:numPr>
          <w:ilvl w:val="0"/>
          <w:numId w:val="18"/>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建筑设计时，景观根据地形、种植等要求提前车库顶板特定区域荷载加大。</w:t>
      </w:r>
    </w:p>
    <w:p w14:paraId="2A76D88B">
      <w:pPr>
        <w:numPr>
          <w:ilvl w:val="0"/>
          <w:numId w:val="18"/>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如车库顶板荷载一定，可是使用架空层、苯板、炉渣或其他轻质回填土减轻荷载，达到要求覆土标高。</w:t>
      </w:r>
    </w:p>
    <w:p w14:paraId="5E9CF87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4.6.4 管控建议：</w:t>
      </w:r>
    </w:p>
    <w:p w14:paraId="709A66B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1）提前对土源土质进行化验，回填时可对土源进行突击检查。对于不合格的回填土，坚决退场。</w:t>
      </w:r>
    </w:p>
    <w:p w14:paraId="3D08D01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2）回填时，应该禁止大型车辆在车库顶板上行驶。回填排水层时，由小型车辆从回填区域尽头到回填通道入口，从里往外的倒序回填。回填种植土时，应该从回填通道入口到区域尽头，从外往里的正序回填。</w:t>
      </w:r>
    </w:p>
    <w:p w14:paraId="5100F01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车库顶板回填夯实难以操作。回填时，要进行分层夯实，一般每层厚度为300~500毫米厚。车辆行驶路线应与硬景道路路线尽量相符，硬景区域密实度应达到90%以上，软景区域进行适当夯实，密实度为85%左右便可。对于肥槽或灰空间区域，可采用水沉。</w:t>
      </w:r>
    </w:p>
    <w:p w14:paraId="6ADBE3E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4）施工时，应该严格把控轻质材料回填细节。</w:t>
      </w:r>
    </w:p>
    <w:p w14:paraId="1298E1A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5）回填时，应该协调好建筑外立面与管线等相关工序，避免出现反复。</w:t>
      </w:r>
    </w:p>
    <w:p w14:paraId="49A13211">
      <w:pPr>
        <w:tabs>
          <w:tab w:val="left" w:pos="0"/>
        </w:tabs>
        <w:spacing w:line="360" w:lineRule="auto"/>
        <w:ind w:left="17" w:hanging="16" w:hangingChars="7"/>
        <w:jc w:val="left"/>
        <w:rPr>
          <w:rFonts w:ascii="宋体" w:hAnsi="宋体" w:eastAsia="宋体" w:cs="宋体"/>
          <w:color w:val="auto"/>
          <w:sz w:val="24"/>
          <w:highlight w:val="none"/>
        </w:rPr>
      </w:pPr>
    </w:p>
    <w:p w14:paraId="15B6A86C">
      <w:pPr>
        <w:tabs>
          <w:tab w:val="left" w:pos="0"/>
        </w:tabs>
        <w:spacing w:line="360" w:lineRule="auto"/>
        <w:ind w:left="17" w:hanging="17" w:hangingChars="7"/>
        <w:jc w:val="left"/>
        <w:outlineLvl w:val="0"/>
        <w:rPr>
          <w:rFonts w:ascii="宋体" w:hAnsi="宋体" w:eastAsia="宋体" w:cs="宋体"/>
          <w:b/>
          <w:color w:val="auto"/>
          <w:sz w:val="24"/>
          <w:highlight w:val="none"/>
        </w:rPr>
      </w:pPr>
      <w:r>
        <w:rPr>
          <w:rFonts w:hint="eastAsia" w:ascii="宋体" w:hAnsi="宋体" w:eastAsia="宋体" w:cs="宋体"/>
          <w:b/>
          <w:color w:val="auto"/>
          <w:sz w:val="24"/>
          <w:highlight w:val="none"/>
        </w:rPr>
        <w:t>4.7 草坪精致程度不佳</w:t>
      </w:r>
    </w:p>
    <w:p w14:paraId="09D7BD9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bCs/>
          <w:color w:val="auto"/>
          <w:sz w:val="24"/>
          <w:highlight w:val="none"/>
        </w:rPr>
        <w:t xml:space="preserve">4.7.1 </w:t>
      </w:r>
      <w:r>
        <w:rPr>
          <w:rFonts w:hint="eastAsia" w:ascii="宋体" w:hAnsi="宋体" w:eastAsia="宋体" w:cs="宋体"/>
          <w:b/>
          <w:color w:val="auto"/>
          <w:sz w:val="24"/>
          <w:highlight w:val="none"/>
        </w:rPr>
        <w:t>问题分类</w:t>
      </w:r>
      <w:r>
        <w:rPr>
          <w:rFonts w:hint="eastAsia" w:ascii="宋体" w:hAnsi="宋体" w:eastAsia="宋体" w:cs="宋体"/>
          <w:bCs/>
          <w:color w:val="auto"/>
          <w:sz w:val="24"/>
          <w:highlight w:val="none"/>
        </w:rPr>
        <w:t>：草坪病害:①变</w:t>
      </w:r>
      <w:r>
        <w:rPr>
          <w:rFonts w:hint="eastAsia" w:ascii="宋体" w:hAnsi="宋体" w:eastAsia="宋体" w:cs="宋体"/>
          <w:color w:val="auto"/>
          <w:sz w:val="24"/>
          <w:highlight w:val="none"/>
        </w:rPr>
        <w:t>色;②坏死;③腐烂;④萎蔫;⑤畸形 </w:t>
      </w:r>
    </w:p>
    <w:p w14:paraId="128AAC9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4.7.2 </w:t>
      </w:r>
      <w:r>
        <w:rPr>
          <w:rFonts w:hint="eastAsia" w:ascii="宋体" w:hAnsi="宋体" w:eastAsia="宋体" w:cs="宋体"/>
          <w:b/>
          <w:bCs/>
          <w:color w:val="auto"/>
          <w:sz w:val="24"/>
          <w:highlight w:val="none"/>
        </w:rPr>
        <w:t>原因分析</w:t>
      </w:r>
      <w:r>
        <w:rPr>
          <w:rFonts w:hint="eastAsia" w:ascii="宋体" w:hAnsi="宋体" w:eastAsia="宋体" w:cs="宋体"/>
          <w:color w:val="auto"/>
          <w:sz w:val="24"/>
          <w:highlight w:val="none"/>
        </w:rPr>
        <w:t>：</w:t>
      </w:r>
    </w:p>
    <w:p w14:paraId="310E22C6">
      <w:pPr>
        <w:tabs>
          <w:tab w:val="left" w:pos="0"/>
        </w:tabs>
        <w:spacing w:line="360" w:lineRule="auto"/>
        <w:ind w:left="17" w:hanging="16" w:hangingChars="7"/>
        <w:jc w:val="left"/>
        <w:rPr>
          <w:rFonts w:ascii="宋体" w:hAnsi="宋体" w:eastAsia="宋体" w:cs="宋体"/>
          <w:b/>
          <w:color w:val="auto"/>
          <w:sz w:val="24"/>
          <w:highlight w:val="none"/>
        </w:rPr>
      </w:pPr>
      <w:r>
        <w:rPr>
          <w:rFonts w:hint="eastAsia" w:ascii="宋体" w:hAnsi="宋体" w:eastAsia="宋体" w:cs="宋体"/>
          <w:color w:val="auto"/>
          <w:sz w:val="24"/>
          <w:highlight w:val="none"/>
        </w:rPr>
        <w:t>1）施工因素</w:t>
      </w:r>
    </w:p>
    <w:p w14:paraId="26245D9A">
      <w:pPr>
        <w:numPr>
          <w:ilvl w:val="0"/>
          <w:numId w:val="19"/>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草坪边缘与硬质接合处硬质基础处理不到位，覆土深度不足，造成草坪生长势弱或枯黄。</w:t>
      </w:r>
    </w:p>
    <w:p w14:paraId="04B0CE38">
      <w:pPr>
        <w:numPr>
          <w:ilvl w:val="0"/>
          <w:numId w:val="19"/>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草种配比混合不匀，草质和草色出现不匀。</w:t>
      </w:r>
    </w:p>
    <w:p w14:paraId="28643DA1">
      <w:pPr>
        <w:numPr>
          <w:ilvl w:val="0"/>
          <w:numId w:val="19"/>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土壤基质不均，肥力不匀，造成草坪生长势不匀，色泽表现不一。</w:t>
      </w:r>
    </w:p>
    <w:p w14:paraId="4311CC10">
      <w:pPr>
        <w:numPr>
          <w:ilvl w:val="0"/>
          <w:numId w:val="19"/>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种植土浇水后沉降不匀</w:t>
      </w:r>
    </w:p>
    <w:p w14:paraId="5A8E51B6">
      <w:pPr>
        <w:numPr>
          <w:ilvl w:val="0"/>
          <w:numId w:val="19"/>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草坪露土</w:t>
      </w:r>
    </w:p>
    <w:p w14:paraId="40845499">
      <w:pPr>
        <w:numPr>
          <w:ilvl w:val="0"/>
          <w:numId w:val="19"/>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草坪积水</w:t>
      </w:r>
    </w:p>
    <w:p w14:paraId="3A8959B9">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Cs/>
          <w:color w:val="auto"/>
          <w:sz w:val="24"/>
          <w:highlight w:val="none"/>
        </w:rPr>
        <w:t>养护因素：</w:t>
      </w:r>
    </w:p>
    <w:p w14:paraId="7A8D8D7D">
      <w:pPr>
        <w:numPr>
          <w:ilvl w:val="0"/>
          <w:numId w:val="2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踩踏及挤轧时造成草坪出现斑秃；</w:t>
      </w:r>
    </w:p>
    <w:p w14:paraId="58D183C4">
      <w:pPr>
        <w:numPr>
          <w:ilvl w:val="0"/>
          <w:numId w:val="2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浇透水后，踩踏造成不平； </w:t>
      </w:r>
    </w:p>
    <w:p w14:paraId="140C46C2">
      <w:pPr>
        <w:numPr>
          <w:ilvl w:val="0"/>
          <w:numId w:val="2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草坪修剪高度控制偏差出现剪秃或倒伏霉烂发生（冷季型草长长了就会倒伏，下面的叶片会霉烂）；</w:t>
      </w:r>
    </w:p>
    <w:p w14:paraId="7A59B7B6">
      <w:pPr>
        <w:numPr>
          <w:ilvl w:val="0"/>
          <w:numId w:val="2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污水等污染至草坪出现死亡；</w:t>
      </w:r>
    </w:p>
    <w:p w14:paraId="2987E054">
      <w:pPr>
        <w:numPr>
          <w:ilvl w:val="0"/>
          <w:numId w:val="2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施肥等不匀，造成长势不均；</w:t>
      </w:r>
    </w:p>
    <w:p w14:paraId="113B7107">
      <w:pPr>
        <w:numPr>
          <w:ilvl w:val="0"/>
          <w:numId w:val="20"/>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杂草控制不利，草坪上有杂物，造成草坪表现不佳。</w:t>
      </w:r>
    </w:p>
    <w:p w14:paraId="74C73BE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4.7.3 </w:t>
      </w:r>
      <w:r>
        <w:rPr>
          <w:rFonts w:hint="eastAsia" w:ascii="宋体" w:hAnsi="宋体" w:eastAsia="宋体" w:cs="宋体"/>
          <w:b/>
          <w:bCs/>
          <w:color w:val="auto"/>
          <w:sz w:val="24"/>
          <w:highlight w:val="none"/>
        </w:rPr>
        <w:t>解决方案</w:t>
      </w:r>
      <w:r>
        <w:rPr>
          <w:rFonts w:hint="eastAsia" w:ascii="宋体" w:hAnsi="宋体" w:eastAsia="宋体" w:cs="宋体"/>
          <w:color w:val="auto"/>
          <w:sz w:val="24"/>
          <w:highlight w:val="none"/>
        </w:rPr>
        <w:t>：请在投标时针对以上问题对土地整形、草坪施工与养护上报详细施工方案；</w:t>
      </w:r>
    </w:p>
    <w:p w14:paraId="1B88F7EF">
      <w:pPr>
        <w:tabs>
          <w:tab w:val="left" w:pos="0"/>
        </w:tabs>
        <w:spacing w:line="360" w:lineRule="auto"/>
        <w:ind w:left="17" w:hanging="16" w:hangingChars="7"/>
        <w:jc w:val="left"/>
        <w:rPr>
          <w:rFonts w:ascii="宋体" w:hAnsi="宋体" w:eastAsia="宋体" w:cs="宋体"/>
          <w:color w:val="auto"/>
          <w:sz w:val="24"/>
          <w:highlight w:val="none"/>
        </w:rPr>
      </w:pPr>
    </w:p>
    <w:p w14:paraId="0310BA61">
      <w:pPr>
        <w:pStyle w:val="3"/>
        <w:spacing w:before="0" w:after="0" w:line="360" w:lineRule="auto"/>
        <w:jc w:val="left"/>
        <w:rPr>
          <w:rFonts w:ascii="宋体" w:hAnsi="宋体" w:eastAsia="宋体" w:cs="宋体"/>
          <w:bCs w:val="0"/>
          <w:color w:val="auto"/>
          <w:kern w:val="2"/>
          <w:sz w:val="24"/>
          <w:szCs w:val="24"/>
          <w:highlight w:val="none"/>
        </w:rPr>
      </w:pPr>
      <w:r>
        <w:rPr>
          <w:rFonts w:hint="eastAsia" w:ascii="宋体" w:hAnsi="宋体" w:eastAsia="宋体" w:cs="宋体"/>
          <w:bCs w:val="0"/>
          <w:color w:val="auto"/>
          <w:kern w:val="2"/>
          <w:sz w:val="24"/>
          <w:szCs w:val="24"/>
          <w:highlight w:val="none"/>
        </w:rPr>
        <w:t>4.8 水景精度与效果不佳</w:t>
      </w:r>
    </w:p>
    <w:p w14:paraId="0754ED8D">
      <w:pPr>
        <w:pStyle w:val="96"/>
        <w:tabs>
          <w:tab w:val="left" w:pos="0"/>
          <w:tab w:val="clear" w:pos="576"/>
        </w:tabs>
        <w:ind w:left="17" w:hanging="16" w:hangingChars="7"/>
        <w:jc w:val="left"/>
        <w:rPr>
          <w:rFonts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 xml:space="preserve">4.8.1 </w:t>
      </w:r>
      <w:r>
        <w:rPr>
          <w:rFonts w:hint="eastAsia" w:ascii="宋体" w:hAnsi="宋体" w:eastAsia="宋体" w:cs="宋体"/>
          <w:color w:val="auto"/>
          <w:sz w:val="24"/>
          <w:szCs w:val="24"/>
          <w:highlight w:val="none"/>
        </w:rPr>
        <w:t>问题分类</w:t>
      </w:r>
    </w:p>
    <w:p w14:paraId="783573DB">
      <w:pPr>
        <w:pStyle w:val="5"/>
        <w:keepLines/>
        <w:tabs>
          <w:tab w:val="clear" w:pos="360"/>
        </w:tabs>
        <w:adjustRightInd/>
        <w:spacing w:line="360" w:lineRule="auto"/>
        <w:ind w:left="17" w:hanging="17" w:hangingChars="7"/>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溢水面不平、局部无水溢出、溢水不均匀、喷水高度、围度不一致、排水沟设置不合理、出水头管线暴露</w:t>
      </w:r>
    </w:p>
    <w:p w14:paraId="0F3FA945">
      <w:pPr>
        <w:pStyle w:val="96"/>
        <w:tabs>
          <w:tab w:val="left" w:pos="0"/>
          <w:tab w:val="clear" w:pos="576"/>
        </w:tabs>
        <w:ind w:left="17" w:hanging="16" w:hangingChars="7"/>
        <w:jc w:val="left"/>
        <w:rPr>
          <w:rFonts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 xml:space="preserve">4.8.2 </w:t>
      </w:r>
      <w:r>
        <w:rPr>
          <w:rFonts w:hint="eastAsia" w:ascii="宋体" w:hAnsi="宋体" w:eastAsia="宋体" w:cs="宋体"/>
          <w:color w:val="auto"/>
          <w:sz w:val="24"/>
          <w:szCs w:val="24"/>
          <w:highlight w:val="none"/>
        </w:rPr>
        <w:t>解决措施</w:t>
      </w:r>
    </w:p>
    <w:p w14:paraId="6B7ECB39">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1）严格控制水景结构和面层施工质量，在施工过程中用红外线水准仪控制水平精度；</w:t>
      </w:r>
    </w:p>
    <w:p w14:paraId="2E5328B9">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2）充分考虑水景的排水要求，避免一味追求效果而忽视功能要求；</w:t>
      </w:r>
    </w:p>
    <w:p w14:paraId="5AE2D8D2">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3）控制水帘的供水流量。水帘的出水厚度达至7~8cm能达到水面不断，达到镜面式水帘效果；若大于8cm就产生瀑布式水帘效果，若小于7cm就产生小雨式水帘效果；</w:t>
      </w:r>
    </w:p>
    <w:p w14:paraId="6130F413">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4）溢水面开设槽口，引导水流，可降低施工难度，保证水景效果；</w:t>
      </w:r>
    </w:p>
    <w:p w14:paraId="2AB2D539">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喷头须专业人员调试；</w:t>
      </w:r>
    </w:p>
    <w:p w14:paraId="793B828B">
      <w:pPr>
        <w:pStyle w:val="96"/>
        <w:tabs>
          <w:tab w:val="left" w:pos="0"/>
          <w:tab w:val="clear" w:pos="576"/>
        </w:tabs>
        <w:ind w:left="17" w:hanging="16" w:hangingChars="7"/>
        <w:jc w:val="left"/>
        <w:rPr>
          <w:rFonts w:ascii="宋体" w:hAnsi="宋体" w:eastAsia="宋体" w:cs="宋体"/>
          <w:color w:val="auto"/>
          <w:sz w:val="24"/>
          <w:szCs w:val="24"/>
          <w:highlight w:val="none"/>
        </w:rPr>
      </w:pPr>
      <w:r>
        <w:rPr>
          <w:rFonts w:hint="eastAsia" w:ascii="宋体" w:hAnsi="宋体" w:eastAsia="宋体" w:cs="宋体"/>
          <w:b w:val="0"/>
          <w:color w:val="auto"/>
          <w:sz w:val="24"/>
          <w:szCs w:val="24"/>
          <w:highlight w:val="none"/>
        </w:rPr>
        <w:t xml:space="preserve">4.8.3 </w:t>
      </w:r>
      <w:r>
        <w:rPr>
          <w:rFonts w:hint="eastAsia" w:ascii="宋体" w:hAnsi="宋体" w:eastAsia="宋体" w:cs="宋体"/>
          <w:color w:val="auto"/>
          <w:sz w:val="24"/>
          <w:szCs w:val="24"/>
          <w:highlight w:val="none"/>
        </w:rPr>
        <w:t>管控建议</w:t>
      </w:r>
    </w:p>
    <w:p w14:paraId="05297807">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1）水景石材铺贴前，要求并监督施工单位对操作工人进行技术交底，明确溢水面石材铺贴的施工要求及验收标准；</w:t>
      </w:r>
    </w:p>
    <w:p w14:paraId="57E8B64A">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2）铺贴过程中，全程跟踪检查，不符合要求立即返工，确保每一块铺贴石材完成面符合要求；</w:t>
      </w:r>
    </w:p>
    <w:p w14:paraId="2105FE51">
      <w:pPr>
        <w:tabs>
          <w:tab w:val="left" w:pos="0"/>
        </w:tabs>
        <w:autoSpaceDE w:val="0"/>
        <w:autoSpaceDN w:val="0"/>
        <w:adjustRightInd w:val="0"/>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3）喷头选择：一般水膜喷头的抗风性较差，不宜在室外有风的场合使用；而射吸式喷头如雪松或涌泉对水位变化较为敏感，使用时不但要注意水位变化，还要在池体设计上有相应的抑制波浪的措施，如设置较长的溢流堰或水下挡浪墙。</w:t>
      </w:r>
    </w:p>
    <w:p w14:paraId="489B2B5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kern w:val="0"/>
          <w:sz w:val="24"/>
          <w:highlight w:val="none"/>
        </w:rPr>
        <w:t>4）</w:t>
      </w:r>
      <w:r>
        <w:rPr>
          <w:rFonts w:hint="eastAsia" w:ascii="宋体" w:hAnsi="宋体" w:eastAsia="宋体" w:cs="宋体"/>
          <w:color w:val="auto"/>
          <w:sz w:val="24"/>
          <w:highlight w:val="none"/>
        </w:rPr>
        <w:t>深化设计阶段需考虑水景喷头效果，特别是注意管线的隐藏，并绘制节点；</w:t>
      </w:r>
    </w:p>
    <w:p w14:paraId="10AF43E3">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4.9 施工单位成品保护义务以及内外协调</w:t>
      </w:r>
    </w:p>
    <w:p w14:paraId="7B4F47BD">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4.9.1 现场施工区域在移交后即由施工单位进行管理，在保留为其它必要工程的施工通道外由景观施工单位进行组织管理</w:t>
      </w:r>
    </w:p>
    <w:p w14:paraId="1BE0CDFD">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1）对已完成铺设和植栽的区域应用围挡措施，防止车辆或其它工人的破坏。</w:t>
      </w:r>
    </w:p>
    <w:p w14:paraId="5134ECD6">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2）设专人对已完成的作业面进行看护。</w:t>
      </w:r>
    </w:p>
    <w:p w14:paraId="76580B33">
      <w:pPr>
        <w:tabs>
          <w:tab w:val="left" w:pos="0"/>
        </w:tabs>
        <w:spacing w:line="360" w:lineRule="auto"/>
        <w:ind w:left="17" w:hanging="16" w:hangingChars="7"/>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4.9.2 在未竣工验收前，施工单位对自身施工成果均具有保护义务，并需协调好与其他施工单位之间的关系。</w:t>
      </w:r>
    </w:p>
    <w:p w14:paraId="23A732C5">
      <w:pPr>
        <w:tabs>
          <w:tab w:val="left" w:pos="0"/>
        </w:tabs>
        <w:spacing w:line="360" w:lineRule="auto"/>
        <w:ind w:left="17" w:hanging="17" w:hangingChars="7"/>
        <w:jc w:val="left"/>
        <w:rPr>
          <w:rFonts w:ascii="宋体" w:hAnsi="宋体" w:eastAsia="宋体" w:cs="宋体"/>
          <w:color w:val="auto"/>
          <w:kern w:val="0"/>
          <w:sz w:val="24"/>
          <w:highlight w:val="none"/>
        </w:rPr>
      </w:pPr>
      <w:r>
        <w:rPr>
          <w:rFonts w:hint="eastAsia" w:ascii="宋体" w:hAnsi="宋体" w:eastAsia="宋体" w:cs="宋体"/>
          <w:b/>
          <w:color w:val="auto"/>
          <w:kern w:val="0"/>
          <w:sz w:val="24"/>
          <w:highlight w:val="none"/>
        </w:rPr>
        <w:t>B、一般项目</w:t>
      </w:r>
    </w:p>
    <w:p w14:paraId="4088CBFE">
      <w:pPr>
        <w:numPr>
          <w:ilvl w:val="0"/>
          <w:numId w:val="21"/>
        </w:num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施工单位必须严格按照施工图进行施工，不得随意更改、变更施工设计内容。</w:t>
      </w:r>
    </w:p>
    <w:p w14:paraId="180A54AA">
      <w:pPr>
        <w:numPr>
          <w:ilvl w:val="0"/>
          <w:numId w:val="21"/>
        </w:num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本工程实行施工样板管理，包括所有重点的部位、大面积区域、关键的节点、装饰面材、新材料、新工艺的应用等。在大面积施工前，施工单位必须按照设计、规范要求制作工作样板，由甲方、监理批准后方可继续实施施工——强调项目已有详细说明。</w:t>
      </w:r>
    </w:p>
    <w:p w14:paraId="7570CC26">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3、在施工过程中，施工单位必须严格按照施工图进行定点放线工作，并予以自检，然后报甲方及监理进行审核。甲方及监理确定无误后，施工单位方可进入下一道工序。</w:t>
      </w:r>
    </w:p>
    <w:p w14:paraId="20F7CC4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地面铺地材料在进行大面积施工前，施工单位必须预先按设计要求做好现场排版工作，要求规整平直、弧线圆滑，沟缝间隙均匀，拼缝美观。排版完成后，经甲方及监理认同后方可正式铺贴。地面铺贴质量要求：</w:t>
      </w:r>
    </w:p>
    <w:p w14:paraId="5ADCF9A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1 \* GB3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①</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各层的坡度、厚度、标高和平整度应符合设计要求。</w:t>
      </w:r>
    </w:p>
    <w:p w14:paraId="15AB53C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2 \* GB3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②</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各层的强度和密实度应符合设计要求，上下层结合应牢固。</w:t>
      </w:r>
    </w:p>
    <w:p w14:paraId="3A381AF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3 \* GB3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③</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变形缝的宽度和位置、块材间缝隙的大小，以及填缝的质量等应符合要求。</w:t>
      </w:r>
    </w:p>
    <w:p w14:paraId="29DE52E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4 \* GB3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④</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不同类型面层的结合以及图案正确。</w:t>
      </w:r>
    </w:p>
    <w:p w14:paraId="0C779B2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5 \* GB3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⑤</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各层表面对水平面或对设计坡度的允许偏差，不应大于15mm。供排除液体用的带有坡度的面层应作泼水试验，以能排除液体为合格。</w:t>
      </w:r>
    </w:p>
    <w:p w14:paraId="090F490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⑥　面层不应有裂纹、脱皮、麻面和起砂等现象。</w:t>
      </w:r>
    </w:p>
    <w:p w14:paraId="00969E3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⑦　各层厚度对设计厚度的偏差，在个别地方偏差不得大于该厚度的10％。</w:t>
      </w:r>
    </w:p>
    <w:p w14:paraId="59F9D1DE">
      <w:pPr>
        <w:numPr>
          <w:ilvl w:val="1"/>
          <w:numId w:val="6"/>
        </w:numPr>
        <w:tabs>
          <w:tab w:val="left" w:pos="0"/>
          <w:tab w:val="clear" w:pos="105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板块地面工程的允许偏差：</w:t>
      </w:r>
    </w:p>
    <w:p w14:paraId="6181B6B3">
      <w:pPr>
        <w:tabs>
          <w:tab w:val="left" w:pos="0"/>
        </w:tabs>
        <w:ind w:left="17" w:hanging="16" w:hangingChars="7"/>
        <w:jc w:val="left"/>
        <w:rPr>
          <w:rFonts w:ascii="宋体" w:hAnsi="宋体" w:eastAsia="宋体" w:cs="宋体"/>
          <w:color w:val="auto"/>
          <w:sz w:val="24"/>
          <w:highlight w:val="none"/>
        </w:rPr>
      </w:pPr>
    </w:p>
    <w:p w14:paraId="459A9BD8">
      <w:pPr>
        <w:tabs>
          <w:tab w:val="left" w:pos="0"/>
        </w:tabs>
        <w:ind w:left="0" w:firstLine="0" w:firstLineChars="0"/>
        <w:jc w:val="left"/>
        <w:rPr>
          <w:rFonts w:ascii="宋体" w:hAnsi="宋体" w:eastAsia="宋体" w:cs="宋体"/>
          <w:color w:val="auto"/>
          <w:sz w:val="24"/>
          <w:highlight w:val="none"/>
        </w:rPr>
      </w:pPr>
    </w:p>
    <w:tbl>
      <w:tblPr>
        <w:tblStyle w:val="45"/>
        <w:tblW w:w="6044" w:type="dxa"/>
        <w:jc w:val="center"/>
        <w:tblCellSpacing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499"/>
        <w:gridCol w:w="1391"/>
        <w:gridCol w:w="437"/>
        <w:gridCol w:w="570"/>
        <w:gridCol w:w="498"/>
        <w:gridCol w:w="390"/>
        <w:gridCol w:w="390"/>
        <w:gridCol w:w="390"/>
        <w:gridCol w:w="390"/>
        <w:gridCol w:w="342"/>
        <w:gridCol w:w="390"/>
        <w:gridCol w:w="357"/>
      </w:tblGrid>
      <w:tr w14:paraId="4B0FA9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454" w:type="dxa"/>
            <w:vMerge w:val="restart"/>
            <w:tcBorders>
              <w:top w:val="outset" w:color="auto" w:sz="6" w:space="0"/>
              <w:left w:val="outset" w:color="auto" w:sz="6" w:space="0"/>
              <w:bottom w:val="outset" w:color="auto" w:sz="6" w:space="0"/>
              <w:right w:val="outset" w:color="auto" w:sz="6" w:space="0"/>
            </w:tcBorders>
            <w:vAlign w:val="center"/>
          </w:tcPr>
          <w:p w14:paraId="678E4EF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项次</w:t>
            </w:r>
          </w:p>
        </w:tc>
        <w:tc>
          <w:tcPr>
            <w:tcW w:w="1361" w:type="dxa"/>
            <w:vMerge w:val="restart"/>
            <w:tcBorders>
              <w:top w:val="outset" w:color="auto" w:sz="6" w:space="0"/>
              <w:left w:val="outset" w:color="auto" w:sz="6" w:space="0"/>
              <w:bottom w:val="outset" w:color="auto" w:sz="6" w:space="0"/>
              <w:right w:val="outset" w:color="auto" w:sz="6" w:space="0"/>
            </w:tcBorders>
            <w:vAlign w:val="center"/>
          </w:tcPr>
          <w:p w14:paraId="6E8642F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4109" w:type="dxa"/>
            <w:gridSpan w:val="10"/>
            <w:tcBorders>
              <w:top w:val="outset" w:color="auto" w:sz="6" w:space="0"/>
              <w:left w:val="outset" w:color="auto" w:sz="6" w:space="0"/>
              <w:bottom w:val="outset" w:color="auto" w:sz="6" w:space="0"/>
              <w:right w:val="outset" w:color="auto" w:sz="6" w:space="0"/>
            </w:tcBorders>
            <w:vAlign w:val="center"/>
          </w:tcPr>
          <w:p w14:paraId="582BDC4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允许偏差（mm）</w:t>
            </w:r>
          </w:p>
        </w:tc>
      </w:tr>
      <w:tr w14:paraId="302A40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225" w:hRule="atLeast"/>
          <w:tblCellSpacing w:w="15" w:type="dxa"/>
          <w:jc w:val="center"/>
        </w:trPr>
        <w:tc>
          <w:tcPr>
            <w:tcW w:w="454" w:type="dxa"/>
            <w:vMerge w:val="continue"/>
            <w:tcBorders>
              <w:top w:val="outset" w:color="auto" w:sz="6" w:space="0"/>
              <w:left w:val="outset" w:color="auto" w:sz="6" w:space="0"/>
              <w:bottom w:val="outset" w:color="auto" w:sz="6" w:space="0"/>
              <w:right w:val="outset" w:color="auto" w:sz="6" w:space="0"/>
            </w:tcBorders>
            <w:vAlign w:val="center"/>
          </w:tcPr>
          <w:p w14:paraId="72B2030E">
            <w:pPr>
              <w:tabs>
                <w:tab w:val="left" w:pos="0"/>
              </w:tabs>
              <w:ind w:left="17" w:hanging="16" w:hangingChars="7"/>
              <w:jc w:val="left"/>
              <w:rPr>
                <w:rFonts w:ascii="宋体" w:hAnsi="宋体" w:eastAsia="宋体" w:cs="宋体"/>
                <w:color w:val="auto"/>
                <w:sz w:val="24"/>
                <w:highlight w:val="none"/>
              </w:rPr>
            </w:pPr>
          </w:p>
        </w:tc>
        <w:tc>
          <w:tcPr>
            <w:tcW w:w="1361" w:type="dxa"/>
            <w:vMerge w:val="continue"/>
            <w:tcBorders>
              <w:top w:val="outset" w:color="auto" w:sz="6" w:space="0"/>
              <w:left w:val="outset" w:color="auto" w:sz="6" w:space="0"/>
              <w:bottom w:val="outset" w:color="auto" w:sz="6" w:space="0"/>
              <w:right w:val="outset" w:color="auto" w:sz="6" w:space="0"/>
            </w:tcBorders>
            <w:vAlign w:val="center"/>
          </w:tcPr>
          <w:p w14:paraId="331B8B6A">
            <w:pPr>
              <w:tabs>
                <w:tab w:val="left" w:pos="0"/>
              </w:tabs>
              <w:ind w:left="17" w:hanging="16" w:hangingChars="7"/>
              <w:jc w:val="left"/>
              <w:rPr>
                <w:rFonts w:ascii="宋体" w:hAnsi="宋体" w:eastAsia="宋体" w:cs="宋体"/>
                <w:color w:val="auto"/>
                <w:sz w:val="24"/>
                <w:highlight w:val="none"/>
              </w:rPr>
            </w:pPr>
          </w:p>
        </w:tc>
        <w:tc>
          <w:tcPr>
            <w:tcW w:w="1475" w:type="dxa"/>
            <w:gridSpan w:val="3"/>
            <w:tcBorders>
              <w:top w:val="outset" w:color="auto" w:sz="6" w:space="0"/>
              <w:left w:val="outset" w:color="auto" w:sz="6" w:space="0"/>
              <w:bottom w:val="outset" w:color="auto" w:sz="6" w:space="0"/>
              <w:right w:val="outset" w:color="auto" w:sz="6" w:space="0"/>
            </w:tcBorders>
            <w:vAlign w:val="center"/>
          </w:tcPr>
          <w:p w14:paraId="2237D61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基层</w:t>
            </w:r>
          </w:p>
        </w:tc>
        <w:tc>
          <w:tcPr>
            <w:tcW w:w="360" w:type="dxa"/>
            <w:vMerge w:val="restart"/>
            <w:tcBorders>
              <w:top w:val="outset" w:color="auto" w:sz="6" w:space="0"/>
              <w:left w:val="outset" w:color="auto" w:sz="6" w:space="0"/>
              <w:bottom w:val="outset" w:color="auto" w:sz="6" w:space="0"/>
              <w:right w:val="outset" w:color="auto" w:sz="6" w:space="0"/>
            </w:tcBorders>
            <w:vAlign w:val="center"/>
          </w:tcPr>
          <w:p w14:paraId="1B228BA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碎拼石材</w:t>
            </w:r>
          </w:p>
        </w:tc>
        <w:tc>
          <w:tcPr>
            <w:tcW w:w="360" w:type="dxa"/>
            <w:vMerge w:val="restart"/>
            <w:tcBorders>
              <w:top w:val="outset" w:color="auto" w:sz="6" w:space="0"/>
              <w:left w:val="outset" w:color="auto" w:sz="6" w:space="0"/>
              <w:bottom w:val="outset" w:color="auto" w:sz="6" w:space="0"/>
              <w:right w:val="outset" w:color="auto" w:sz="6" w:space="0"/>
            </w:tcBorders>
            <w:vAlign w:val="center"/>
          </w:tcPr>
          <w:p w14:paraId="10C5025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水泥花砖</w:t>
            </w:r>
          </w:p>
        </w:tc>
        <w:tc>
          <w:tcPr>
            <w:tcW w:w="360" w:type="dxa"/>
            <w:vMerge w:val="restart"/>
            <w:tcBorders>
              <w:top w:val="outset" w:color="auto" w:sz="6" w:space="0"/>
              <w:left w:val="outset" w:color="auto" w:sz="6" w:space="0"/>
              <w:bottom w:val="outset" w:color="auto" w:sz="6" w:space="0"/>
              <w:right w:val="outset" w:color="auto" w:sz="6" w:space="0"/>
            </w:tcBorders>
            <w:vAlign w:val="center"/>
          </w:tcPr>
          <w:p w14:paraId="2403B9A4">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定形石材</w:t>
            </w:r>
          </w:p>
        </w:tc>
        <w:tc>
          <w:tcPr>
            <w:tcW w:w="360" w:type="dxa"/>
            <w:vMerge w:val="restart"/>
            <w:tcBorders>
              <w:top w:val="outset" w:color="auto" w:sz="6" w:space="0"/>
              <w:left w:val="outset" w:color="auto" w:sz="6" w:space="0"/>
              <w:bottom w:val="outset" w:color="auto" w:sz="6" w:space="0"/>
              <w:right w:val="outset" w:color="auto" w:sz="6" w:space="0"/>
            </w:tcBorders>
            <w:vAlign w:val="center"/>
          </w:tcPr>
          <w:p w14:paraId="1EC7E8A3">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混凝土板块</w:t>
            </w:r>
          </w:p>
        </w:tc>
        <w:tc>
          <w:tcPr>
            <w:tcW w:w="312" w:type="dxa"/>
            <w:vMerge w:val="restart"/>
            <w:tcBorders>
              <w:top w:val="outset" w:color="auto" w:sz="6" w:space="0"/>
              <w:left w:val="outset" w:color="auto" w:sz="6" w:space="0"/>
              <w:bottom w:val="outset" w:color="auto" w:sz="6" w:space="0"/>
              <w:right w:val="outset" w:color="auto" w:sz="6" w:space="0"/>
            </w:tcBorders>
            <w:vAlign w:val="center"/>
          </w:tcPr>
          <w:p w14:paraId="3EC36E3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卵石</w:t>
            </w:r>
          </w:p>
        </w:tc>
        <w:tc>
          <w:tcPr>
            <w:tcW w:w="360" w:type="dxa"/>
            <w:vMerge w:val="restart"/>
            <w:tcBorders>
              <w:top w:val="outset" w:color="auto" w:sz="6" w:space="0"/>
              <w:left w:val="outset" w:color="auto" w:sz="6" w:space="0"/>
              <w:bottom w:val="outset" w:color="auto" w:sz="6" w:space="0"/>
              <w:right w:val="outset" w:color="auto" w:sz="6" w:space="0"/>
            </w:tcBorders>
            <w:vAlign w:val="center"/>
          </w:tcPr>
          <w:p w14:paraId="72C3B64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嵌草地坪</w:t>
            </w:r>
          </w:p>
        </w:tc>
        <w:tc>
          <w:tcPr>
            <w:tcW w:w="312" w:type="dxa"/>
            <w:vMerge w:val="restart"/>
            <w:tcBorders>
              <w:top w:val="outset" w:color="auto" w:sz="6" w:space="0"/>
              <w:left w:val="outset" w:color="auto" w:sz="6" w:space="0"/>
              <w:bottom w:val="outset" w:color="auto" w:sz="6" w:space="0"/>
              <w:right w:val="outset" w:color="auto" w:sz="6" w:space="0"/>
            </w:tcBorders>
            <w:vAlign w:val="center"/>
          </w:tcPr>
          <w:p w14:paraId="322B91B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定形石块</w:t>
            </w:r>
          </w:p>
        </w:tc>
      </w:tr>
      <w:tr w14:paraId="14ED84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454" w:type="dxa"/>
            <w:vMerge w:val="continue"/>
            <w:tcBorders>
              <w:top w:val="outset" w:color="auto" w:sz="6" w:space="0"/>
              <w:left w:val="outset" w:color="auto" w:sz="6" w:space="0"/>
              <w:bottom w:val="outset" w:color="auto" w:sz="6" w:space="0"/>
              <w:right w:val="outset" w:color="auto" w:sz="6" w:space="0"/>
            </w:tcBorders>
            <w:vAlign w:val="center"/>
          </w:tcPr>
          <w:p w14:paraId="2EC13E1C">
            <w:pPr>
              <w:tabs>
                <w:tab w:val="left" w:pos="0"/>
              </w:tabs>
              <w:ind w:left="17" w:hanging="16" w:hangingChars="7"/>
              <w:jc w:val="left"/>
              <w:rPr>
                <w:rFonts w:ascii="宋体" w:hAnsi="宋体" w:eastAsia="宋体" w:cs="宋体"/>
                <w:color w:val="auto"/>
                <w:sz w:val="24"/>
                <w:highlight w:val="none"/>
              </w:rPr>
            </w:pPr>
          </w:p>
        </w:tc>
        <w:tc>
          <w:tcPr>
            <w:tcW w:w="1361" w:type="dxa"/>
            <w:vMerge w:val="continue"/>
            <w:tcBorders>
              <w:top w:val="outset" w:color="auto" w:sz="6" w:space="0"/>
              <w:left w:val="outset" w:color="auto" w:sz="6" w:space="0"/>
              <w:bottom w:val="outset" w:color="auto" w:sz="6" w:space="0"/>
              <w:right w:val="outset" w:color="auto" w:sz="6" w:space="0"/>
            </w:tcBorders>
            <w:vAlign w:val="center"/>
          </w:tcPr>
          <w:p w14:paraId="0A479037">
            <w:pPr>
              <w:tabs>
                <w:tab w:val="left" w:pos="0"/>
              </w:tabs>
              <w:ind w:left="17" w:hanging="16" w:hangingChars="7"/>
              <w:jc w:val="left"/>
              <w:rPr>
                <w:rFonts w:ascii="宋体" w:hAnsi="宋体" w:eastAsia="宋体" w:cs="宋体"/>
                <w:color w:val="auto"/>
                <w:sz w:val="24"/>
                <w:highlight w:val="none"/>
              </w:rPr>
            </w:pPr>
          </w:p>
        </w:tc>
        <w:tc>
          <w:tcPr>
            <w:tcW w:w="407" w:type="dxa"/>
            <w:tcBorders>
              <w:top w:val="outset" w:color="auto" w:sz="6" w:space="0"/>
              <w:left w:val="outset" w:color="auto" w:sz="6" w:space="0"/>
              <w:bottom w:val="outset" w:color="auto" w:sz="6" w:space="0"/>
              <w:right w:val="outset" w:color="auto" w:sz="6" w:space="0"/>
            </w:tcBorders>
            <w:vAlign w:val="center"/>
          </w:tcPr>
          <w:p w14:paraId="3D641F8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土</w:t>
            </w:r>
          </w:p>
        </w:tc>
        <w:tc>
          <w:tcPr>
            <w:tcW w:w="540" w:type="dxa"/>
            <w:tcBorders>
              <w:top w:val="outset" w:color="auto" w:sz="6" w:space="0"/>
              <w:left w:val="outset" w:color="auto" w:sz="6" w:space="0"/>
              <w:bottom w:val="outset" w:color="auto" w:sz="6" w:space="0"/>
              <w:right w:val="outset" w:color="auto" w:sz="6" w:space="0"/>
            </w:tcBorders>
            <w:vAlign w:val="center"/>
          </w:tcPr>
          <w:p w14:paraId="3897AB9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砂、碎石、石子</w:t>
            </w:r>
          </w:p>
        </w:tc>
        <w:tc>
          <w:tcPr>
            <w:tcW w:w="468" w:type="dxa"/>
            <w:tcBorders>
              <w:top w:val="outset" w:color="auto" w:sz="6" w:space="0"/>
              <w:left w:val="outset" w:color="auto" w:sz="6" w:space="0"/>
              <w:bottom w:val="outset" w:color="auto" w:sz="6" w:space="0"/>
              <w:right w:val="outset" w:color="auto" w:sz="6" w:space="0"/>
            </w:tcBorders>
            <w:vAlign w:val="center"/>
          </w:tcPr>
          <w:p w14:paraId="1951CE3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混凝土</w:t>
            </w:r>
          </w:p>
        </w:tc>
        <w:tc>
          <w:tcPr>
            <w:tcW w:w="360" w:type="dxa"/>
            <w:vMerge w:val="continue"/>
            <w:tcBorders>
              <w:top w:val="outset" w:color="auto" w:sz="6" w:space="0"/>
              <w:left w:val="outset" w:color="auto" w:sz="6" w:space="0"/>
              <w:bottom w:val="outset" w:color="auto" w:sz="6" w:space="0"/>
              <w:right w:val="outset" w:color="auto" w:sz="6" w:space="0"/>
            </w:tcBorders>
            <w:vAlign w:val="center"/>
          </w:tcPr>
          <w:p w14:paraId="4E637C7C">
            <w:pPr>
              <w:tabs>
                <w:tab w:val="left" w:pos="0"/>
              </w:tabs>
              <w:ind w:left="17" w:hanging="16" w:hangingChars="7"/>
              <w:jc w:val="left"/>
              <w:rPr>
                <w:rFonts w:ascii="宋体" w:hAnsi="宋体" w:eastAsia="宋体" w:cs="宋体"/>
                <w:color w:val="auto"/>
                <w:sz w:val="24"/>
                <w:highlight w:val="none"/>
              </w:rPr>
            </w:pPr>
          </w:p>
        </w:tc>
        <w:tc>
          <w:tcPr>
            <w:tcW w:w="360" w:type="dxa"/>
            <w:vMerge w:val="continue"/>
            <w:tcBorders>
              <w:top w:val="outset" w:color="auto" w:sz="6" w:space="0"/>
              <w:left w:val="outset" w:color="auto" w:sz="6" w:space="0"/>
              <w:bottom w:val="outset" w:color="auto" w:sz="6" w:space="0"/>
              <w:right w:val="outset" w:color="auto" w:sz="6" w:space="0"/>
            </w:tcBorders>
            <w:vAlign w:val="center"/>
          </w:tcPr>
          <w:p w14:paraId="094A780E">
            <w:pPr>
              <w:tabs>
                <w:tab w:val="left" w:pos="0"/>
              </w:tabs>
              <w:ind w:left="17" w:hanging="16" w:hangingChars="7"/>
              <w:jc w:val="left"/>
              <w:rPr>
                <w:rFonts w:ascii="宋体" w:hAnsi="宋体" w:eastAsia="宋体" w:cs="宋体"/>
                <w:color w:val="auto"/>
                <w:sz w:val="24"/>
                <w:highlight w:val="none"/>
              </w:rPr>
            </w:pPr>
          </w:p>
        </w:tc>
        <w:tc>
          <w:tcPr>
            <w:tcW w:w="360" w:type="dxa"/>
            <w:vMerge w:val="continue"/>
            <w:tcBorders>
              <w:top w:val="outset" w:color="auto" w:sz="6" w:space="0"/>
              <w:left w:val="outset" w:color="auto" w:sz="6" w:space="0"/>
              <w:bottom w:val="outset" w:color="auto" w:sz="6" w:space="0"/>
              <w:right w:val="outset" w:color="auto" w:sz="6" w:space="0"/>
            </w:tcBorders>
            <w:vAlign w:val="center"/>
          </w:tcPr>
          <w:p w14:paraId="597448BD">
            <w:pPr>
              <w:tabs>
                <w:tab w:val="left" w:pos="0"/>
              </w:tabs>
              <w:ind w:left="17" w:hanging="16" w:hangingChars="7"/>
              <w:jc w:val="left"/>
              <w:rPr>
                <w:rFonts w:ascii="宋体" w:hAnsi="宋体" w:eastAsia="宋体" w:cs="宋体"/>
                <w:color w:val="auto"/>
                <w:sz w:val="24"/>
                <w:highlight w:val="none"/>
              </w:rPr>
            </w:pPr>
          </w:p>
        </w:tc>
        <w:tc>
          <w:tcPr>
            <w:tcW w:w="360" w:type="dxa"/>
            <w:vMerge w:val="continue"/>
            <w:tcBorders>
              <w:top w:val="outset" w:color="auto" w:sz="6" w:space="0"/>
              <w:left w:val="outset" w:color="auto" w:sz="6" w:space="0"/>
              <w:bottom w:val="outset" w:color="auto" w:sz="6" w:space="0"/>
              <w:right w:val="outset" w:color="auto" w:sz="6" w:space="0"/>
            </w:tcBorders>
            <w:vAlign w:val="center"/>
          </w:tcPr>
          <w:p w14:paraId="55A40B5F">
            <w:pPr>
              <w:tabs>
                <w:tab w:val="left" w:pos="0"/>
              </w:tabs>
              <w:ind w:left="17" w:hanging="16" w:hangingChars="7"/>
              <w:jc w:val="left"/>
              <w:rPr>
                <w:rFonts w:ascii="宋体" w:hAnsi="宋体" w:eastAsia="宋体" w:cs="宋体"/>
                <w:color w:val="auto"/>
                <w:sz w:val="24"/>
                <w:highlight w:val="none"/>
              </w:rPr>
            </w:pPr>
          </w:p>
        </w:tc>
        <w:tc>
          <w:tcPr>
            <w:tcW w:w="312" w:type="dxa"/>
            <w:vMerge w:val="continue"/>
            <w:tcBorders>
              <w:top w:val="outset" w:color="auto" w:sz="6" w:space="0"/>
              <w:left w:val="outset" w:color="auto" w:sz="6" w:space="0"/>
              <w:bottom w:val="outset" w:color="auto" w:sz="6" w:space="0"/>
              <w:right w:val="outset" w:color="auto" w:sz="6" w:space="0"/>
            </w:tcBorders>
            <w:vAlign w:val="center"/>
          </w:tcPr>
          <w:p w14:paraId="1D2C4FA1">
            <w:pPr>
              <w:tabs>
                <w:tab w:val="left" w:pos="0"/>
              </w:tabs>
              <w:ind w:left="17" w:hanging="16" w:hangingChars="7"/>
              <w:jc w:val="left"/>
              <w:rPr>
                <w:rFonts w:ascii="宋体" w:hAnsi="宋体" w:eastAsia="宋体" w:cs="宋体"/>
                <w:color w:val="auto"/>
                <w:sz w:val="24"/>
                <w:highlight w:val="none"/>
              </w:rPr>
            </w:pPr>
          </w:p>
        </w:tc>
        <w:tc>
          <w:tcPr>
            <w:tcW w:w="360" w:type="dxa"/>
            <w:vMerge w:val="continue"/>
            <w:tcBorders>
              <w:top w:val="outset" w:color="auto" w:sz="6" w:space="0"/>
              <w:left w:val="outset" w:color="auto" w:sz="6" w:space="0"/>
              <w:bottom w:val="outset" w:color="auto" w:sz="6" w:space="0"/>
              <w:right w:val="outset" w:color="auto" w:sz="6" w:space="0"/>
            </w:tcBorders>
            <w:vAlign w:val="center"/>
          </w:tcPr>
          <w:p w14:paraId="1846ED8A">
            <w:pPr>
              <w:tabs>
                <w:tab w:val="left" w:pos="0"/>
              </w:tabs>
              <w:ind w:left="17" w:hanging="16" w:hangingChars="7"/>
              <w:jc w:val="left"/>
              <w:rPr>
                <w:rFonts w:ascii="宋体" w:hAnsi="宋体" w:eastAsia="宋体" w:cs="宋体"/>
                <w:color w:val="auto"/>
                <w:sz w:val="24"/>
                <w:highlight w:val="none"/>
              </w:rPr>
            </w:pPr>
          </w:p>
        </w:tc>
        <w:tc>
          <w:tcPr>
            <w:tcW w:w="312" w:type="dxa"/>
            <w:vMerge w:val="continue"/>
            <w:tcBorders>
              <w:top w:val="outset" w:color="auto" w:sz="6" w:space="0"/>
              <w:left w:val="outset" w:color="auto" w:sz="6" w:space="0"/>
              <w:bottom w:val="outset" w:color="auto" w:sz="6" w:space="0"/>
              <w:right w:val="outset" w:color="auto" w:sz="6" w:space="0"/>
            </w:tcBorders>
            <w:vAlign w:val="center"/>
          </w:tcPr>
          <w:p w14:paraId="20A86C61">
            <w:pPr>
              <w:tabs>
                <w:tab w:val="left" w:pos="0"/>
              </w:tabs>
              <w:ind w:left="17" w:hanging="16" w:hangingChars="7"/>
              <w:jc w:val="left"/>
              <w:rPr>
                <w:rFonts w:ascii="宋体" w:hAnsi="宋体" w:eastAsia="宋体" w:cs="宋体"/>
                <w:color w:val="auto"/>
                <w:sz w:val="24"/>
                <w:highlight w:val="none"/>
              </w:rPr>
            </w:pPr>
          </w:p>
        </w:tc>
      </w:tr>
      <w:tr w14:paraId="2A9DAF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454" w:type="dxa"/>
            <w:tcBorders>
              <w:top w:val="outset" w:color="auto" w:sz="6" w:space="0"/>
              <w:left w:val="outset" w:color="auto" w:sz="6" w:space="0"/>
              <w:bottom w:val="outset" w:color="auto" w:sz="6" w:space="0"/>
              <w:right w:val="outset" w:color="auto" w:sz="6" w:space="0"/>
            </w:tcBorders>
            <w:vAlign w:val="center"/>
          </w:tcPr>
          <w:p w14:paraId="4E2BB35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1" w:type="dxa"/>
            <w:tcBorders>
              <w:top w:val="outset" w:color="auto" w:sz="6" w:space="0"/>
              <w:left w:val="outset" w:color="auto" w:sz="6" w:space="0"/>
              <w:bottom w:val="outset" w:color="auto" w:sz="6" w:space="0"/>
              <w:right w:val="outset" w:color="auto" w:sz="6" w:space="0"/>
            </w:tcBorders>
            <w:vAlign w:val="center"/>
          </w:tcPr>
          <w:p w14:paraId="196FBCD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表面平整度</w:t>
            </w:r>
          </w:p>
        </w:tc>
        <w:tc>
          <w:tcPr>
            <w:tcW w:w="407" w:type="dxa"/>
            <w:tcBorders>
              <w:top w:val="outset" w:color="auto" w:sz="6" w:space="0"/>
              <w:left w:val="outset" w:color="auto" w:sz="6" w:space="0"/>
              <w:bottom w:val="outset" w:color="auto" w:sz="6" w:space="0"/>
              <w:right w:val="outset" w:color="auto" w:sz="6" w:space="0"/>
            </w:tcBorders>
            <w:vAlign w:val="center"/>
          </w:tcPr>
          <w:p w14:paraId="70B0B4E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c>
          <w:tcPr>
            <w:tcW w:w="540" w:type="dxa"/>
            <w:tcBorders>
              <w:top w:val="outset" w:color="auto" w:sz="6" w:space="0"/>
              <w:left w:val="outset" w:color="auto" w:sz="6" w:space="0"/>
              <w:bottom w:val="outset" w:color="auto" w:sz="6" w:space="0"/>
              <w:right w:val="outset" w:color="auto" w:sz="6" w:space="0"/>
            </w:tcBorders>
            <w:vAlign w:val="center"/>
          </w:tcPr>
          <w:p w14:paraId="0F3FB8B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w:t>
            </w:r>
          </w:p>
        </w:tc>
        <w:tc>
          <w:tcPr>
            <w:tcW w:w="468" w:type="dxa"/>
            <w:tcBorders>
              <w:top w:val="outset" w:color="auto" w:sz="6" w:space="0"/>
              <w:left w:val="outset" w:color="auto" w:sz="6" w:space="0"/>
              <w:bottom w:val="outset" w:color="auto" w:sz="6" w:space="0"/>
              <w:right w:val="outset" w:color="auto" w:sz="6" w:space="0"/>
            </w:tcBorders>
            <w:vAlign w:val="center"/>
          </w:tcPr>
          <w:p w14:paraId="3CFBB13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c>
          <w:tcPr>
            <w:tcW w:w="360" w:type="dxa"/>
            <w:tcBorders>
              <w:top w:val="outset" w:color="auto" w:sz="6" w:space="0"/>
              <w:left w:val="outset" w:color="auto" w:sz="6" w:space="0"/>
              <w:bottom w:val="outset" w:color="auto" w:sz="6" w:space="0"/>
              <w:right w:val="outset" w:color="auto" w:sz="6" w:space="0"/>
            </w:tcBorders>
            <w:vAlign w:val="center"/>
          </w:tcPr>
          <w:p w14:paraId="39FA69E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60" w:type="dxa"/>
            <w:tcBorders>
              <w:top w:val="outset" w:color="auto" w:sz="6" w:space="0"/>
              <w:left w:val="outset" w:color="auto" w:sz="6" w:space="0"/>
              <w:bottom w:val="outset" w:color="auto" w:sz="6" w:space="0"/>
              <w:right w:val="outset" w:color="auto" w:sz="6" w:space="0"/>
            </w:tcBorders>
            <w:vAlign w:val="center"/>
          </w:tcPr>
          <w:p w14:paraId="18AEAAB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60" w:type="dxa"/>
            <w:tcBorders>
              <w:top w:val="outset" w:color="auto" w:sz="6" w:space="0"/>
              <w:left w:val="outset" w:color="auto" w:sz="6" w:space="0"/>
              <w:bottom w:val="outset" w:color="auto" w:sz="6" w:space="0"/>
              <w:right w:val="outset" w:color="auto" w:sz="6" w:space="0"/>
            </w:tcBorders>
            <w:vAlign w:val="center"/>
          </w:tcPr>
          <w:p w14:paraId="32C8CCB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360" w:type="dxa"/>
            <w:tcBorders>
              <w:top w:val="outset" w:color="auto" w:sz="6" w:space="0"/>
              <w:left w:val="outset" w:color="auto" w:sz="6" w:space="0"/>
              <w:bottom w:val="outset" w:color="auto" w:sz="6" w:space="0"/>
              <w:right w:val="outset" w:color="auto" w:sz="6" w:space="0"/>
            </w:tcBorders>
            <w:vAlign w:val="center"/>
          </w:tcPr>
          <w:p w14:paraId="5B3276F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12" w:type="dxa"/>
            <w:tcBorders>
              <w:top w:val="outset" w:color="auto" w:sz="6" w:space="0"/>
              <w:left w:val="outset" w:color="auto" w:sz="6" w:space="0"/>
              <w:bottom w:val="outset" w:color="auto" w:sz="6" w:space="0"/>
              <w:right w:val="outset" w:color="auto" w:sz="6" w:space="0"/>
            </w:tcBorders>
            <w:vAlign w:val="center"/>
          </w:tcPr>
          <w:p w14:paraId="658929B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w:t>
            </w:r>
          </w:p>
        </w:tc>
        <w:tc>
          <w:tcPr>
            <w:tcW w:w="360" w:type="dxa"/>
            <w:tcBorders>
              <w:top w:val="outset" w:color="auto" w:sz="6" w:space="0"/>
              <w:left w:val="outset" w:color="auto" w:sz="6" w:space="0"/>
              <w:bottom w:val="outset" w:color="auto" w:sz="6" w:space="0"/>
              <w:right w:val="outset" w:color="auto" w:sz="6" w:space="0"/>
            </w:tcBorders>
            <w:vAlign w:val="center"/>
          </w:tcPr>
          <w:p w14:paraId="0E793F8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12" w:type="dxa"/>
            <w:tcBorders>
              <w:top w:val="outset" w:color="auto" w:sz="6" w:space="0"/>
              <w:left w:val="outset" w:color="auto" w:sz="6" w:space="0"/>
              <w:bottom w:val="outset" w:color="auto" w:sz="6" w:space="0"/>
              <w:right w:val="outset" w:color="auto" w:sz="6" w:space="0"/>
            </w:tcBorders>
            <w:vAlign w:val="center"/>
          </w:tcPr>
          <w:p w14:paraId="3BD8EFE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r>
      <w:tr w14:paraId="7D0D54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454" w:type="dxa"/>
            <w:tcBorders>
              <w:top w:val="outset" w:color="auto" w:sz="6" w:space="0"/>
              <w:left w:val="outset" w:color="auto" w:sz="6" w:space="0"/>
              <w:bottom w:val="outset" w:color="auto" w:sz="6" w:space="0"/>
              <w:right w:val="outset" w:color="auto" w:sz="6" w:space="0"/>
            </w:tcBorders>
            <w:vAlign w:val="center"/>
          </w:tcPr>
          <w:p w14:paraId="7B435AF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1" w:type="dxa"/>
            <w:tcBorders>
              <w:top w:val="outset" w:color="auto" w:sz="6" w:space="0"/>
              <w:left w:val="outset" w:color="auto" w:sz="6" w:space="0"/>
              <w:bottom w:val="outset" w:color="auto" w:sz="6" w:space="0"/>
              <w:right w:val="outset" w:color="auto" w:sz="6" w:space="0"/>
            </w:tcBorders>
            <w:vAlign w:val="center"/>
          </w:tcPr>
          <w:p w14:paraId="3689353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标高</w:t>
            </w:r>
          </w:p>
        </w:tc>
        <w:tc>
          <w:tcPr>
            <w:tcW w:w="407" w:type="dxa"/>
            <w:tcBorders>
              <w:top w:val="outset" w:color="auto" w:sz="6" w:space="0"/>
              <w:left w:val="outset" w:color="auto" w:sz="6" w:space="0"/>
              <w:bottom w:val="outset" w:color="auto" w:sz="6" w:space="0"/>
              <w:right w:val="outset" w:color="auto" w:sz="6" w:space="0"/>
            </w:tcBorders>
            <w:vAlign w:val="center"/>
          </w:tcPr>
          <w:p w14:paraId="78C54E30">
            <w:pPr>
              <w:pStyle w:val="42"/>
              <w:tabs>
                <w:tab w:val="left" w:pos="0"/>
              </w:tabs>
              <w:spacing w:before="0" w:beforeAutospacing="0" w:after="0" w:afterAutospacing="0"/>
              <w:ind w:left="17" w:hanging="16" w:hangingChars="7"/>
              <w:rPr>
                <w:rFonts w:ascii="宋体" w:hAnsi="宋体" w:eastAsia="宋体" w:cs="宋体"/>
                <w:color w:val="auto"/>
                <w:highlight w:val="none"/>
              </w:rPr>
            </w:pPr>
            <w:r>
              <w:rPr>
                <w:rFonts w:hint="eastAsia" w:ascii="宋体" w:hAnsi="宋体" w:eastAsia="宋体" w:cs="宋体"/>
                <w:color w:val="auto"/>
                <w:highlight w:val="none"/>
              </w:rPr>
              <w:t>+0</w:t>
            </w:r>
          </w:p>
          <w:p w14:paraId="1658EA3B">
            <w:pPr>
              <w:pStyle w:val="42"/>
              <w:tabs>
                <w:tab w:val="left" w:pos="0"/>
              </w:tabs>
              <w:spacing w:before="0" w:beforeAutospacing="0" w:after="0" w:afterAutospacing="0"/>
              <w:ind w:left="17" w:hanging="16" w:hangingChars="7"/>
              <w:rPr>
                <w:rFonts w:ascii="宋体" w:hAnsi="宋体" w:eastAsia="宋体" w:cs="宋体"/>
                <w:color w:val="auto"/>
                <w:highlight w:val="none"/>
              </w:rPr>
            </w:pPr>
            <w:r>
              <w:rPr>
                <w:rFonts w:hint="eastAsia" w:ascii="宋体" w:hAnsi="宋体" w:eastAsia="宋体" w:cs="宋体"/>
                <w:color w:val="auto"/>
                <w:highlight w:val="none"/>
              </w:rPr>
              <w:t>-50</w:t>
            </w:r>
          </w:p>
        </w:tc>
        <w:tc>
          <w:tcPr>
            <w:tcW w:w="540" w:type="dxa"/>
            <w:tcBorders>
              <w:top w:val="outset" w:color="auto" w:sz="6" w:space="0"/>
              <w:left w:val="outset" w:color="auto" w:sz="6" w:space="0"/>
              <w:bottom w:val="outset" w:color="auto" w:sz="6" w:space="0"/>
              <w:right w:val="outset" w:color="auto" w:sz="6" w:space="0"/>
            </w:tcBorders>
            <w:vAlign w:val="center"/>
          </w:tcPr>
          <w:p w14:paraId="0AD6626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±20</w:t>
            </w:r>
          </w:p>
        </w:tc>
        <w:tc>
          <w:tcPr>
            <w:tcW w:w="468" w:type="dxa"/>
            <w:tcBorders>
              <w:top w:val="outset" w:color="auto" w:sz="6" w:space="0"/>
              <w:left w:val="outset" w:color="auto" w:sz="6" w:space="0"/>
              <w:bottom w:val="outset" w:color="auto" w:sz="6" w:space="0"/>
              <w:right w:val="outset" w:color="auto" w:sz="6" w:space="0"/>
            </w:tcBorders>
            <w:vAlign w:val="center"/>
          </w:tcPr>
          <w:p w14:paraId="26E86884">
            <w:pPr>
              <w:pStyle w:val="42"/>
              <w:tabs>
                <w:tab w:val="left" w:pos="0"/>
              </w:tabs>
              <w:spacing w:before="0" w:beforeAutospacing="0" w:after="0" w:afterAutospacing="0"/>
              <w:ind w:left="17" w:hanging="16" w:hangingChars="7"/>
              <w:rPr>
                <w:rFonts w:ascii="宋体" w:hAnsi="宋体" w:eastAsia="宋体" w:cs="宋体"/>
                <w:color w:val="auto"/>
                <w:highlight w:val="none"/>
              </w:rPr>
            </w:pPr>
            <w:r>
              <w:rPr>
                <w:rFonts w:hint="eastAsia" w:ascii="宋体" w:hAnsi="宋体" w:eastAsia="宋体" w:cs="宋体"/>
                <w:color w:val="auto"/>
                <w:highlight w:val="none"/>
              </w:rPr>
              <w:t>±10</w:t>
            </w:r>
          </w:p>
        </w:tc>
        <w:tc>
          <w:tcPr>
            <w:tcW w:w="360" w:type="dxa"/>
            <w:tcBorders>
              <w:top w:val="outset" w:color="auto" w:sz="6" w:space="0"/>
              <w:left w:val="outset" w:color="auto" w:sz="6" w:space="0"/>
              <w:bottom w:val="outset" w:color="auto" w:sz="6" w:space="0"/>
              <w:right w:val="outset" w:color="auto" w:sz="6" w:space="0"/>
            </w:tcBorders>
            <w:vAlign w:val="center"/>
          </w:tcPr>
          <w:p w14:paraId="1591E3A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5D3F10F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6DBE948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13647F2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12" w:type="dxa"/>
            <w:tcBorders>
              <w:top w:val="outset" w:color="auto" w:sz="6" w:space="0"/>
              <w:left w:val="outset" w:color="auto" w:sz="6" w:space="0"/>
              <w:bottom w:val="outset" w:color="auto" w:sz="6" w:space="0"/>
              <w:right w:val="outset" w:color="auto" w:sz="6" w:space="0"/>
            </w:tcBorders>
            <w:vAlign w:val="center"/>
          </w:tcPr>
          <w:p w14:paraId="4C10FAE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73D5674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12" w:type="dxa"/>
            <w:tcBorders>
              <w:top w:val="outset" w:color="auto" w:sz="6" w:space="0"/>
              <w:left w:val="outset" w:color="auto" w:sz="6" w:space="0"/>
              <w:bottom w:val="outset" w:color="auto" w:sz="6" w:space="0"/>
              <w:right w:val="outset" w:color="auto" w:sz="6" w:space="0"/>
            </w:tcBorders>
            <w:vAlign w:val="center"/>
          </w:tcPr>
          <w:p w14:paraId="2EBB974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r>
      <w:tr w14:paraId="3C3B7D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454" w:type="dxa"/>
            <w:tcBorders>
              <w:top w:val="outset" w:color="auto" w:sz="6" w:space="0"/>
              <w:left w:val="outset" w:color="auto" w:sz="6" w:space="0"/>
              <w:bottom w:val="outset" w:color="auto" w:sz="6" w:space="0"/>
              <w:right w:val="outset" w:color="auto" w:sz="6" w:space="0"/>
            </w:tcBorders>
            <w:vAlign w:val="center"/>
          </w:tcPr>
          <w:p w14:paraId="26D9D97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1361" w:type="dxa"/>
            <w:tcBorders>
              <w:top w:val="outset" w:color="auto" w:sz="6" w:space="0"/>
              <w:left w:val="outset" w:color="auto" w:sz="6" w:space="0"/>
              <w:bottom w:val="outset" w:color="auto" w:sz="6" w:space="0"/>
              <w:right w:val="outset" w:color="auto" w:sz="6" w:space="0"/>
            </w:tcBorders>
            <w:vAlign w:val="center"/>
          </w:tcPr>
          <w:p w14:paraId="6C610D2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缝格平直</w:t>
            </w:r>
          </w:p>
        </w:tc>
        <w:tc>
          <w:tcPr>
            <w:tcW w:w="407" w:type="dxa"/>
            <w:tcBorders>
              <w:top w:val="outset" w:color="auto" w:sz="6" w:space="0"/>
              <w:left w:val="outset" w:color="auto" w:sz="6" w:space="0"/>
              <w:bottom w:val="outset" w:color="auto" w:sz="6" w:space="0"/>
              <w:right w:val="outset" w:color="auto" w:sz="6" w:space="0"/>
            </w:tcBorders>
            <w:vAlign w:val="center"/>
          </w:tcPr>
          <w:p w14:paraId="658FCA1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540" w:type="dxa"/>
            <w:tcBorders>
              <w:top w:val="outset" w:color="auto" w:sz="6" w:space="0"/>
              <w:left w:val="outset" w:color="auto" w:sz="6" w:space="0"/>
              <w:bottom w:val="outset" w:color="auto" w:sz="6" w:space="0"/>
              <w:right w:val="outset" w:color="auto" w:sz="6" w:space="0"/>
            </w:tcBorders>
            <w:vAlign w:val="center"/>
          </w:tcPr>
          <w:p w14:paraId="6D3D3B5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468" w:type="dxa"/>
            <w:tcBorders>
              <w:top w:val="outset" w:color="auto" w:sz="6" w:space="0"/>
              <w:left w:val="outset" w:color="auto" w:sz="6" w:space="0"/>
              <w:bottom w:val="outset" w:color="auto" w:sz="6" w:space="0"/>
              <w:right w:val="outset" w:color="auto" w:sz="6" w:space="0"/>
            </w:tcBorders>
            <w:vAlign w:val="center"/>
          </w:tcPr>
          <w:p w14:paraId="5E72C06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5CFF65B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6895F90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60" w:type="dxa"/>
            <w:tcBorders>
              <w:top w:val="outset" w:color="auto" w:sz="6" w:space="0"/>
              <w:left w:val="outset" w:color="auto" w:sz="6" w:space="0"/>
              <w:bottom w:val="outset" w:color="auto" w:sz="6" w:space="0"/>
              <w:right w:val="outset" w:color="auto" w:sz="6" w:space="0"/>
            </w:tcBorders>
            <w:vAlign w:val="center"/>
          </w:tcPr>
          <w:p w14:paraId="6D83421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360" w:type="dxa"/>
            <w:tcBorders>
              <w:top w:val="outset" w:color="auto" w:sz="6" w:space="0"/>
              <w:left w:val="outset" w:color="auto" w:sz="6" w:space="0"/>
              <w:bottom w:val="outset" w:color="auto" w:sz="6" w:space="0"/>
              <w:right w:val="outset" w:color="auto" w:sz="6" w:space="0"/>
            </w:tcBorders>
            <w:vAlign w:val="center"/>
          </w:tcPr>
          <w:p w14:paraId="10CC539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12" w:type="dxa"/>
            <w:tcBorders>
              <w:top w:val="outset" w:color="auto" w:sz="6" w:space="0"/>
              <w:left w:val="outset" w:color="auto" w:sz="6" w:space="0"/>
              <w:bottom w:val="outset" w:color="auto" w:sz="6" w:space="0"/>
              <w:right w:val="outset" w:color="auto" w:sz="6" w:space="0"/>
            </w:tcBorders>
            <w:vAlign w:val="center"/>
          </w:tcPr>
          <w:p w14:paraId="0BF4BD24">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51AA799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12" w:type="dxa"/>
            <w:tcBorders>
              <w:top w:val="outset" w:color="auto" w:sz="6" w:space="0"/>
              <w:left w:val="outset" w:color="auto" w:sz="6" w:space="0"/>
              <w:bottom w:val="outset" w:color="auto" w:sz="6" w:space="0"/>
              <w:right w:val="outset" w:color="auto" w:sz="6" w:space="0"/>
            </w:tcBorders>
            <w:vAlign w:val="center"/>
          </w:tcPr>
          <w:p w14:paraId="51F64B9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r>
      <w:tr w14:paraId="44E73E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454" w:type="dxa"/>
            <w:tcBorders>
              <w:top w:val="outset" w:color="auto" w:sz="6" w:space="0"/>
              <w:left w:val="outset" w:color="auto" w:sz="6" w:space="0"/>
              <w:bottom w:val="outset" w:color="auto" w:sz="6" w:space="0"/>
              <w:right w:val="outset" w:color="auto" w:sz="6" w:space="0"/>
            </w:tcBorders>
            <w:vAlign w:val="center"/>
          </w:tcPr>
          <w:p w14:paraId="129B3C1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w:t>
            </w:r>
          </w:p>
        </w:tc>
        <w:tc>
          <w:tcPr>
            <w:tcW w:w="1361" w:type="dxa"/>
            <w:tcBorders>
              <w:top w:val="outset" w:color="auto" w:sz="6" w:space="0"/>
              <w:left w:val="outset" w:color="auto" w:sz="6" w:space="0"/>
              <w:bottom w:val="outset" w:color="auto" w:sz="6" w:space="0"/>
              <w:right w:val="outset" w:color="auto" w:sz="6" w:space="0"/>
            </w:tcBorders>
            <w:vAlign w:val="center"/>
          </w:tcPr>
          <w:p w14:paraId="50CFB7B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接缝高低差</w:t>
            </w:r>
          </w:p>
        </w:tc>
        <w:tc>
          <w:tcPr>
            <w:tcW w:w="407" w:type="dxa"/>
            <w:tcBorders>
              <w:top w:val="outset" w:color="auto" w:sz="6" w:space="0"/>
              <w:left w:val="outset" w:color="auto" w:sz="6" w:space="0"/>
              <w:bottom w:val="outset" w:color="auto" w:sz="6" w:space="0"/>
              <w:right w:val="outset" w:color="auto" w:sz="6" w:space="0"/>
            </w:tcBorders>
            <w:vAlign w:val="center"/>
          </w:tcPr>
          <w:p w14:paraId="1ABEB6F3">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540" w:type="dxa"/>
            <w:tcBorders>
              <w:top w:val="outset" w:color="auto" w:sz="6" w:space="0"/>
              <w:left w:val="outset" w:color="auto" w:sz="6" w:space="0"/>
              <w:bottom w:val="outset" w:color="auto" w:sz="6" w:space="0"/>
              <w:right w:val="outset" w:color="auto" w:sz="6" w:space="0"/>
            </w:tcBorders>
            <w:vAlign w:val="center"/>
          </w:tcPr>
          <w:p w14:paraId="30AB9E3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468" w:type="dxa"/>
            <w:tcBorders>
              <w:top w:val="outset" w:color="auto" w:sz="6" w:space="0"/>
              <w:left w:val="outset" w:color="auto" w:sz="6" w:space="0"/>
              <w:bottom w:val="outset" w:color="auto" w:sz="6" w:space="0"/>
              <w:right w:val="outset" w:color="auto" w:sz="6" w:space="0"/>
            </w:tcBorders>
            <w:vAlign w:val="center"/>
          </w:tcPr>
          <w:p w14:paraId="24BC56E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022F8BF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0.5</w:t>
            </w:r>
          </w:p>
        </w:tc>
        <w:tc>
          <w:tcPr>
            <w:tcW w:w="360" w:type="dxa"/>
            <w:tcBorders>
              <w:top w:val="outset" w:color="auto" w:sz="6" w:space="0"/>
              <w:left w:val="outset" w:color="auto" w:sz="6" w:space="0"/>
              <w:bottom w:val="outset" w:color="auto" w:sz="6" w:space="0"/>
              <w:right w:val="outset" w:color="auto" w:sz="6" w:space="0"/>
            </w:tcBorders>
            <w:vAlign w:val="center"/>
          </w:tcPr>
          <w:p w14:paraId="309F0483">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0.5</w:t>
            </w:r>
          </w:p>
        </w:tc>
        <w:tc>
          <w:tcPr>
            <w:tcW w:w="360" w:type="dxa"/>
            <w:tcBorders>
              <w:top w:val="outset" w:color="auto" w:sz="6" w:space="0"/>
              <w:left w:val="outset" w:color="auto" w:sz="6" w:space="0"/>
              <w:bottom w:val="outset" w:color="auto" w:sz="6" w:space="0"/>
              <w:right w:val="outset" w:color="auto" w:sz="6" w:space="0"/>
            </w:tcBorders>
            <w:vAlign w:val="center"/>
          </w:tcPr>
          <w:p w14:paraId="016AB23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0.5</w:t>
            </w:r>
          </w:p>
        </w:tc>
        <w:tc>
          <w:tcPr>
            <w:tcW w:w="360" w:type="dxa"/>
            <w:tcBorders>
              <w:top w:val="outset" w:color="auto" w:sz="6" w:space="0"/>
              <w:left w:val="outset" w:color="auto" w:sz="6" w:space="0"/>
              <w:bottom w:val="outset" w:color="auto" w:sz="6" w:space="0"/>
              <w:right w:val="outset" w:color="auto" w:sz="6" w:space="0"/>
            </w:tcBorders>
            <w:vAlign w:val="center"/>
          </w:tcPr>
          <w:p w14:paraId="685F520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w:t>
            </w:r>
          </w:p>
        </w:tc>
        <w:tc>
          <w:tcPr>
            <w:tcW w:w="312" w:type="dxa"/>
            <w:tcBorders>
              <w:top w:val="outset" w:color="auto" w:sz="6" w:space="0"/>
              <w:left w:val="outset" w:color="auto" w:sz="6" w:space="0"/>
              <w:bottom w:val="outset" w:color="auto" w:sz="6" w:space="0"/>
              <w:right w:val="outset" w:color="auto" w:sz="6" w:space="0"/>
            </w:tcBorders>
            <w:vAlign w:val="center"/>
          </w:tcPr>
          <w:p w14:paraId="01409574">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360" w:type="dxa"/>
            <w:tcBorders>
              <w:top w:val="outset" w:color="auto" w:sz="6" w:space="0"/>
              <w:left w:val="outset" w:color="auto" w:sz="6" w:space="0"/>
              <w:bottom w:val="outset" w:color="auto" w:sz="6" w:space="0"/>
              <w:right w:val="outset" w:color="auto" w:sz="6" w:space="0"/>
            </w:tcBorders>
            <w:vAlign w:val="center"/>
          </w:tcPr>
          <w:p w14:paraId="57A1F17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w:t>
            </w:r>
          </w:p>
        </w:tc>
        <w:tc>
          <w:tcPr>
            <w:tcW w:w="312" w:type="dxa"/>
            <w:tcBorders>
              <w:top w:val="outset" w:color="auto" w:sz="6" w:space="0"/>
              <w:left w:val="outset" w:color="auto" w:sz="6" w:space="0"/>
              <w:bottom w:val="outset" w:color="auto" w:sz="6" w:space="0"/>
              <w:right w:val="outset" w:color="auto" w:sz="6" w:space="0"/>
            </w:tcBorders>
            <w:vAlign w:val="center"/>
          </w:tcPr>
          <w:p w14:paraId="252B1DB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r>
      <w:tr w14:paraId="362180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jc w:val="center"/>
        </w:trPr>
        <w:tc>
          <w:tcPr>
            <w:tcW w:w="454" w:type="dxa"/>
            <w:tcBorders>
              <w:top w:val="outset" w:color="auto" w:sz="6" w:space="0"/>
              <w:left w:val="outset" w:color="auto" w:sz="6" w:space="0"/>
              <w:bottom w:val="outset" w:color="auto" w:sz="6" w:space="0"/>
              <w:right w:val="outset" w:color="auto" w:sz="6" w:space="0"/>
            </w:tcBorders>
            <w:vAlign w:val="center"/>
          </w:tcPr>
          <w:p w14:paraId="0FFD963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c>
          <w:tcPr>
            <w:tcW w:w="1361" w:type="dxa"/>
            <w:tcBorders>
              <w:top w:val="outset" w:color="auto" w:sz="6" w:space="0"/>
              <w:left w:val="outset" w:color="auto" w:sz="6" w:space="0"/>
              <w:bottom w:val="outset" w:color="auto" w:sz="6" w:space="0"/>
              <w:right w:val="outset" w:color="auto" w:sz="6" w:space="0"/>
            </w:tcBorders>
            <w:vAlign w:val="center"/>
          </w:tcPr>
          <w:p w14:paraId="069F05B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板块间隙</w:t>
            </w:r>
          </w:p>
        </w:tc>
        <w:tc>
          <w:tcPr>
            <w:tcW w:w="407" w:type="dxa"/>
            <w:tcBorders>
              <w:top w:val="outset" w:color="auto" w:sz="6" w:space="0"/>
              <w:left w:val="outset" w:color="auto" w:sz="6" w:space="0"/>
              <w:bottom w:val="outset" w:color="auto" w:sz="6" w:space="0"/>
              <w:right w:val="outset" w:color="auto" w:sz="6" w:space="0"/>
            </w:tcBorders>
            <w:vAlign w:val="center"/>
          </w:tcPr>
          <w:p w14:paraId="6391C263">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540" w:type="dxa"/>
            <w:tcBorders>
              <w:top w:val="outset" w:color="auto" w:sz="6" w:space="0"/>
              <w:left w:val="outset" w:color="auto" w:sz="6" w:space="0"/>
              <w:bottom w:val="outset" w:color="auto" w:sz="6" w:space="0"/>
              <w:right w:val="outset" w:color="auto" w:sz="6" w:space="0"/>
            </w:tcBorders>
            <w:vAlign w:val="center"/>
          </w:tcPr>
          <w:p w14:paraId="5EB4417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468" w:type="dxa"/>
            <w:tcBorders>
              <w:top w:val="outset" w:color="auto" w:sz="6" w:space="0"/>
              <w:left w:val="outset" w:color="auto" w:sz="6" w:space="0"/>
              <w:bottom w:val="outset" w:color="auto" w:sz="6" w:space="0"/>
              <w:right w:val="outset" w:color="auto" w:sz="6" w:space="0"/>
            </w:tcBorders>
            <w:vAlign w:val="center"/>
          </w:tcPr>
          <w:p w14:paraId="4299608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06DA779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w:t>
            </w:r>
          </w:p>
        </w:tc>
        <w:tc>
          <w:tcPr>
            <w:tcW w:w="360" w:type="dxa"/>
            <w:tcBorders>
              <w:top w:val="outset" w:color="auto" w:sz="6" w:space="0"/>
              <w:left w:val="outset" w:color="auto" w:sz="6" w:space="0"/>
              <w:bottom w:val="outset" w:color="auto" w:sz="6" w:space="0"/>
              <w:right w:val="outset" w:color="auto" w:sz="6" w:space="0"/>
            </w:tcBorders>
            <w:vAlign w:val="center"/>
          </w:tcPr>
          <w:p w14:paraId="5C116CC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360" w:type="dxa"/>
            <w:tcBorders>
              <w:top w:val="outset" w:color="auto" w:sz="6" w:space="0"/>
              <w:left w:val="outset" w:color="auto" w:sz="6" w:space="0"/>
              <w:bottom w:val="outset" w:color="auto" w:sz="6" w:space="0"/>
              <w:right w:val="outset" w:color="auto" w:sz="6" w:space="0"/>
            </w:tcBorders>
            <w:vAlign w:val="center"/>
          </w:tcPr>
          <w:p w14:paraId="4DE652E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360" w:type="dxa"/>
            <w:tcBorders>
              <w:top w:val="outset" w:color="auto" w:sz="6" w:space="0"/>
              <w:left w:val="outset" w:color="auto" w:sz="6" w:space="0"/>
              <w:bottom w:val="outset" w:color="auto" w:sz="6" w:space="0"/>
              <w:right w:val="outset" w:color="auto" w:sz="6" w:space="0"/>
            </w:tcBorders>
            <w:vAlign w:val="center"/>
          </w:tcPr>
          <w:p w14:paraId="44E2255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w:t>
            </w:r>
          </w:p>
        </w:tc>
        <w:tc>
          <w:tcPr>
            <w:tcW w:w="312" w:type="dxa"/>
            <w:tcBorders>
              <w:top w:val="outset" w:color="auto" w:sz="6" w:space="0"/>
              <w:left w:val="outset" w:color="auto" w:sz="6" w:space="0"/>
              <w:bottom w:val="outset" w:color="auto" w:sz="6" w:space="0"/>
              <w:right w:val="outset" w:color="auto" w:sz="6" w:space="0"/>
            </w:tcBorders>
            <w:vAlign w:val="center"/>
          </w:tcPr>
          <w:p w14:paraId="5F38B83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60" w:type="dxa"/>
            <w:tcBorders>
              <w:top w:val="outset" w:color="auto" w:sz="6" w:space="0"/>
              <w:left w:val="outset" w:color="auto" w:sz="6" w:space="0"/>
              <w:bottom w:val="outset" w:color="auto" w:sz="6" w:space="0"/>
              <w:right w:val="outset" w:color="auto" w:sz="6" w:space="0"/>
            </w:tcBorders>
            <w:vAlign w:val="center"/>
          </w:tcPr>
          <w:p w14:paraId="32B935D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12" w:type="dxa"/>
            <w:tcBorders>
              <w:top w:val="outset" w:color="auto" w:sz="6" w:space="0"/>
              <w:left w:val="outset" w:color="auto" w:sz="6" w:space="0"/>
              <w:bottom w:val="outset" w:color="auto" w:sz="6" w:space="0"/>
              <w:right w:val="outset" w:color="auto" w:sz="6" w:space="0"/>
            </w:tcBorders>
            <w:vAlign w:val="center"/>
          </w:tcPr>
          <w:p w14:paraId="58CED94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r>
    </w:tbl>
    <w:p w14:paraId="165A92D8">
      <w:pPr>
        <w:tabs>
          <w:tab w:val="left" w:pos="0"/>
        </w:tabs>
        <w:ind w:left="17" w:hanging="16" w:hangingChars="7"/>
        <w:jc w:val="left"/>
        <w:rPr>
          <w:rFonts w:ascii="宋体" w:hAnsi="宋体" w:eastAsia="宋体" w:cs="宋体"/>
          <w:color w:val="auto"/>
          <w:sz w:val="24"/>
          <w:highlight w:val="none"/>
        </w:rPr>
      </w:pPr>
    </w:p>
    <w:p w14:paraId="467AB706">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5、隐蔽工程具备隐蔽条件或达到本合同约定的中间验收部位，乙方应进行自检，并在隐蔽前48小时以书面形式通知甲方和监理验收。通知包括隐蔽的内容、验收时间和地点。乙方准备验收记录，验收合格，监理在验收记录张签字后，乙方可进行隐蔽和继续施工。验收不合格，乙方在监理限定的时间内修改后重新验收。</w:t>
      </w:r>
    </w:p>
    <w:p w14:paraId="1B77ACAB">
      <w:pPr>
        <w:tabs>
          <w:tab w:val="left" w:pos="0"/>
        </w:tabs>
        <w:spacing w:line="360" w:lineRule="auto"/>
        <w:ind w:left="-17" w:leftChars="-7"/>
        <w:jc w:val="left"/>
        <w:rPr>
          <w:rFonts w:ascii="宋体" w:hAnsi="宋体" w:eastAsia="宋体" w:cs="宋体"/>
          <w:color w:val="auto"/>
          <w:sz w:val="24"/>
          <w:highlight w:val="none"/>
        </w:rPr>
      </w:pPr>
      <w:r>
        <w:rPr>
          <w:rFonts w:hint="eastAsia" w:ascii="宋体" w:hAnsi="宋体" w:eastAsia="宋体" w:cs="宋体"/>
          <w:color w:val="auto"/>
          <w:sz w:val="24"/>
          <w:highlight w:val="none"/>
        </w:rPr>
        <w:t>6、本项目的水域，必须严格保证施工质量、符合设计要求及有关标准规定，防止出现渗水、漏水现象，在完成水体面层施工后，必须进行闭水实验，及时查漏补渗，同时要求注意处理好变形缝的防水处理。</w:t>
      </w:r>
    </w:p>
    <w:p w14:paraId="037C8E6F">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7、木材工艺要求：</w:t>
      </w:r>
    </w:p>
    <w:p w14:paraId="7A3CA1E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7.1 所用木材以招标样式及投标送样锁定的样品为准，如乙方擅自使用，将无条件承担全部返工责任及费用；</w:t>
      </w:r>
    </w:p>
    <w:p w14:paraId="50BA09A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7.2 所有木材须在铺设前须进行防蚁、防腐处理，防腐处理须满刷熟桐油三遍，须待上一遍浸透暴晒24小时后方可施工下一遍；</w:t>
      </w:r>
    </w:p>
    <w:p w14:paraId="6B47F1F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7.3 固定木座凳应做好包括木材制安和防腐处理。</w:t>
      </w:r>
    </w:p>
    <w:p w14:paraId="4EAB694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7.4 防腐木需使用经过国家权威部门严格检验合格的CCA和ACQ防腐剂对木材进行真空加压浸渍处理，防腐能力需要保持到5年以上，防止腐烂，抗白蚁等虫害的侵蚀，抗真菌类生物的侵蚀、防霉变，防止水生寄生虫的寄生，不易变形或开裂；具体规格参见施工图纸，防腐木龙骨采用防腐处理后的樟子松。</w:t>
      </w:r>
    </w:p>
    <w:p w14:paraId="7468564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木结构制作工程允许偏差和检验方法</w:t>
      </w:r>
    </w:p>
    <w:tbl>
      <w:tblPr>
        <w:tblStyle w:val="45"/>
        <w:tblW w:w="6198" w:type="dxa"/>
        <w:jc w:val="center"/>
        <w:tblCellSpacing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622"/>
        <w:gridCol w:w="1632"/>
        <w:gridCol w:w="2402"/>
        <w:gridCol w:w="1542"/>
      </w:tblGrid>
      <w:tr w14:paraId="30D47C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577" w:type="dxa"/>
            <w:tcBorders>
              <w:top w:val="outset" w:color="auto" w:sz="6" w:space="0"/>
              <w:left w:val="outset" w:color="auto" w:sz="6" w:space="0"/>
              <w:bottom w:val="outset" w:color="auto" w:sz="6" w:space="0"/>
              <w:right w:val="outset" w:color="auto" w:sz="6" w:space="0"/>
            </w:tcBorders>
            <w:vAlign w:val="center"/>
          </w:tcPr>
          <w:p w14:paraId="507BC27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项次</w:t>
            </w:r>
          </w:p>
        </w:tc>
        <w:tc>
          <w:tcPr>
            <w:tcW w:w="4004" w:type="dxa"/>
            <w:gridSpan w:val="2"/>
            <w:tcBorders>
              <w:top w:val="outset" w:color="auto" w:sz="6" w:space="0"/>
              <w:left w:val="outset" w:color="auto" w:sz="6" w:space="0"/>
              <w:bottom w:val="outset" w:color="auto" w:sz="6" w:space="0"/>
              <w:right w:val="outset" w:color="auto" w:sz="6" w:space="0"/>
            </w:tcBorders>
            <w:vAlign w:val="center"/>
          </w:tcPr>
          <w:p w14:paraId="734F18D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 目</w:t>
            </w:r>
          </w:p>
        </w:tc>
        <w:tc>
          <w:tcPr>
            <w:tcW w:w="1497" w:type="dxa"/>
            <w:tcBorders>
              <w:top w:val="outset" w:color="auto" w:sz="6" w:space="0"/>
              <w:left w:val="outset" w:color="auto" w:sz="6" w:space="0"/>
              <w:bottom w:val="outset" w:color="auto" w:sz="6" w:space="0"/>
              <w:right w:val="outset" w:color="auto" w:sz="6" w:space="0"/>
            </w:tcBorders>
            <w:vAlign w:val="center"/>
          </w:tcPr>
          <w:p w14:paraId="5C0618E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允许偏差(mm)</w:t>
            </w:r>
          </w:p>
        </w:tc>
      </w:tr>
      <w:tr w14:paraId="465B9A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577" w:type="dxa"/>
            <w:vMerge w:val="restart"/>
            <w:tcBorders>
              <w:top w:val="outset" w:color="auto" w:sz="6" w:space="0"/>
              <w:left w:val="outset" w:color="auto" w:sz="6" w:space="0"/>
              <w:bottom w:val="outset" w:color="auto" w:sz="6" w:space="0"/>
              <w:right w:val="outset" w:color="auto" w:sz="6" w:space="0"/>
            </w:tcBorders>
            <w:vAlign w:val="center"/>
          </w:tcPr>
          <w:p w14:paraId="4706FD0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602" w:type="dxa"/>
            <w:vMerge w:val="restart"/>
            <w:tcBorders>
              <w:top w:val="outset" w:color="auto" w:sz="6" w:space="0"/>
              <w:left w:val="outset" w:color="auto" w:sz="6" w:space="0"/>
              <w:bottom w:val="outset" w:color="auto" w:sz="6" w:space="0"/>
              <w:right w:val="outset" w:color="auto" w:sz="6" w:space="0"/>
            </w:tcBorders>
            <w:vAlign w:val="center"/>
          </w:tcPr>
          <w:p w14:paraId="765F7D3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构件截面尺寸</w:t>
            </w:r>
          </w:p>
        </w:tc>
        <w:tc>
          <w:tcPr>
            <w:tcW w:w="2372" w:type="dxa"/>
            <w:tcBorders>
              <w:top w:val="outset" w:color="auto" w:sz="6" w:space="0"/>
              <w:left w:val="outset" w:color="auto" w:sz="6" w:space="0"/>
              <w:bottom w:val="outset" w:color="auto" w:sz="6" w:space="0"/>
              <w:right w:val="outset" w:color="auto" w:sz="6" w:space="0"/>
            </w:tcBorders>
            <w:vAlign w:val="center"/>
          </w:tcPr>
          <w:p w14:paraId="7BDF1D0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方林构件高度、宽度</w:t>
            </w:r>
          </w:p>
        </w:tc>
        <w:tc>
          <w:tcPr>
            <w:tcW w:w="1497" w:type="dxa"/>
            <w:tcBorders>
              <w:top w:val="outset" w:color="auto" w:sz="6" w:space="0"/>
              <w:left w:val="outset" w:color="auto" w:sz="6" w:space="0"/>
              <w:bottom w:val="outset" w:color="auto" w:sz="6" w:space="0"/>
              <w:right w:val="outset" w:color="auto" w:sz="6" w:space="0"/>
            </w:tcBorders>
            <w:vAlign w:val="center"/>
          </w:tcPr>
          <w:p w14:paraId="719451C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r>
      <w:tr w14:paraId="3A1AF3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255" w:hRule="atLeast"/>
          <w:tblCellSpacing w:w="15" w:type="dxa"/>
          <w:jc w:val="center"/>
        </w:trPr>
        <w:tc>
          <w:tcPr>
            <w:tcW w:w="577" w:type="dxa"/>
            <w:vMerge w:val="continue"/>
            <w:tcBorders>
              <w:top w:val="outset" w:color="auto" w:sz="6" w:space="0"/>
              <w:left w:val="outset" w:color="auto" w:sz="6" w:space="0"/>
              <w:bottom w:val="outset" w:color="auto" w:sz="6" w:space="0"/>
              <w:right w:val="outset" w:color="auto" w:sz="6" w:space="0"/>
            </w:tcBorders>
            <w:vAlign w:val="center"/>
          </w:tcPr>
          <w:p w14:paraId="069F4A40">
            <w:pPr>
              <w:tabs>
                <w:tab w:val="left" w:pos="0"/>
              </w:tabs>
              <w:ind w:left="17" w:hanging="16" w:hangingChars="7"/>
              <w:jc w:val="left"/>
              <w:rPr>
                <w:rFonts w:ascii="宋体" w:hAnsi="宋体" w:eastAsia="宋体" w:cs="宋体"/>
                <w:color w:val="auto"/>
                <w:sz w:val="24"/>
                <w:highlight w:val="none"/>
              </w:rPr>
            </w:pPr>
          </w:p>
        </w:tc>
        <w:tc>
          <w:tcPr>
            <w:tcW w:w="1602" w:type="dxa"/>
            <w:vMerge w:val="continue"/>
            <w:tcBorders>
              <w:top w:val="outset" w:color="auto" w:sz="6" w:space="0"/>
              <w:left w:val="outset" w:color="auto" w:sz="6" w:space="0"/>
              <w:bottom w:val="outset" w:color="auto" w:sz="6" w:space="0"/>
              <w:right w:val="outset" w:color="auto" w:sz="6" w:space="0"/>
            </w:tcBorders>
            <w:vAlign w:val="center"/>
          </w:tcPr>
          <w:p w14:paraId="6C3659C0">
            <w:pPr>
              <w:tabs>
                <w:tab w:val="left" w:pos="0"/>
              </w:tabs>
              <w:ind w:left="17" w:hanging="16" w:hangingChars="7"/>
              <w:jc w:val="left"/>
              <w:rPr>
                <w:rFonts w:ascii="宋体" w:hAnsi="宋体" w:eastAsia="宋体" w:cs="宋体"/>
                <w:color w:val="auto"/>
                <w:sz w:val="24"/>
                <w:highlight w:val="none"/>
              </w:rPr>
            </w:pPr>
          </w:p>
        </w:tc>
        <w:tc>
          <w:tcPr>
            <w:tcW w:w="2372" w:type="dxa"/>
            <w:tcBorders>
              <w:top w:val="outset" w:color="auto" w:sz="6" w:space="0"/>
              <w:left w:val="outset" w:color="auto" w:sz="6" w:space="0"/>
              <w:bottom w:val="outset" w:color="auto" w:sz="6" w:space="0"/>
              <w:right w:val="outset" w:color="auto" w:sz="6" w:space="0"/>
            </w:tcBorders>
            <w:vAlign w:val="center"/>
          </w:tcPr>
          <w:p w14:paraId="685B246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原木构件梢径</w:t>
            </w:r>
          </w:p>
        </w:tc>
        <w:tc>
          <w:tcPr>
            <w:tcW w:w="1497" w:type="dxa"/>
            <w:tcBorders>
              <w:top w:val="outset" w:color="auto" w:sz="6" w:space="0"/>
              <w:left w:val="outset" w:color="auto" w:sz="6" w:space="0"/>
              <w:bottom w:val="outset" w:color="auto" w:sz="6" w:space="0"/>
              <w:right w:val="outset" w:color="auto" w:sz="6" w:space="0"/>
            </w:tcBorders>
            <w:vAlign w:val="center"/>
          </w:tcPr>
          <w:p w14:paraId="7107CB3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r>
      <w:tr w14:paraId="644B2A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30" w:hRule="atLeast"/>
          <w:tblCellSpacing w:w="15" w:type="dxa"/>
          <w:jc w:val="center"/>
        </w:trPr>
        <w:tc>
          <w:tcPr>
            <w:tcW w:w="577" w:type="dxa"/>
            <w:vMerge w:val="restart"/>
            <w:tcBorders>
              <w:top w:val="outset" w:color="auto" w:sz="6" w:space="0"/>
              <w:left w:val="outset" w:color="auto" w:sz="6" w:space="0"/>
              <w:bottom w:val="outset" w:color="auto" w:sz="6" w:space="0"/>
              <w:right w:val="outset" w:color="auto" w:sz="6" w:space="0"/>
            </w:tcBorders>
            <w:vAlign w:val="center"/>
          </w:tcPr>
          <w:p w14:paraId="24649CD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602" w:type="dxa"/>
            <w:vMerge w:val="restart"/>
            <w:tcBorders>
              <w:top w:val="outset" w:color="auto" w:sz="6" w:space="0"/>
              <w:left w:val="outset" w:color="auto" w:sz="6" w:space="0"/>
              <w:bottom w:val="outset" w:color="auto" w:sz="6" w:space="0"/>
              <w:right w:val="outset" w:color="auto" w:sz="6" w:space="0"/>
            </w:tcBorders>
            <w:vAlign w:val="center"/>
          </w:tcPr>
          <w:p w14:paraId="108918A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结构长度</w:t>
            </w:r>
          </w:p>
        </w:tc>
        <w:tc>
          <w:tcPr>
            <w:tcW w:w="2372" w:type="dxa"/>
            <w:tcBorders>
              <w:top w:val="outset" w:color="auto" w:sz="6" w:space="0"/>
              <w:left w:val="outset" w:color="auto" w:sz="6" w:space="0"/>
              <w:bottom w:val="outset" w:color="auto" w:sz="6" w:space="0"/>
              <w:right w:val="outset" w:color="auto" w:sz="6" w:space="0"/>
            </w:tcBorders>
            <w:vAlign w:val="center"/>
          </w:tcPr>
          <w:p w14:paraId="040E7D7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方木构件长度≥4</w:t>
            </w:r>
          </w:p>
        </w:tc>
        <w:tc>
          <w:tcPr>
            <w:tcW w:w="1497" w:type="dxa"/>
            <w:tcBorders>
              <w:top w:val="outset" w:color="auto" w:sz="6" w:space="0"/>
              <w:left w:val="outset" w:color="auto" w:sz="6" w:space="0"/>
              <w:bottom w:val="outset" w:color="auto" w:sz="6" w:space="0"/>
              <w:right w:val="outset" w:color="auto" w:sz="6" w:space="0"/>
            </w:tcBorders>
            <w:vAlign w:val="center"/>
          </w:tcPr>
          <w:p w14:paraId="33549A8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r>
      <w:tr w14:paraId="70675A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577" w:type="dxa"/>
            <w:vMerge w:val="continue"/>
            <w:tcBorders>
              <w:top w:val="outset" w:color="auto" w:sz="6" w:space="0"/>
              <w:left w:val="outset" w:color="auto" w:sz="6" w:space="0"/>
              <w:bottom w:val="outset" w:color="auto" w:sz="6" w:space="0"/>
              <w:right w:val="outset" w:color="auto" w:sz="6" w:space="0"/>
            </w:tcBorders>
            <w:vAlign w:val="center"/>
          </w:tcPr>
          <w:p w14:paraId="536E36BC">
            <w:pPr>
              <w:tabs>
                <w:tab w:val="left" w:pos="0"/>
              </w:tabs>
              <w:ind w:left="17" w:hanging="16" w:hangingChars="7"/>
              <w:jc w:val="left"/>
              <w:rPr>
                <w:rFonts w:ascii="宋体" w:hAnsi="宋体" w:eastAsia="宋体" w:cs="宋体"/>
                <w:color w:val="auto"/>
                <w:sz w:val="24"/>
                <w:highlight w:val="none"/>
              </w:rPr>
            </w:pPr>
          </w:p>
        </w:tc>
        <w:tc>
          <w:tcPr>
            <w:tcW w:w="1602" w:type="dxa"/>
            <w:vMerge w:val="continue"/>
            <w:tcBorders>
              <w:top w:val="outset" w:color="auto" w:sz="6" w:space="0"/>
              <w:left w:val="outset" w:color="auto" w:sz="6" w:space="0"/>
              <w:bottom w:val="outset" w:color="auto" w:sz="6" w:space="0"/>
              <w:right w:val="outset" w:color="auto" w:sz="6" w:space="0"/>
            </w:tcBorders>
            <w:vAlign w:val="center"/>
          </w:tcPr>
          <w:p w14:paraId="69180F58">
            <w:pPr>
              <w:tabs>
                <w:tab w:val="left" w:pos="0"/>
              </w:tabs>
              <w:ind w:left="17" w:hanging="16" w:hangingChars="7"/>
              <w:jc w:val="left"/>
              <w:rPr>
                <w:rFonts w:ascii="宋体" w:hAnsi="宋体" w:eastAsia="宋体" w:cs="宋体"/>
                <w:color w:val="auto"/>
                <w:sz w:val="24"/>
                <w:highlight w:val="none"/>
              </w:rPr>
            </w:pPr>
          </w:p>
        </w:tc>
        <w:tc>
          <w:tcPr>
            <w:tcW w:w="2372" w:type="dxa"/>
            <w:tcBorders>
              <w:top w:val="outset" w:color="auto" w:sz="6" w:space="0"/>
              <w:left w:val="outset" w:color="auto" w:sz="6" w:space="0"/>
              <w:bottom w:val="outset" w:color="auto" w:sz="6" w:space="0"/>
              <w:right w:val="outset" w:color="auto" w:sz="6" w:space="0"/>
            </w:tcBorders>
            <w:vAlign w:val="center"/>
          </w:tcPr>
          <w:p w14:paraId="2D71A41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方木构件长度&gt;4</w:t>
            </w:r>
          </w:p>
        </w:tc>
        <w:tc>
          <w:tcPr>
            <w:tcW w:w="1497" w:type="dxa"/>
            <w:tcBorders>
              <w:top w:val="outset" w:color="auto" w:sz="6" w:space="0"/>
              <w:left w:val="outset" w:color="auto" w:sz="6" w:space="0"/>
              <w:bottom w:val="outset" w:color="auto" w:sz="6" w:space="0"/>
              <w:right w:val="outset" w:color="auto" w:sz="6" w:space="0"/>
            </w:tcBorders>
            <w:vAlign w:val="center"/>
          </w:tcPr>
          <w:p w14:paraId="31D8F03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±10</w:t>
            </w:r>
          </w:p>
        </w:tc>
      </w:tr>
      <w:tr w14:paraId="0829B4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90" w:hRule="atLeast"/>
          <w:tblCellSpacing w:w="15" w:type="dxa"/>
          <w:jc w:val="center"/>
        </w:trPr>
        <w:tc>
          <w:tcPr>
            <w:tcW w:w="577" w:type="dxa"/>
            <w:tcBorders>
              <w:top w:val="outset" w:color="auto" w:sz="6" w:space="0"/>
              <w:left w:val="outset" w:color="auto" w:sz="6" w:space="0"/>
              <w:bottom w:val="outset" w:color="auto" w:sz="6" w:space="0"/>
              <w:right w:val="outset" w:color="auto" w:sz="6" w:space="0"/>
            </w:tcBorders>
            <w:vAlign w:val="center"/>
          </w:tcPr>
          <w:p w14:paraId="0593079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4004" w:type="dxa"/>
            <w:gridSpan w:val="2"/>
            <w:tcBorders>
              <w:top w:val="outset" w:color="auto" w:sz="6" w:space="0"/>
              <w:left w:val="outset" w:color="auto" w:sz="6" w:space="0"/>
              <w:bottom w:val="outset" w:color="auto" w:sz="6" w:space="0"/>
              <w:right w:val="outset" w:color="auto" w:sz="6" w:space="0"/>
            </w:tcBorders>
            <w:vAlign w:val="center"/>
          </w:tcPr>
          <w:p w14:paraId="6EAB6E4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结构中心线的间距</w:t>
            </w:r>
          </w:p>
        </w:tc>
        <w:tc>
          <w:tcPr>
            <w:tcW w:w="1497" w:type="dxa"/>
            <w:tcBorders>
              <w:top w:val="outset" w:color="auto" w:sz="6" w:space="0"/>
              <w:left w:val="outset" w:color="auto" w:sz="6" w:space="0"/>
              <w:bottom w:val="outset" w:color="auto" w:sz="6" w:space="0"/>
              <w:right w:val="outset" w:color="auto" w:sz="6" w:space="0"/>
            </w:tcBorders>
            <w:vAlign w:val="center"/>
          </w:tcPr>
          <w:p w14:paraId="40BA721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±10</w:t>
            </w:r>
          </w:p>
        </w:tc>
      </w:tr>
      <w:tr w14:paraId="180F95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577" w:type="dxa"/>
            <w:tcBorders>
              <w:top w:val="outset" w:color="auto" w:sz="6" w:space="0"/>
              <w:left w:val="outset" w:color="auto" w:sz="6" w:space="0"/>
              <w:bottom w:val="outset" w:color="auto" w:sz="6" w:space="0"/>
              <w:right w:val="outset" w:color="auto" w:sz="6" w:space="0"/>
            </w:tcBorders>
            <w:vAlign w:val="center"/>
          </w:tcPr>
          <w:p w14:paraId="6267863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w:t>
            </w:r>
          </w:p>
        </w:tc>
        <w:tc>
          <w:tcPr>
            <w:tcW w:w="4004" w:type="dxa"/>
            <w:gridSpan w:val="2"/>
            <w:tcBorders>
              <w:top w:val="outset" w:color="auto" w:sz="6" w:space="0"/>
              <w:left w:val="outset" w:color="auto" w:sz="6" w:space="0"/>
              <w:bottom w:val="outset" w:color="auto" w:sz="6" w:space="0"/>
              <w:right w:val="outset" w:color="auto" w:sz="6" w:space="0"/>
            </w:tcBorders>
            <w:vAlign w:val="center"/>
          </w:tcPr>
          <w:p w14:paraId="3E69074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垂直度</w:t>
            </w:r>
          </w:p>
        </w:tc>
        <w:tc>
          <w:tcPr>
            <w:tcW w:w="1497" w:type="dxa"/>
            <w:tcBorders>
              <w:top w:val="outset" w:color="auto" w:sz="6" w:space="0"/>
              <w:left w:val="outset" w:color="auto" w:sz="6" w:space="0"/>
              <w:bottom w:val="outset" w:color="auto" w:sz="6" w:space="0"/>
              <w:right w:val="outset" w:color="auto" w:sz="6" w:space="0"/>
            </w:tcBorders>
            <w:vAlign w:val="center"/>
          </w:tcPr>
          <w:p w14:paraId="34B4670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1/500</w:t>
            </w:r>
          </w:p>
        </w:tc>
      </w:tr>
      <w:tr w14:paraId="68070B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577" w:type="dxa"/>
            <w:tcBorders>
              <w:top w:val="outset" w:color="auto" w:sz="6" w:space="0"/>
              <w:left w:val="outset" w:color="auto" w:sz="6" w:space="0"/>
              <w:bottom w:val="outset" w:color="auto" w:sz="6" w:space="0"/>
              <w:right w:val="outset" w:color="auto" w:sz="6" w:space="0"/>
            </w:tcBorders>
            <w:vAlign w:val="center"/>
          </w:tcPr>
          <w:p w14:paraId="4668F30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c>
          <w:tcPr>
            <w:tcW w:w="4004" w:type="dxa"/>
            <w:gridSpan w:val="2"/>
            <w:tcBorders>
              <w:top w:val="outset" w:color="auto" w:sz="6" w:space="0"/>
              <w:left w:val="outset" w:color="auto" w:sz="6" w:space="0"/>
              <w:bottom w:val="outset" w:color="auto" w:sz="6" w:space="0"/>
              <w:right w:val="outset" w:color="auto" w:sz="6" w:space="0"/>
            </w:tcBorders>
            <w:vAlign w:val="center"/>
          </w:tcPr>
          <w:p w14:paraId="565300B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受压或压弯构件纵向弯曲</w:t>
            </w:r>
          </w:p>
        </w:tc>
        <w:tc>
          <w:tcPr>
            <w:tcW w:w="1497" w:type="dxa"/>
            <w:tcBorders>
              <w:top w:val="outset" w:color="auto" w:sz="6" w:space="0"/>
              <w:left w:val="outset" w:color="auto" w:sz="6" w:space="0"/>
              <w:bottom w:val="outset" w:color="auto" w:sz="6" w:space="0"/>
              <w:right w:val="outset" w:color="auto" w:sz="6" w:space="0"/>
            </w:tcBorders>
            <w:vAlign w:val="center"/>
          </w:tcPr>
          <w:p w14:paraId="0C62BB24">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1/400</w:t>
            </w:r>
          </w:p>
        </w:tc>
      </w:tr>
      <w:tr w14:paraId="79953F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blCellSpacing w:w="15" w:type="dxa"/>
          <w:jc w:val="center"/>
        </w:trPr>
        <w:tc>
          <w:tcPr>
            <w:tcW w:w="577" w:type="dxa"/>
            <w:tcBorders>
              <w:top w:val="outset" w:color="auto" w:sz="6" w:space="0"/>
              <w:left w:val="outset" w:color="auto" w:sz="6" w:space="0"/>
              <w:bottom w:val="outset" w:color="auto" w:sz="6" w:space="0"/>
              <w:right w:val="outset" w:color="auto" w:sz="6" w:space="0"/>
            </w:tcBorders>
            <w:vAlign w:val="center"/>
          </w:tcPr>
          <w:p w14:paraId="65CDCACD">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w:t>
            </w:r>
          </w:p>
        </w:tc>
        <w:tc>
          <w:tcPr>
            <w:tcW w:w="4004" w:type="dxa"/>
            <w:gridSpan w:val="2"/>
            <w:tcBorders>
              <w:top w:val="outset" w:color="auto" w:sz="6" w:space="0"/>
              <w:left w:val="outset" w:color="auto" w:sz="6" w:space="0"/>
              <w:bottom w:val="outset" w:color="auto" w:sz="6" w:space="0"/>
              <w:right w:val="outset" w:color="auto" w:sz="6" w:space="0"/>
            </w:tcBorders>
            <w:vAlign w:val="center"/>
          </w:tcPr>
          <w:p w14:paraId="36C64D1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螺杆伸出螺帽长度</w:t>
            </w:r>
          </w:p>
        </w:tc>
        <w:tc>
          <w:tcPr>
            <w:tcW w:w="1497" w:type="dxa"/>
            <w:tcBorders>
              <w:top w:val="outset" w:color="auto" w:sz="6" w:space="0"/>
              <w:left w:val="outset" w:color="auto" w:sz="6" w:space="0"/>
              <w:bottom w:val="outset" w:color="auto" w:sz="6" w:space="0"/>
              <w:right w:val="outset" w:color="auto" w:sz="6" w:space="0"/>
            </w:tcBorders>
            <w:vAlign w:val="center"/>
          </w:tcPr>
          <w:p w14:paraId="0709344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&lt;10</w:t>
            </w:r>
          </w:p>
        </w:tc>
      </w:tr>
    </w:tbl>
    <w:p w14:paraId="5F1A903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7.5 油漆要求：油漆需使用木器漆，具体效果需打样经监理、甲方设计工程师确认后方可大面积施工。</w:t>
      </w:r>
    </w:p>
    <w:p w14:paraId="68A19EB4">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8、钢结构工艺要求：</w:t>
      </w:r>
    </w:p>
    <w:p w14:paraId="5255A98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8.1 所有钢构件要求工厂制作，现场组装。钢材按国产优质产品选用。各项性能指标必须满足招标文件要求并符合国家相应规范和技术标准；</w:t>
      </w:r>
    </w:p>
    <w:p w14:paraId="652F240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8.2 钢构件表面要进行喷砂除锈处理，除锈等级达到ST2级，构件经除锈处理后应立即喷涂保养底漆，然后涂两道红丹底漆，最后涂面漆，其品牌和表面处理报经甲方同意，钢结构应提交样板供甲方审核和选择，所有样板须有制造商发出的有关表面处理方法的报告；</w:t>
      </w:r>
    </w:p>
    <w:p w14:paraId="636025C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8.3 所有的预埋铁件焊接完成后在隐蔽前要做防锈处理；</w:t>
      </w:r>
    </w:p>
    <w:p w14:paraId="13CECE23">
      <w:pPr>
        <w:tabs>
          <w:tab w:val="left" w:pos="0"/>
        </w:tabs>
        <w:spacing w:line="360" w:lineRule="auto"/>
        <w:ind w:left="17" w:hanging="16" w:hangingChars="7"/>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8.4 高强螺栓连接件表面采用喷砂</w:t>
      </w:r>
    </w:p>
    <w:tbl>
      <w:tblPr>
        <w:tblStyle w:val="45"/>
        <w:tblpPr w:leftFromText="180" w:rightFromText="180" w:vertAnchor="text" w:horzAnchor="page" w:tblpX="2266" w:tblpY="298"/>
        <w:tblOverlap w:val="never"/>
        <w:tblW w:w="6121" w:type="dxa"/>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634"/>
        <w:gridCol w:w="1665"/>
        <w:gridCol w:w="2450"/>
        <w:gridCol w:w="1372"/>
      </w:tblGrid>
      <w:tr w14:paraId="191E8C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blCellSpacing w:w="15" w:type="dxa"/>
        </w:trPr>
        <w:tc>
          <w:tcPr>
            <w:tcW w:w="589" w:type="dxa"/>
            <w:vAlign w:val="center"/>
          </w:tcPr>
          <w:p w14:paraId="30FBB34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项次</w:t>
            </w:r>
          </w:p>
        </w:tc>
        <w:tc>
          <w:tcPr>
            <w:tcW w:w="4085" w:type="dxa"/>
            <w:gridSpan w:val="2"/>
            <w:vAlign w:val="center"/>
          </w:tcPr>
          <w:p w14:paraId="320F90F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 目</w:t>
            </w:r>
          </w:p>
        </w:tc>
        <w:tc>
          <w:tcPr>
            <w:tcW w:w="1327" w:type="dxa"/>
            <w:vAlign w:val="center"/>
          </w:tcPr>
          <w:p w14:paraId="76E34EC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允许偏差(mm)</w:t>
            </w:r>
          </w:p>
        </w:tc>
      </w:tr>
      <w:tr w14:paraId="061DA5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blCellSpacing w:w="15" w:type="dxa"/>
        </w:trPr>
        <w:tc>
          <w:tcPr>
            <w:tcW w:w="589" w:type="dxa"/>
            <w:vMerge w:val="restart"/>
            <w:vAlign w:val="center"/>
          </w:tcPr>
          <w:p w14:paraId="0E042FE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635" w:type="dxa"/>
            <w:vMerge w:val="restart"/>
            <w:vAlign w:val="center"/>
          </w:tcPr>
          <w:p w14:paraId="213E294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构件截面尺寸</w:t>
            </w:r>
          </w:p>
        </w:tc>
        <w:tc>
          <w:tcPr>
            <w:tcW w:w="2420" w:type="dxa"/>
            <w:vAlign w:val="center"/>
          </w:tcPr>
          <w:p w14:paraId="767D269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方林构件高度、宽度</w:t>
            </w:r>
          </w:p>
        </w:tc>
        <w:tc>
          <w:tcPr>
            <w:tcW w:w="1327" w:type="dxa"/>
            <w:vAlign w:val="center"/>
          </w:tcPr>
          <w:p w14:paraId="5E6D005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r>
      <w:tr w14:paraId="40F0F8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255" w:hRule="atLeast"/>
          <w:tblCellSpacing w:w="15" w:type="dxa"/>
        </w:trPr>
        <w:tc>
          <w:tcPr>
            <w:tcW w:w="589" w:type="dxa"/>
            <w:vMerge w:val="continue"/>
            <w:vAlign w:val="center"/>
          </w:tcPr>
          <w:p w14:paraId="4C46A7DE">
            <w:pPr>
              <w:tabs>
                <w:tab w:val="left" w:pos="0"/>
              </w:tabs>
              <w:ind w:left="17" w:hanging="16" w:hangingChars="7"/>
              <w:jc w:val="left"/>
              <w:rPr>
                <w:rFonts w:ascii="宋体" w:hAnsi="宋体" w:eastAsia="宋体" w:cs="宋体"/>
                <w:color w:val="auto"/>
                <w:sz w:val="24"/>
                <w:highlight w:val="none"/>
              </w:rPr>
            </w:pPr>
          </w:p>
        </w:tc>
        <w:tc>
          <w:tcPr>
            <w:tcW w:w="1635" w:type="dxa"/>
            <w:vMerge w:val="continue"/>
            <w:vAlign w:val="center"/>
          </w:tcPr>
          <w:p w14:paraId="37DF597D">
            <w:pPr>
              <w:tabs>
                <w:tab w:val="left" w:pos="0"/>
              </w:tabs>
              <w:ind w:left="17" w:hanging="16" w:hangingChars="7"/>
              <w:jc w:val="left"/>
              <w:rPr>
                <w:rFonts w:ascii="宋体" w:hAnsi="宋体" w:eastAsia="宋体" w:cs="宋体"/>
                <w:color w:val="auto"/>
                <w:sz w:val="24"/>
                <w:highlight w:val="none"/>
              </w:rPr>
            </w:pPr>
          </w:p>
        </w:tc>
        <w:tc>
          <w:tcPr>
            <w:tcW w:w="2420" w:type="dxa"/>
            <w:vAlign w:val="center"/>
          </w:tcPr>
          <w:p w14:paraId="01FCEAE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原木构件梢径</w:t>
            </w:r>
          </w:p>
        </w:tc>
        <w:tc>
          <w:tcPr>
            <w:tcW w:w="1327" w:type="dxa"/>
            <w:vAlign w:val="center"/>
          </w:tcPr>
          <w:p w14:paraId="25F1CD0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r>
      <w:tr w14:paraId="58B7AB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330" w:hRule="atLeast"/>
          <w:tblCellSpacing w:w="15" w:type="dxa"/>
        </w:trPr>
        <w:tc>
          <w:tcPr>
            <w:tcW w:w="589" w:type="dxa"/>
            <w:vMerge w:val="restart"/>
            <w:vAlign w:val="center"/>
          </w:tcPr>
          <w:p w14:paraId="09ECC9A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635" w:type="dxa"/>
            <w:vMerge w:val="restart"/>
            <w:vAlign w:val="center"/>
          </w:tcPr>
          <w:p w14:paraId="00186F1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结构长度</w:t>
            </w:r>
          </w:p>
        </w:tc>
        <w:tc>
          <w:tcPr>
            <w:tcW w:w="2420" w:type="dxa"/>
            <w:vAlign w:val="center"/>
          </w:tcPr>
          <w:p w14:paraId="42E6FE23">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方木构件长度≥4</w:t>
            </w:r>
          </w:p>
        </w:tc>
        <w:tc>
          <w:tcPr>
            <w:tcW w:w="1327" w:type="dxa"/>
            <w:vAlign w:val="center"/>
          </w:tcPr>
          <w:p w14:paraId="799E7FC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r>
      <w:tr w14:paraId="335313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blCellSpacing w:w="15" w:type="dxa"/>
        </w:trPr>
        <w:tc>
          <w:tcPr>
            <w:tcW w:w="589" w:type="dxa"/>
            <w:vMerge w:val="continue"/>
            <w:vAlign w:val="center"/>
          </w:tcPr>
          <w:p w14:paraId="7F38D8FB">
            <w:pPr>
              <w:tabs>
                <w:tab w:val="left" w:pos="0"/>
              </w:tabs>
              <w:ind w:left="17" w:hanging="16" w:hangingChars="7"/>
              <w:jc w:val="left"/>
              <w:rPr>
                <w:rFonts w:ascii="宋体" w:hAnsi="宋体" w:eastAsia="宋体" w:cs="宋体"/>
                <w:color w:val="auto"/>
                <w:sz w:val="24"/>
                <w:highlight w:val="none"/>
              </w:rPr>
            </w:pPr>
          </w:p>
        </w:tc>
        <w:tc>
          <w:tcPr>
            <w:tcW w:w="1635" w:type="dxa"/>
            <w:vMerge w:val="continue"/>
            <w:vAlign w:val="center"/>
          </w:tcPr>
          <w:p w14:paraId="69A373C4">
            <w:pPr>
              <w:tabs>
                <w:tab w:val="left" w:pos="0"/>
              </w:tabs>
              <w:ind w:left="17" w:hanging="16" w:hangingChars="7"/>
              <w:jc w:val="left"/>
              <w:rPr>
                <w:rFonts w:ascii="宋体" w:hAnsi="宋体" w:eastAsia="宋体" w:cs="宋体"/>
                <w:color w:val="auto"/>
                <w:sz w:val="24"/>
                <w:highlight w:val="none"/>
              </w:rPr>
            </w:pPr>
          </w:p>
        </w:tc>
        <w:tc>
          <w:tcPr>
            <w:tcW w:w="2420" w:type="dxa"/>
            <w:vAlign w:val="center"/>
          </w:tcPr>
          <w:p w14:paraId="0A718C4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方木构件长度&gt;4</w:t>
            </w:r>
          </w:p>
        </w:tc>
        <w:tc>
          <w:tcPr>
            <w:tcW w:w="1327" w:type="dxa"/>
            <w:vAlign w:val="center"/>
          </w:tcPr>
          <w:p w14:paraId="135A9F7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±10</w:t>
            </w:r>
          </w:p>
        </w:tc>
      </w:tr>
      <w:tr w14:paraId="599F4F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rHeight w:val="390" w:hRule="atLeast"/>
          <w:tblCellSpacing w:w="15" w:type="dxa"/>
        </w:trPr>
        <w:tc>
          <w:tcPr>
            <w:tcW w:w="589" w:type="dxa"/>
            <w:vAlign w:val="center"/>
          </w:tcPr>
          <w:p w14:paraId="062D4B7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4085" w:type="dxa"/>
            <w:gridSpan w:val="2"/>
            <w:vAlign w:val="center"/>
          </w:tcPr>
          <w:p w14:paraId="0394760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结构中心线的间距</w:t>
            </w:r>
          </w:p>
        </w:tc>
        <w:tc>
          <w:tcPr>
            <w:tcW w:w="1327" w:type="dxa"/>
            <w:vAlign w:val="center"/>
          </w:tcPr>
          <w:p w14:paraId="1985E76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±10</w:t>
            </w:r>
          </w:p>
        </w:tc>
      </w:tr>
      <w:tr w14:paraId="5AE9A1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blCellSpacing w:w="15" w:type="dxa"/>
        </w:trPr>
        <w:tc>
          <w:tcPr>
            <w:tcW w:w="589" w:type="dxa"/>
            <w:vAlign w:val="center"/>
          </w:tcPr>
          <w:p w14:paraId="744D814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w:t>
            </w:r>
          </w:p>
        </w:tc>
        <w:tc>
          <w:tcPr>
            <w:tcW w:w="4085" w:type="dxa"/>
            <w:gridSpan w:val="2"/>
            <w:vAlign w:val="center"/>
          </w:tcPr>
          <w:p w14:paraId="02CB1269">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垂直度</w:t>
            </w:r>
          </w:p>
        </w:tc>
        <w:tc>
          <w:tcPr>
            <w:tcW w:w="1327" w:type="dxa"/>
            <w:vAlign w:val="center"/>
          </w:tcPr>
          <w:p w14:paraId="6A20A19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1/500</w:t>
            </w:r>
          </w:p>
        </w:tc>
      </w:tr>
      <w:tr w14:paraId="3A544E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blCellSpacing w:w="15" w:type="dxa"/>
        </w:trPr>
        <w:tc>
          <w:tcPr>
            <w:tcW w:w="589" w:type="dxa"/>
            <w:vAlign w:val="center"/>
          </w:tcPr>
          <w:p w14:paraId="3DB3299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w:t>
            </w:r>
          </w:p>
        </w:tc>
        <w:tc>
          <w:tcPr>
            <w:tcW w:w="4085" w:type="dxa"/>
            <w:gridSpan w:val="2"/>
            <w:vAlign w:val="center"/>
          </w:tcPr>
          <w:p w14:paraId="2CB3FF3E">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受压或压弯构件纵向弯曲</w:t>
            </w:r>
          </w:p>
        </w:tc>
        <w:tc>
          <w:tcPr>
            <w:tcW w:w="1327" w:type="dxa"/>
            <w:vAlign w:val="center"/>
          </w:tcPr>
          <w:p w14:paraId="56B965F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1/400</w:t>
            </w:r>
          </w:p>
        </w:tc>
      </w:tr>
      <w:tr w14:paraId="34A082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cantSplit/>
          <w:tblCellSpacing w:w="15" w:type="dxa"/>
        </w:trPr>
        <w:tc>
          <w:tcPr>
            <w:tcW w:w="589" w:type="dxa"/>
            <w:vAlign w:val="center"/>
          </w:tcPr>
          <w:p w14:paraId="64156FF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w:t>
            </w:r>
          </w:p>
        </w:tc>
        <w:tc>
          <w:tcPr>
            <w:tcW w:w="4085" w:type="dxa"/>
            <w:gridSpan w:val="2"/>
            <w:vAlign w:val="center"/>
          </w:tcPr>
          <w:p w14:paraId="0BFA797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螺杆伸出螺帽长度</w:t>
            </w:r>
          </w:p>
        </w:tc>
        <w:tc>
          <w:tcPr>
            <w:tcW w:w="1327" w:type="dxa"/>
            <w:vAlign w:val="center"/>
          </w:tcPr>
          <w:p w14:paraId="6921B817">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&lt;10</w:t>
            </w:r>
          </w:p>
        </w:tc>
      </w:tr>
    </w:tbl>
    <w:p w14:paraId="598CACC5">
      <w:pPr>
        <w:tabs>
          <w:tab w:val="left" w:pos="0"/>
        </w:tabs>
        <w:spacing w:line="360" w:lineRule="auto"/>
        <w:ind w:left="17" w:hanging="16" w:hangingChars="7"/>
        <w:jc w:val="left"/>
        <w:rPr>
          <w:rFonts w:hint="eastAsia" w:ascii="宋体" w:hAnsi="宋体" w:eastAsia="宋体" w:cs="宋体"/>
          <w:color w:val="auto"/>
          <w:sz w:val="24"/>
          <w:highlight w:val="none"/>
        </w:rPr>
      </w:pPr>
    </w:p>
    <w:p w14:paraId="47595C1C">
      <w:pPr>
        <w:tabs>
          <w:tab w:val="left" w:pos="0"/>
        </w:tabs>
        <w:ind w:left="17" w:hanging="16" w:hangingChars="7"/>
        <w:jc w:val="left"/>
        <w:rPr>
          <w:rFonts w:ascii="宋体" w:hAnsi="宋体" w:eastAsia="宋体" w:cs="宋体"/>
          <w:color w:val="auto"/>
          <w:sz w:val="24"/>
          <w:highlight w:val="none"/>
        </w:rPr>
      </w:pPr>
    </w:p>
    <w:p w14:paraId="05B411C3">
      <w:pPr>
        <w:tabs>
          <w:tab w:val="left" w:pos="0"/>
        </w:tabs>
        <w:ind w:left="17" w:hanging="16" w:hangingChars="7"/>
        <w:jc w:val="left"/>
        <w:rPr>
          <w:rFonts w:ascii="宋体" w:hAnsi="宋体" w:eastAsia="宋体" w:cs="宋体"/>
          <w:color w:val="auto"/>
          <w:sz w:val="24"/>
          <w:highlight w:val="none"/>
        </w:rPr>
      </w:pPr>
    </w:p>
    <w:p w14:paraId="5D191B7A">
      <w:pPr>
        <w:tabs>
          <w:tab w:val="left" w:pos="0"/>
        </w:tabs>
        <w:spacing w:line="360" w:lineRule="auto"/>
        <w:jc w:val="left"/>
        <w:rPr>
          <w:rFonts w:hint="eastAsia" w:ascii="宋体" w:hAnsi="宋体" w:eastAsia="宋体" w:cs="宋体"/>
          <w:bCs/>
          <w:color w:val="auto"/>
          <w:sz w:val="24"/>
          <w:highlight w:val="none"/>
        </w:rPr>
      </w:pPr>
    </w:p>
    <w:p w14:paraId="458D75C5">
      <w:pPr>
        <w:tabs>
          <w:tab w:val="left" w:pos="0"/>
        </w:tabs>
        <w:spacing w:line="360" w:lineRule="auto"/>
        <w:jc w:val="left"/>
        <w:rPr>
          <w:rFonts w:hint="eastAsia" w:ascii="宋体" w:hAnsi="宋体" w:eastAsia="宋体" w:cs="宋体"/>
          <w:bCs/>
          <w:color w:val="auto"/>
          <w:sz w:val="24"/>
          <w:highlight w:val="none"/>
        </w:rPr>
      </w:pPr>
    </w:p>
    <w:p w14:paraId="439A57AC">
      <w:pPr>
        <w:tabs>
          <w:tab w:val="left" w:pos="0"/>
        </w:tabs>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8.5 基础、柱桩、土方尺寸的允许偏差</w:t>
      </w:r>
    </w:p>
    <w:tbl>
      <w:tblPr>
        <w:tblStyle w:val="45"/>
        <w:tblpPr w:leftFromText="180" w:rightFromText="180" w:vertAnchor="text" w:horzAnchor="page" w:tblpX="2296" w:tblpY="320"/>
        <w:tblOverlap w:val="never"/>
        <w:tblW w:w="5979"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858"/>
        <w:gridCol w:w="1338"/>
        <w:gridCol w:w="2335"/>
        <w:gridCol w:w="1448"/>
      </w:tblGrid>
      <w:tr w14:paraId="3A64D5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712" w:hRule="atLeast"/>
          <w:tblCellSpacing w:w="15" w:type="dxa"/>
        </w:trPr>
        <w:tc>
          <w:tcPr>
            <w:tcW w:w="813" w:type="dxa"/>
            <w:vMerge w:val="restart"/>
            <w:tcBorders>
              <w:top w:val="outset" w:color="auto" w:sz="6" w:space="0"/>
              <w:left w:val="outset" w:color="auto" w:sz="6" w:space="0"/>
              <w:bottom w:val="outset" w:color="auto" w:sz="6" w:space="0"/>
              <w:right w:val="outset" w:color="auto" w:sz="6" w:space="0"/>
            </w:tcBorders>
            <w:vAlign w:val="center"/>
          </w:tcPr>
          <w:p w14:paraId="5534D469">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项次</w:t>
            </w:r>
          </w:p>
        </w:tc>
        <w:tc>
          <w:tcPr>
            <w:tcW w:w="3643" w:type="dxa"/>
            <w:gridSpan w:val="2"/>
            <w:vMerge w:val="restart"/>
            <w:tcBorders>
              <w:top w:val="outset" w:color="auto" w:sz="6" w:space="0"/>
              <w:left w:val="outset" w:color="auto" w:sz="6" w:space="0"/>
              <w:bottom w:val="outset" w:color="auto" w:sz="6" w:space="0"/>
              <w:right w:val="outset" w:color="auto" w:sz="6" w:space="0"/>
            </w:tcBorders>
            <w:vAlign w:val="center"/>
          </w:tcPr>
          <w:p w14:paraId="720F93C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1403" w:type="dxa"/>
            <w:tcBorders>
              <w:top w:val="outset" w:color="auto" w:sz="6" w:space="0"/>
              <w:left w:val="outset" w:color="auto" w:sz="6" w:space="0"/>
              <w:bottom w:val="outset" w:color="auto" w:sz="6" w:space="0"/>
              <w:right w:val="outset" w:color="auto" w:sz="6" w:space="0"/>
            </w:tcBorders>
            <w:vAlign w:val="center"/>
          </w:tcPr>
          <w:p w14:paraId="7A64D6A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允许偏差(mm)</w:t>
            </w:r>
          </w:p>
        </w:tc>
      </w:tr>
      <w:tr w14:paraId="617D9A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85" w:hRule="atLeast"/>
          <w:tblCellSpacing w:w="15" w:type="dxa"/>
        </w:trPr>
        <w:tc>
          <w:tcPr>
            <w:tcW w:w="813" w:type="dxa"/>
            <w:vMerge w:val="continue"/>
            <w:tcBorders>
              <w:top w:val="outset" w:color="auto" w:sz="6" w:space="0"/>
              <w:left w:val="outset" w:color="auto" w:sz="6" w:space="0"/>
              <w:bottom w:val="outset" w:color="auto" w:sz="6" w:space="0"/>
              <w:right w:val="outset" w:color="auto" w:sz="6" w:space="0"/>
            </w:tcBorders>
            <w:vAlign w:val="center"/>
          </w:tcPr>
          <w:p w14:paraId="02F75201">
            <w:pPr>
              <w:tabs>
                <w:tab w:val="left" w:pos="0"/>
              </w:tabs>
              <w:ind w:left="17" w:hanging="16" w:hangingChars="7"/>
              <w:jc w:val="left"/>
              <w:rPr>
                <w:rFonts w:ascii="宋体" w:hAnsi="宋体" w:eastAsia="宋体" w:cs="宋体"/>
                <w:color w:val="auto"/>
                <w:sz w:val="24"/>
                <w:highlight w:val="none"/>
              </w:rPr>
            </w:pPr>
          </w:p>
        </w:tc>
        <w:tc>
          <w:tcPr>
            <w:tcW w:w="3643" w:type="dxa"/>
            <w:gridSpan w:val="2"/>
            <w:vMerge w:val="continue"/>
            <w:tcBorders>
              <w:top w:val="outset" w:color="auto" w:sz="6" w:space="0"/>
              <w:left w:val="outset" w:color="auto" w:sz="6" w:space="0"/>
              <w:bottom w:val="outset" w:color="auto" w:sz="6" w:space="0"/>
              <w:right w:val="outset" w:color="auto" w:sz="6" w:space="0"/>
            </w:tcBorders>
            <w:vAlign w:val="center"/>
          </w:tcPr>
          <w:p w14:paraId="1B323F09">
            <w:pPr>
              <w:tabs>
                <w:tab w:val="left" w:pos="0"/>
              </w:tabs>
              <w:ind w:left="17" w:hanging="16" w:hangingChars="7"/>
              <w:jc w:val="left"/>
              <w:rPr>
                <w:rFonts w:ascii="宋体" w:hAnsi="宋体" w:eastAsia="宋体" w:cs="宋体"/>
                <w:color w:val="auto"/>
                <w:sz w:val="24"/>
                <w:highlight w:val="none"/>
              </w:rPr>
            </w:pPr>
          </w:p>
        </w:tc>
        <w:tc>
          <w:tcPr>
            <w:tcW w:w="1403" w:type="dxa"/>
            <w:tcBorders>
              <w:top w:val="outset" w:color="auto" w:sz="6" w:space="0"/>
              <w:left w:val="outset" w:color="auto" w:sz="6" w:space="0"/>
              <w:bottom w:val="outset" w:color="auto" w:sz="6" w:space="0"/>
              <w:right w:val="outset" w:color="auto" w:sz="6" w:space="0"/>
            </w:tcBorders>
            <w:vAlign w:val="center"/>
          </w:tcPr>
          <w:p w14:paraId="28DA3E6A">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基南、柱桩</w:t>
            </w:r>
          </w:p>
        </w:tc>
      </w:tr>
      <w:tr w14:paraId="70F214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684" w:hRule="atLeast"/>
          <w:tblCellSpacing w:w="15" w:type="dxa"/>
        </w:trPr>
        <w:tc>
          <w:tcPr>
            <w:tcW w:w="813" w:type="dxa"/>
            <w:vMerge w:val="restart"/>
            <w:tcBorders>
              <w:top w:val="outset" w:color="auto" w:sz="6" w:space="0"/>
              <w:left w:val="outset" w:color="auto" w:sz="6" w:space="0"/>
              <w:bottom w:val="outset" w:color="auto" w:sz="6" w:space="0"/>
              <w:right w:val="outset" w:color="auto" w:sz="6" w:space="0"/>
            </w:tcBorders>
            <w:vAlign w:val="center"/>
          </w:tcPr>
          <w:p w14:paraId="7DC8B3C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w:t>
            </w:r>
          </w:p>
        </w:tc>
        <w:tc>
          <w:tcPr>
            <w:tcW w:w="1308" w:type="dxa"/>
            <w:vMerge w:val="restart"/>
            <w:tcBorders>
              <w:top w:val="outset" w:color="auto" w:sz="6" w:space="0"/>
              <w:left w:val="outset" w:color="auto" w:sz="6" w:space="0"/>
              <w:bottom w:val="outset" w:color="auto" w:sz="6" w:space="0"/>
              <w:right w:val="outset" w:color="auto" w:sz="6" w:space="0"/>
            </w:tcBorders>
            <w:vAlign w:val="center"/>
          </w:tcPr>
          <w:p w14:paraId="611AABE3">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基础</w:t>
            </w:r>
          </w:p>
        </w:tc>
        <w:tc>
          <w:tcPr>
            <w:tcW w:w="2305" w:type="dxa"/>
            <w:tcBorders>
              <w:top w:val="outset" w:color="auto" w:sz="6" w:space="0"/>
              <w:left w:val="outset" w:color="auto" w:sz="6" w:space="0"/>
              <w:bottom w:val="outset" w:color="auto" w:sz="6" w:space="0"/>
              <w:right w:val="outset" w:color="auto" w:sz="6" w:space="0"/>
            </w:tcBorders>
            <w:vAlign w:val="center"/>
          </w:tcPr>
          <w:p w14:paraId="774A8F70">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标高</w:t>
            </w:r>
          </w:p>
        </w:tc>
        <w:tc>
          <w:tcPr>
            <w:tcW w:w="1403" w:type="dxa"/>
            <w:tcBorders>
              <w:top w:val="outset" w:color="auto" w:sz="6" w:space="0"/>
              <w:left w:val="outset" w:color="auto" w:sz="6" w:space="0"/>
              <w:bottom w:val="outset" w:color="auto" w:sz="6" w:space="0"/>
              <w:right w:val="outset" w:color="auto" w:sz="6" w:space="0"/>
            </w:tcBorders>
            <w:vAlign w:val="center"/>
          </w:tcPr>
          <w:p w14:paraId="5616D748">
            <w:pPr>
              <w:pStyle w:val="42"/>
              <w:tabs>
                <w:tab w:val="left" w:pos="0"/>
              </w:tabs>
              <w:spacing w:before="0" w:beforeAutospacing="0" w:after="0" w:afterAutospacing="0"/>
              <w:ind w:left="17" w:hanging="16" w:hangingChars="7"/>
              <w:rPr>
                <w:rFonts w:ascii="宋体" w:hAnsi="宋体" w:eastAsia="宋体" w:cs="宋体"/>
                <w:color w:val="auto"/>
                <w:highlight w:val="none"/>
              </w:rPr>
            </w:pPr>
            <w:r>
              <w:rPr>
                <w:rFonts w:hint="eastAsia" w:ascii="宋体" w:hAnsi="宋体" w:eastAsia="宋体" w:cs="宋体"/>
                <w:color w:val="auto"/>
                <w:highlight w:val="none"/>
              </w:rPr>
              <w:t xml:space="preserve">+0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-50</w:t>
            </w:r>
          </w:p>
        </w:tc>
      </w:tr>
      <w:tr w14:paraId="2598BC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85" w:hRule="atLeast"/>
          <w:tblCellSpacing w:w="15" w:type="dxa"/>
        </w:trPr>
        <w:tc>
          <w:tcPr>
            <w:tcW w:w="813" w:type="dxa"/>
            <w:vMerge w:val="continue"/>
            <w:tcBorders>
              <w:top w:val="outset" w:color="auto" w:sz="6" w:space="0"/>
              <w:left w:val="outset" w:color="auto" w:sz="6" w:space="0"/>
              <w:bottom w:val="outset" w:color="auto" w:sz="6" w:space="0"/>
              <w:right w:val="outset" w:color="auto" w:sz="6" w:space="0"/>
            </w:tcBorders>
            <w:vAlign w:val="center"/>
          </w:tcPr>
          <w:p w14:paraId="100F1FD8">
            <w:pPr>
              <w:tabs>
                <w:tab w:val="left" w:pos="0"/>
              </w:tabs>
              <w:ind w:left="17" w:hanging="16" w:hangingChars="7"/>
              <w:jc w:val="left"/>
              <w:rPr>
                <w:rFonts w:ascii="宋体" w:hAnsi="宋体" w:eastAsia="宋体" w:cs="宋体"/>
                <w:color w:val="auto"/>
                <w:sz w:val="24"/>
                <w:highlight w:val="none"/>
              </w:rPr>
            </w:pPr>
          </w:p>
        </w:tc>
        <w:tc>
          <w:tcPr>
            <w:tcW w:w="1308" w:type="dxa"/>
            <w:vMerge w:val="continue"/>
            <w:tcBorders>
              <w:top w:val="outset" w:color="auto" w:sz="6" w:space="0"/>
              <w:left w:val="outset" w:color="auto" w:sz="6" w:space="0"/>
              <w:bottom w:val="outset" w:color="auto" w:sz="6" w:space="0"/>
              <w:right w:val="outset" w:color="auto" w:sz="6" w:space="0"/>
            </w:tcBorders>
            <w:vAlign w:val="center"/>
          </w:tcPr>
          <w:p w14:paraId="58BF47FC">
            <w:pPr>
              <w:tabs>
                <w:tab w:val="left" w:pos="0"/>
              </w:tabs>
              <w:ind w:left="17" w:hanging="16" w:hangingChars="7"/>
              <w:jc w:val="left"/>
              <w:rPr>
                <w:rFonts w:ascii="宋体" w:hAnsi="宋体" w:eastAsia="宋体" w:cs="宋体"/>
                <w:color w:val="auto"/>
                <w:sz w:val="24"/>
                <w:highlight w:val="none"/>
              </w:rPr>
            </w:pPr>
          </w:p>
        </w:tc>
        <w:tc>
          <w:tcPr>
            <w:tcW w:w="2305" w:type="dxa"/>
            <w:tcBorders>
              <w:top w:val="outset" w:color="auto" w:sz="6" w:space="0"/>
              <w:left w:val="outset" w:color="auto" w:sz="6" w:space="0"/>
              <w:bottom w:val="outset" w:color="auto" w:sz="6" w:space="0"/>
              <w:right w:val="outset" w:color="auto" w:sz="6" w:space="0"/>
            </w:tcBorders>
            <w:vAlign w:val="center"/>
          </w:tcPr>
          <w:p w14:paraId="286D6A4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长、宽度</w:t>
            </w:r>
          </w:p>
        </w:tc>
        <w:tc>
          <w:tcPr>
            <w:tcW w:w="1403" w:type="dxa"/>
            <w:tcBorders>
              <w:top w:val="outset" w:color="auto" w:sz="6" w:space="0"/>
              <w:left w:val="outset" w:color="auto" w:sz="6" w:space="0"/>
              <w:bottom w:val="outset" w:color="auto" w:sz="6" w:space="0"/>
              <w:right w:val="outset" w:color="auto" w:sz="6" w:space="0"/>
            </w:tcBorders>
            <w:vAlign w:val="center"/>
          </w:tcPr>
          <w:p w14:paraId="5FA88E7B">
            <w:pPr>
              <w:tabs>
                <w:tab w:val="left" w:pos="0"/>
              </w:tabs>
              <w:ind w:left="17" w:hanging="16" w:hangingChars="7"/>
              <w:jc w:val="left"/>
              <w:rPr>
                <w:rFonts w:ascii="宋体" w:hAnsi="宋体" w:eastAsia="宋体" w:cs="宋体"/>
                <w:color w:val="auto"/>
                <w:sz w:val="24"/>
                <w:highlight w:val="none"/>
              </w:rPr>
            </w:pPr>
          </w:p>
        </w:tc>
      </w:tr>
      <w:tr w14:paraId="7701BA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684" w:hRule="atLeast"/>
          <w:tblCellSpacing w:w="15" w:type="dxa"/>
        </w:trPr>
        <w:tc>
          <w:tcPr>
            <w:tcW w:w="813" w:type="dxa"/>
            <w:vMerge w:val="restart"/>
            <w:tcBorders>
              <w:top w:val="outset" w:color="auto" w:sz="6" w:space="0"/>
              <w:left w:val="outset" w:color="auto" w:sz="6" w:space="0"/>
              <w:bottom w:val="outset" w:color="auto" w:sz="6" w:space="0"/>
              <w:right w:val="outset" w:color="auto" w:sz="6" w:space="0"/>
            </w:tcBorders>
            <w:vAlign w:val="center"/>
          </w:tcPr>
          <w:p w14:paraId="7FF323C1">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w:t>
            </w:r>
          </w:p>
        </w:tc>
        <w:tc>
          <w:tcPr>
            <w:tcW w:w="1308" w:type="dxa"/>
            <w:vMerge w:val="restart"/>
            <w:tcBorders>
              <w:top w:val="outset" w:color="auto" w:sz="6" w:space="0"/>
              <w:left w:val="outset" w:color="auto" w:sz="6" w:space="0"/>
              <w:bottom w:val="outset" w:color="auto" w:sz="6" w:space="0"/>
              <w:right w:val="outset" w:color="auto" w:sz="6" w:space="0"/>
            </w:tcBorders>
            <w:vAlign w:val="center"/>
          </w:tcPr>
          <w:p w14:paraId="4DEA4E1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柱桩</w:t>
            </w:r>
          </w:p>
        </w:tc>
        <w:tc>
          <w:tcPr>
            <w:tcW w:w="2305" w:type="dxa"/>
            <w:tcBorders>
              <w:top w:val="outset" w:color="auto" w:sz="6" w:space="0"/>
              <w:left w:val="outset" w:color="auto" w:sz="6" w:space="0"/>
              <w:bottom w:val="outset" w:color="auto" w:sz="6" w:space="0"/>
              <w:right w:val="outset" w:color="auto" w:sz="6" w:space="0"/>
            </w:tcBorders>
            <w:vAlign w:val="center"/>
          </w:tcPr>
          <w:p w14:paraId="1693081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长</w:t>
            </w:r>
          </w:p>
        </w:tc>
        <w:tc>
          <w:tcPr>
            <w:tcW w:w="1403" w:type="dxa"/>
            <w:tcBorders>
              <w:top w:val="outset" w:color="auto" w:sz="6" w:space="0"/>
              <w:left w:val="outset" w:color="auto" w:sz="6" w:space="0"/>
              <w:bottom w:val="outset" w:color="auto" w:sz="6" w:space="0"/>
              <w:right w:val="outset" w:color="auto" w:sz="6" w:space="0"/>
            </w:tcBorders>
            <w:vAlign w:val="center"/>
          </w:tcPr>
          <w:p w14:paraId="7AFBAFD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0</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+100</w:t>
            </w:r>
          </w:p>
        </w:tc>
      </w:tr>
      <w:tr w14:paraId="3B80E6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684" w:hRule="atLeast"/>
          <w:tblCellSpacing w:w="15" w:type="dxa"/>
        </w:trPr>
        <w:tc>
          <w:tcPr>
            <w:tcW w:w="813" w:type="dxa"/>
            <w:vMerge w:val="continue"/>
            <w:tcBorders>
              <w:top w:val="outset" w:color="auto" w:sz="6" w:space="0"/>
              <w:left w:val="outset" w:color="auto" w:sz="6" w:space="0"/>
              <w:bottom w:val="outset" w:color="auto" w:sz="6" w:space="0"/>
              <w:right w:val="outset" w:color="auto" w:sz="6" w:space="0"/>
            </w:tcBorders>
            <w:vAlign w:val="center"/>
          </w:tcPr>
          <w:p w14:paraId="23A96AB7">
            <w:pPr>
              <w:tabs>
                <w:tab w:val="left" w:pos="0"/>
              </w:tabs>
              <w:ind w:left="17" w:hanging="16" w:hangingChars="7"/>
              <w:jc w:val="left"/>
              <w:rPr>
                <w:rFonts w:ascii="宋体" w:hAnsi="宋体" w:eastAsia="宋体" w:cs="宋体"/>
                <w:color w:val="auto"/>
                <w:sz w:val="24"/>
                <w:highlight w:val="none"/>
              </w:rPr>
            </w:pPr>
          </w:p>
        </w:tc>
        <w:tc>
          <w:tcPr>
            <w:tcW w:w="1308" w:type="dxa"/>
            <w:vMerge w:val="continue"/>
            <w:tcBorders>
              <w:top w:val="outset" w:color="auto" w:sz="6" w:space="0"/>
              <w:left w:val="outset" w:color="auto" w:sz="6" w:space="0"/>
              <w:bottom w:val="outset" w:color="auto" w:sz="6" w:space="0"/>
              <w:right w:val="outset" w:color="auto" w:sz="6" w:space="0"/>
            </w:tcBorders>
            <w:vAlign w:val="center"/>
          </w:tcPr>
          <w:p w14:paraId="5E39E462">
            <w:pPr>
              <w:tabs>
                <w:tab w:val="left" w:pos="0"/>
              </w:tabs>
              <w:ind w:left="17" w:hanging="16" w:hangingChars="7"/>
              <w:jc w:val="left"/>
              <w:rPr>
                <w:rFonts w:ascii="宋体" w:hAnsi="宋体" w:eastAsia="宋体" w:cs="宋体"/>
                <w:color w:val="auto"/>
                <w:sz w:val="24"/>
                <w:highlight w:val="none"/>
              </w:rPr>
            </w:pPr>
          </w:p>
        </w:tc>
        <w:tc>
          <w:tcPr>
            <w:tcW w:w="2305" w:type="dxa"/>
            <w:tcBorders>
              <w:top w:val="outset" w:color="auto" w:sz="6" w:space="0"/>
              <w:left w:val="outset" w:color="auto" w:sz="6" w:space="0"/>
              <w:bottom w:val="outset" w:color="auto" w:sz="6" w:space="0"/>
              <w:right w:val="outset" w:color="auto" w:sz="6" w:space="0"/>
            </w:tcBorders>
            <w:vAlign w:val="center"/>
          </w:tcPr>
          <w:p w14:paraId="497C9C9C">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粗</w:t>
            </w:r>
          </w:p>
        </w:tc>
        <w:tc>
          <w:tcPr>
            <w:tcW w:w="1403" w:type="dxa"/>
            <w:tcBorders>
              <w:top w:val="outset" w:color="auto" w:sz="6" w:space="0"/>
              <w:left w:val="outset" w:color="auto" w:sz="6" w:space="0"/>
              <w:bottom w:val="outset" w:color="auto" w:sz="6" w:space="0"/>
              <w:right w:val="outset" w:color="auto" w:sz="6" w:space="0"/>
            </w:tcBorders>
            <w:vAlign w:val="center"/>
          </w:tcPr>
          <w:p w14:paraId="09C74DD8">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-0</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+20</w:t>
            </w:r>
          </w:p>
        </w:tc>
      </w:tr>
      <w:tr w14:paraId="44BFD7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684" w:hRule="atLeast"/>
          <w:tblCellSpacing w:w="15" w:type="dxa"/>
        </w:trPr>
        <w:tc>
          <w:tcPr>
            <w:tcW w:w="813" w:type="dxa"/>
            <w:vMerge w:val="continue"/>
            <w:tcBorders>
              <w:top w:val="outset" w:color="auto" w:sz="6" w:space="0"/>
              <w:left w:val="outset" w:color="auto" w:sz="6" w:space="0"/>
              <w:bottom w:val="outset" w:color="auto" w:sz="6" w:space="0"/>
              <w:right w:val="outset" w:color="auto" w:sz="6" w:space="0"/>
            </w:tcBorders>
            <w:vAlign w:val="center"/>
          </w:tcPr>
          <w:p w14:paraId="3D88416D">
            <w:pPr>
              <w:tabs>
                <w:tab w:val="left" w:pos="0"/>
              </w:tabs>
              <w:ind w:left="17" w:hanging="16" w:hangingChars="7"/>
              <w:jc w:val="left"/>
              <w:rPr>
                <w:rFonts w:ascii="宋体" w:hAnsi="宋体" w:eastAsia="宋体" w:cs="宋体"/>
                <w:color w:val="auto"/>
                <w:sz w:val="24"/>
                <w:highlight w:val="none"/>
              </w:rPr>
            </w:pPr>
          </w:p>
        </w:tc>
        <w:tc>
          <w:tcPr>
            <w:tcW w:w="1308" w:type="dxa"/>
            <w:vMerge w:val="continue"/>
            <w:tcBorders>
              <w:top w:val="outset" w:color="auto" w:sz="6" w:space="0"/>
              <w:left w:val="outset" w:color="auto" w:sz="6" w:space="0"/>
              <w:bottom w:val="outset" w:color="auto" w:sz="6" w:space="0"/>
              <w:right w:val="outset" w:color="auto" w:sz="6" w:space="0"/>
            </w:tcBorders>
            <w:vAlign w:val="center"/>
          </w:tcPr>
          <w:p w14:paraId="0BDB2998">
            <w:pPr>
              <w:tabs>
                <w:tab w:val="left" w:pos="0"/>
              </w:tabs>
              <w:ind w:left="17" w:hanging="16" w:hangingChars="7"/>
              <w:jc w:val="left"/>
              <w:rPr>
                <w:rFonts w:ascii="宋体" w:hAnsi="宋体" w:eastAsia="宋体" w:cs="宋体"/>
                <w:color w:val="auto"/>
                <w:sz w:val="24"/>
                <w:highlight w:val="none"/>
              </w:rPr>
            </w:pPr>
          </w:p>
        </w:tc>
        <w:tc>
          <w:tcPr>
            <w:tcW w:w="2305" w:type="dxa"/>
            <w:tcBorders>
              <w:top w:val="outset" w:color="auto" w:sz="6" w:space="0"/>
              <w:left w:val="outset" w:color="auto" w:sz="6" w:space="0"/>
              <w:bottom w:val="outset" w:color="auto" w:sz="6" w:space="0"/>
              <w:right w:val="outset" w:color="auto" w:sz="6" w:space="0"/>
            </w:tcBorders>
            <w:vAlign w:val="center"/>
          </w:tcPr>
          <w:p w14:paraId="64BA0509">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间距</w:t>
            </w:r>
          </w:p>
        </w:tc>
        <w:tc>
          <w:tcPr>
            <w:tcW w:w="1403" w:type="dxa"/>
            <w:tcBorders>
              <w:top w:val="outset" w:color="auto" w:sz="6" w:space="0"/>
              <w:left w:val="outset" w:color="auto" w:sz="6" w:space="0"/>
              <w:bottom w:val="outset" w:color="auto" w:sz="6" w:space="0"/>
              <w:right w:val="outset" w:color="auto" w:sz="6" w:space="0"/>
            </w:tcBorders>
            <w:vAlign w:val="center"/>
          </w:tcPr>
          <w:p w14:paraId="7F99328B">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+20 </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-0</w:t>
            </w:r>
          </w:p>
        </w:tc>
      </w:tr>
      <w:tr w14:paraId="0BF4E9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71" w:hRule="atLeast"/>
          <w:tblCellSpacing w:w="15" w:type="dxa"/>
        </w:trPr>
        <w:tc>
          <w:tcPr>
            <w:tcW w:w="813" w:type="dxa"/>
            <w:vMerge w:val="restart"/>
            <w:tcBorders>
              <w:top w:val="outset" w:color="auto" w:sz="6" w:space="0"/>
              <w:left w:val="outset" w:color="auto" w:sz="6" w:space="0"/>
              <w:right w:val="outset" w:color="auto" w:sz="6" w:space="0"/>
            </w:tcBorders>
            <w:vAlign w:val="center"/>
          </w:tcPr>
          <w:p w14:paraId="51DD27B6">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w:t>
            </w:r>
          </w:p>
        </w:tc>
        <w:tc>
          <w:tcPr>
            <w:tcW w:w="3643" w:type="dxa"/>
            <w:gridSpan w:val="2"/>
            <w:vMerge w:val="restart"/>
            <w:tcBorders>
              <w:top w:val="outset" w:color="auto" w:sz="6" w:space="0"/>
              <w:left w:val="outset" w:color="auto" w:sz="6" w:space="0"/>
              <w:right w:val="outset" w:color="auto" w:sz="6" w:space="0"/>
            </w:tcBorders>
            <w:vAlign w:val="center"/>
          </w:tcPr>
          <w:p w14:paraId="6AC25DD2">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土方表面平整度</w:t>
            </w:r>
          </w:p>
        </w:tc>
        <w:tc>
          <w:tcPr>
            <w:tcW w:w="1403" w:type="dxa"/>
            <w:vMerge w:val="restart"/>
            <w:tcBorders>
              <w:top w:val="outset" w:color="auto" w:sz="6" w:space="0"/>
              <w:left w:val="outset" w:color="auto" w:sz="6" w:space="0"/>
              <w:right w:val="outset" w:color="auto" w:sz="6" w:space="0"/>
            </w:tcBorders>
            <w:vAlign w:val="center"/>
          </w:tcPr>
          <w:p w14:paraId="0660CE7F">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+0</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-50</w:t>
            </w:r>
          </w:p>
        </w:tc>
      </w:tr>
      <w:tr w14:paraId="34A9C2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356" w:hRule="atLeast"/>
          <w:tblCellSpacing w:w="15" w:type="dxa"/>
        </w:trPr>
        <w:tc>
          <w:tcPr>
            <w:tcW w:w="813" w:type="dxa"/>
            <w:vMerge w:val="continue"/>
            <w:tcBorders>
              <w:left w:val="outset" w:color="auto" w:sz="6" w:space="0"/>
              <w:right w:val="outset" w:color="auto" w:sz="6" w:space="0"/>
            </w:tcBorders>
            <w:vAlign w:val="center"/>
          </w:tcPr>
          <w:p w14:paraId="2174A533">
            <w:pPr>
              <w:tabs>
                <w:tab w:val="left" w:pos="0"/>
              </w:tabs>
              <w:ind w:left="17" w:hanging="16" w:hangingChars="7"/>
              <w:jc w:val="left"/>
              <w:rPr>
                <w:rFonts w:ascii="宋体" w:hAnsi="宋体" w:eastAsia="宋体" w:cs="宋体"/>
                <w:color w:val="auto"/>
                <w:sz w:val="24"/>
                <w:highlight w:val="none"/>
              </w:rPr>
            </w:pPr>
          </w:p>
        </w:tc>
        <w:tc>
          <w:tcPr>
            <w:tcW w:w="3643" w:type="dxa"/>
            <w:gridSpan w:val="2"/>
            <w:vMerge w:val="continue"/>
            <w:tcBorders>
              <w:left w:val="outset" w:color="auto" w:sz="6" w:space="0"/>
              <w:right w:val="outset" w:color="auto" w:sz="6" w:space="0"/>
            </w:tcBorders>
            <w:vAlign w:val="center"/>
          </w:tcPr>
          <w:p w14:paraId="0EEE6A88">
            <w:pPr>
              <w:tabs>
                <w:tab w:val="left" w:pos="0"/>
              </w:tabs>
              <w:ind w:left="17" w:hanging="16" w:hangingChars="7"/>
              <w:jc w:val="left"/>
              <w:rPr>
                <w:rFonts w:ascii="宋体" w:hAnsi="宋体" w:eastAsia="宋体" w:cs="宋体"/>
                <w:color w:val="auto"/>
                <w:sz w:val="24"/>
                <w:highlight w:val="none"/>
              </w:rPr>
            </w:pPr>
          </w:p>
        </w:tc>
        <w:tc>
          <w:tcPr>
            <w:tcW w:w="1403" w:type="dxa"/>
            <w:vMerge w:val="continue"/>
            <w:tcBorders>
              <w:left w:val="outset" w:color="auto" w:sz="6" w:space="0"/>
              <w:right w:val="outset" w:color="auto" w:sz="6" w:space="0"/>
            </w:tcBorders>
            <w:vAlign w:val="center"/>
          </w:tcPr>
          <w:p w14:paraId="17762B59">
            <w:pPr>
              <w:tabs>
                <w:tab w:val="left" w:pos="0"/>
              </w:tabs>
              <w:ind w:left="17" w:hanging="16" w:hangingChars="7"/>
              <w:jc w:val="left"/>
              <w:rPr>
                <w:rFonts w:ascii="宋体" w:hAnsi="宋体" w:eastAsia="宋体" w:cs="宋体"/>
                <w:color w:val="auto"/>
                <w:sz w:val="24"/>
                <w:highlight w:val="none"/>
              </w:rPr>
            </w:pPr>
          </w:p>
        </w:tc>
      </w:tr>
      <w:tr w14:paraId="41DF64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cantSplit/>
          <w:trHeight w:val="400" w:hRule="atLeast"/>
          <w:tblCellSpacing w:w="15" w:type="dxa"/>
        </w:trPr>
        <w:tc>
          <w:tcPr>
            <w:tcW w:w="813" w:type="dxa"/>
            <w:vMerge w:val="continue"/>
            <w:tcBorders>
              <w:left w:val="outset" w:color="auto" w:sz="6" w:space="0"/>
              <w:bottom w:val="outset" w:color="auto" w:sz="6" w:space="0"/>
              <w:right w:val="outset" w:color="auto" w:sz="6" w:space="0"/>
            </w:tcBorders>
            <w:vAlign w:val="center"/>
          </w:tcPr>
          <w:p w14:paraId="3666DF22">
            <w:pPr>
              <w:tabs>
                <w:tab w:val="left" w:pos="0"/>
              </w:tabs>
              <w:ind w:left="17" w:hanging="16" w:hangingChars="7"/>
              <w:jc w:val="left"/>
              <w:rPr>
                <w:rFonts w:ascii="宋体" w:hAnsi="宋体" w:eastAsia="宋体" w:cs="宋体"/>
                <w:color w:val="auto"/>
                <w:sz w:val="24"/>
                <w:highlight w:val="none"/>
              </w:rPr>
            </w:pPr>
          </w:p>
        </w:tc>
        <w:tc>
          <w:tcPr>
            <w:tcW w:w="3643" w:type="dxa"/>
            <w:gridSpan w:val="2"/>
            <w:vMerge w:val="continue"/>
            <w:tcBorders>
              <w:left w:val="outset" w:color="auto" w:sz="6" w:space="0"/>
              <w:bottom w:val="outset" w:color="auto" w:sz="6" w:space="0"/>
              <w:right w:val="outset" w:color="auto" w:sz="6" w:space="0"/>
            </w:tcBorders>
            <w:vAlign w:val="center"/>
          </w:tcPr>
          <w:p w14:paraId="67C34E51">
            <w:pPr>
              <w:tabs>
                <w:tab w:val="left" w:pos="0"/>
              </w:tabs>
              <w:ind w:left="17" w:hanging="16" w:hangingChars="7"/>
              <w:jc w:val="left"/>
              <w:rPr>
                <w:rFonts w:ascii="宋体" w:hAnsi="宋体" w:eastAsia="宋体" w:cs="宋体"/>
                <w:color w:val="auto"/>
                <w:sz w:val="24"/>
                <w:highlight w:val="none"/>
              </w:rPr>
            </w:pPr>
          </w:p>
        </w:tc>
        <w:tc>
          <w:tcPr>
            <w:tcW w:w="1403" w:type="dxa"/>
            <w:vMerge w:val="continue"/>
            <w:tcBorders>
              <w:left w:val="outset" w:color="auto" w:sz="6" w:space="0"/>
              <w:bottom w:val="outset" w:color="auto" w:sz="6" w:space="0"/>
              <w:right w:val="outset" w:color="auto" w:sz="6" w:space="0"/>
            </w:tcBorders>
            <w:vAlign w:val="center"/>
          </w:tcPr>
          <w:p w14:paraId="3736BA53">
            <w:pPr>
              <w:tabs>
                <w:tab w:val="left" w:pos="0"/>
              </w:tabs>
              <w:ind w:left="17" w:hanging="16" w:hangingChars="7"/>
              <w:jc w:val="left"/>
              <w:rPr>
                <w:rFonts w:ascii="宋体" w:hAnsi="宋体" w:eastAsia="宋体" w:cs="宋体"/>
                <w:color w:val="auto"/>
                <w:sz w:val="24"/>
                <w:highlight w:val="none"/>
              </w:rPr>
            </w:pPr>
          </w:p>
        </w:tc>
      </w:tr>
    </w:tbl>
    <w:p w14:paraId="1F0C71E2">
      <w:pPr>
        <w:tabs>
          <w:tab w:val="left" w:pos="0"/>
        </w:tabs>
        <w:spacing w:line="360" w:lineRule="auto"/>
        <w:jc w:val="left"/>
        <w:rPr>
          <w:rFonts w:hint="eastAsia" w:ascii="宋体" w:hAnsi="宋体" w:eastAsia="宋体" w:cs="宋体"/>
          <w:bCs/>
          <w:color w:val="auto"/>
          <w:sz w:val="24"/>
          <w:highlight w:val="none"/>
        </w:rPr>
      </w:pPr>
    </w:p>
    <w:p w14:paraId="29431371">
      <w:pPr>
        <w:tabs>
          <w:tab w:val="left" w:pos="0"/>
        </w:tabs>
        <w:spacing w:line="360" w:lineRule="auto"/>
        <w:jc w:val="left"/>
        <w:rPr>
          <w:rFonts w:hint="eastAsia" w:ascii="宋体" w:hAnsi="宋体" w:eastAsia="宋体" w:cs="宋体"/>
          <w:bCs/>
          <w:color w:val="auto"/>
          <w:sz w:val="24"/>
          <w:highlight w:val="none"/>
        </w:rPr>
      </w:pPr>
    </w:p>
    <w:p w14:paraId="53F840FF">
      <w:pPr>
        <w:tabs>
          <w:tab w:val="left" w:pos="0"/>
        </w:tabs>
        <w:spacing w:line="360" w:lineRule="auto"/>
        <w:ind w:left="-17" w:leftChars="-7"/>
        <w:jc w:val="left"/>
        <w:rPr>
          <w:rFonts w:hint="eastAsia" w:ascii="宋体" w:hAnsi="宋体" w:eastAsia="宋体" w:cs="宋体"/>
          <w:bCs/>
          <w:color w:val="auto"/>
          <w:sz w:val="24"/>
          <w:highlight w:val="none"/>
        </w:rPr>
      </w:pPr>
    </w:p>
    <w:p w14:paraId="3E2C1EBF">
      <w:pPr>
        <w:tabs>
          <w:tab w:val="left" w:pos="0"/>
        </w:tabs>
        <w:spacing w:line="360" w:lineRule="auto"/>
        <w:ind w:left="-17" w:leftChars="-7"/>
        <w:jc w:val="left"/>
        <w:rPr>
          <w:rFonts w:hint="eastAsia" w:ascii="宋体" w:hAnsi="宋体" w:eastAsia="宋体" w:cs="宋体"/>
          <w:bCs/>
          <w:color w:val="auto"/>
          <w:sz w:val="24"/>
          <w:highlight w:val="none"/>
        </w:rPr>
      </w:pPr>
    </w:p>
    <w:p w14:paraId="7DFA532A">
      <w:pPr>
        <w:tabs>
          <w:tab w:val="left" w:pos="0"/>
        </w:tabs>
        <w:spacing w:line="360" w:lineRule="auto"/>
        <w:ind w:left="-17" w:leftChars="-7"/>
        <w:jc w:val="left"/>
        <w:rPr>
          <w:rFonts w:hint="eastAsia" w:ascii="宋体" w:hAnsi="宋体" w:eastAsia="宋体" w:cs="宋体"/>
          <w:bCs/>
          <w:color w:val="auto"/>
          <w:sz w:val="24"/>
          <w:highlight w:val="none"/>
        </w:rPr>
      </w:pPr>
    </w:p>
    <w:p w14:paraId="1E41476F">
      <w:pPr>
        <w:tabs>
          <w:tab w:val="left" w:pos="0"/>
        </w:tabs>
        <w:spacing w:line="360" w:lineRule="auto"/>
        <w:ind w:left="-17" w:leftChars="-7"/>
        <w:jc w:val="left"/>
        <w:rPr>
          <w:rFonts w:hint="eastAsia" w:ascii="宋体" w:hAnsi="宋体" w:eastAsia="宋体" w:cs="宋体"/>
          <w:bCs/>
          <w:color w:val="auto"/>
          <w:sz w:val="24"/>
          <w:highlight w:val="none"/>
        </w:rPr>
      </w:pPr>
    </w:p>
    <w:p w14:paraId="713A7BE8">
      <w:pPr>
        <w:tabs>
          <w:tab w:val="left" w:pos="0"/>
        </w:tabs>
        <w:spacing w:line="360" w:lineRule="auto"/>
        <w:ind w:left="-17" w:leftChars="-7"/>
        <w:jc w:val="left"/>
        <w:rPr>
          <w:rFonts w:hint="eastAsia" w:ascii="宋体" w:hAnsi="宋体" w:eastAsia="宋体" w:cs="宋体"/>
          <w:bCs/>
          <w:color w:val="auto"/>
          <w:sz w:val="24"/>
          <w:highlight w:val="none"/>
        </w:rPr>
      </w:pPr>
    </w:p>
    <w:p w14:paraId="281E4E50">
      <w:pPr>
        <w:tabs>
          <w:tab w:val="left" w:pos="0"/>
        </w:tabs>
        <w:spacing w:line="360" w:lineRule="auto"/>
        <w:ind w:left="-17" w:leftChars="-7"/>
        <w:jc w:val="left"/>
        <w:rPr>
          <w:rFonts w:hint="eastAsia" w:ascii="宋体" w:hAnsi="宋体" w:eastAsia="宋体" w:cs="宋体"/>
          <w:bCs/>
          <w:color w:val="auto"/>
          <w:sz w:val="24"/>
          <w:highlight w:val="none"/>
        </w:rPr>
      </w:pPr>
    </w:p>
    <w:p w14:paraId="14FB30F7">
      <w:pPr>
        <w:tabs>
          <w:tab w:val="left" w:pos="0"/>
        </w:tabs>
        <w:spacing w:line="360" w:lineRule="auto"/>
        <w:ind w:left="-17" w:leftChars="-7"/>
        <w:jc w:val="left"/>
        <w:rPr>
          <w:rFonts w:hint="eastAsia" w:ascii="宋体" w:hAnsi="宋体" w:eastAsia="宋体" w:cs="宋体"/>
          <w:bCs/>
          <w:color w:val="auto"/>
          <w:sz w:val="24"/>
          <w:highlight w:val="none"/>
        </w:rPr>
      </w:pPr>
    </w:p>
    <w:p w14:paraId="68A1FCC5">
      <w:pPr>
        <w:tabs>
          <w:tab w:val="left" w:pos="0"/>
        </w:tabs>
        <w:spacing w:line="360" w:lineRule="auto"/>
        <w:ind w:left="-17" w:leftChars="-7"/>
        <w:jc w:val="left"/>
        <w:rPr>
          <w:rFonts w:hint="eastAsia" w:ascii="宋体" w:hAnsi="宋体" w:eastAsia="宋体" w:cs="宋体"/>
          <w:bCs/>
          <w:color w:val="auto"/>
          <w:sz w:val="24"/>
          <w:highlight w:val="none"/>
        </w:rPr>
      </w:pPr>
    </w:p>
    <w:p w14:paraId="5C057E3E">
      <w:pPr>
        <w:tabs>
          <w:tab w:val="left" w:pos="0"/>
        </w:tabs>
        <w:spacing w:line="360" w:lineRule="auto"/>
        <w:ind w:left="-17" w:leftChars="-7"/>
        <w:jc w:val="left"/>
        <w:rPr>
          <w:rFonts w:hint="eastAsia" w:ascii="宋体" w:hAnsi="宋体" w:eastAsia="宋体" w:cs="宋体"/>
          <w:bCs/>
          <w:color w:val="auto"/>
          <w:sz w:val="24"/>
          <w:highlight w:val="none"/>
        </w:rPr>
      </w:pPr>
    </w:p>
    <w:p w14:paraId="70D62F7A">
      <w:pPr>
        <w:tabs>
          <w:tab w:val="left" w:pos="0"/>
        </w:tabs>
        <w:spacing w:line="360" w:lineRule="auto"/>
        <w:ind w:left="-17" w:leftChars="-7"/>
        <w:jc w:val="left"/>
        <w:rPr>
          <w:rFonts w:hint="eastAsia" w:ascii="宋体" w:hAnsi="宋体" w:eastAsia="宋体" w:cs="宋体"/>
          <w:bCs/>
          <w:color w:val="auto"/>
          <w:sz w:val="24"/>
          <w:highlight w:val="none"/>
        </w:rPr>
      </w:pPr>
    </w:p>
    <w:p w14:paraId="7D0871A5">
      <w:pPr>
        <w:tabs>
          <w:tab w:val="left" w:pos="0"/>
        </w:tabs>
        <w:spacing w:line="360" w:lineRule="auto"/>
        <w:ind w:left="-17" w:leftChars="-7"/>
        <w:jc w:val="left"/>
        <w:rPr>
          <w:rFonts w:hint="eastAsia" w:ascii="宋体" w:hAnsi="宋体" w:eastAsia="宋体" w:cs="宋体"/>
          <w:bCs/>
          <w:color w:val="auto"/>
          <w:sz w:val="24"/>
          <w:highlight w:val="none"/>
        </w:rPr>
      </w:pPr>
    </w:p>
    <w:p w14:paraId="26F7357C">
      <w:pPr>
        <w:tabs>
          <w:tab w:val="left" w:pos="0"/>
        </w:tabs>
        <w:spacing w:line="360" w:lineRule="auto"/>
        <w:ind w:left="-17" w:leftChars="-7"/>
        <w:jc w:val="left"/>
        <w:rPr>
          <w:rFonts w:hint="eastAsia" w:ascii="宋体" w:hAnsi="宋体" w:eastAsia="宋体" w:cs="宋体"/>
          <w:bCs/>
          <w:color w:val="auto"/>
          <w:sz w:val="24"/>
          <w:highlight w:val="none"/>
        </w:rPr>
      </w:pPr>
    </w:p>
    <w:p w14:paraId="3C621F44">
      <w:pPr>
        <w:tabs>
          <w:tab w:val="left" w:pos="0"/>
        </w:tabs>
        <w:spacing w:line="360" w:lineRule="auto"/>
        <w:ind w:left="-17" w:leftChars="-7"/>
        <w:jc w:val="left"/>
        <w:rPr>
          <w:rFonts w:hint="eastAsia" w:ascii="宋体" w:hAnsi="宋体" w:eastAsia="宋体" w:cs="宋体"/>
          <w:bCs/>
          <w:color w:val="auto"/>
          <w:sz w:val="24"/>
          <w:highlight w:val="none"/>
        </w:rPr>
      </w:pPr>
    </w:p>
    <w:p w14:paraId="5F91F7D5">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9、反碱——强调项目已有详细说明</w:t>
      </w:r>
    </w:p>
    <w:p w14:paraId="130B5EE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承包人不能以任何原因做为铺装石材出现反碱现象的借口，在施工期间必须严格对所用石材进行5面滲透性防水密闭剂处理并在晾干后使用，对水景、花池等的粘贴砂浆须使用水泥基防水砂浆必要时对基层满挂防水粘贴剂</w:t>
      </w:r>
    </w:p>
    <w:p w14:paraId="06867C7B">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10、水电预埋及安装，调试严格按照国家相关规范技术要求进行施工。</w:t>
      </w:r>
    </w:p>
    <w:p w14:paraId="11D874DB">
      <w:pPr>
        <w:tabs>
          <w:tab w:val="left" w:pos="0"/>
        </w:tabs>
        <w:spacing w:line="360" w:lineRule="auto"/>
        <w:ind w:left="-17" w:left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11、机电其他注意事项：</w:t>
      </w:r>
    </w:p>
    <w:p w14:paraId="25D3A55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11.1 景观配电柜位置得选择需施工单位深化设计，并经甲方确认；</w:t>
      </w:r>
    </w:p>
    <w:p w14:paraId="44E2835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11.2 一些灯位（如埋地灯）的确定，会有调整的过程，甲方有权根据现场效果对灯位进行调整；</w:t>
      </w:r>
    </w:p>
    <w:p w14:paraId="1B2A6D6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11.3 固定灯座的螺栓数量不应少于灯具底座上固定孔的数量，安装完成后，灯具的绝缘外壳不应有破损和漏电现象。不允许仅通过水泥砂浆进行灯套的固定。</w:t>
      </w:r>
    </w:p>
    <w:p w14:paraId="19274BB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11.4 所有管线不得有露出表面的情况</w:t>
      </w:r>
    </w:p>
    <w:p w14:paraId="4AD2A81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11.5 水景喷头须选择不锈钢或铜等耐腐材质，包括转接头同样须采用不锈钢材质</w:t>
      </w:r>
    </w:p>
    <w:p w14:paraId="1E973AC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11.6 灯具基础顶标高低于完成面15cm</w:t>
      </w:r>
    </w:p>
    <w:p w14:paraId="20086CE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11.7 水景蓄水池内表面需贴面</w:t>
      </w:r>
    </w:p>
    <w:p w14:paraId="7B5CC21A">
      <w:pPr>
        <w:tabs>
          <w:tab w:val="left" w:pos="0"/>
        </w:tabs>
        <w:spacing w:line="360" w:lineRule="auto"/>
        <w:ind w:left="17" w:hanging="17" w:hangingChars="7"/>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四、后期保护、管理</w:t>
      </w:r>
    </w:p>
    <w:p w14:paraId="1F5D3186">
      <w:pPr>
        <w:numPr>
          <w:ilvl w:val="0"/>
          <w:numId w:val="22"/>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施工单位必须做好成品保护，在施工组织设计中必须包括成品保护措施，禁止出现大面积的污染。</w:t>
      </w:r>
    </w:p>
    <w:p w14:paraId="625A2CF9">
      <w:pPr>
        <w:numPr>
          <w:ilvl w:val="0"/>
          <w:numId w:val="22"/>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现场</w:t>
      </w:r>
      <w:r>
        <w:rPr>
          <w:rFonts w:hint="eastAsia" w:ascii="宋体" w:hAnsi="宋体" w:eastAsia="宋体" w:cs="宋体"/>
          <w:color w:val="auto"/>
          <w:sz w:val="24"/>
          <w:highlight w:val="none"/>
          <w:lang w:val="en-GB"/>
        </w:rPr>
        <w:t>建筑垃圾应及时清理并运走。</w:t>
      </w:r>
    </w:p>
    <w:p w14:paraId="508D9348">
      <w:pPr>
        <w:numPr>
          <w:ilvl w:val="0"/>
          <w:numId w:val="22"/>
        </w:numPr>
        <w:tabs>
          <w:tab w:val="left" w:pos="0"/>
          <w:tab w:val="clear" w:pos="36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工程竣工前10天内清理现场，做到工完场清。</w:t>
      </w:r>
    </w:p>
    <w:p w14:paraId="5B803DF7">
      <w:pPr>
        <w:tabs>
          <w:tab w:val="left" w:pos="0"/>
        </w:tabs>
        <w:spacing w:line="360" w:lineRule="auto"/>
        <w:ind w:left="17" w:hanging="17" w:hangingChars="7"/>
        <w:jc w:val="left"/>
        <w:outlineLvl w:val="0"/>
        <w:rPr>
          <w:rFonts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五</w:t>
      </w:r>
      <w:r>
        <w:rPr>
          <w:rFonts w:hint="eastAsia" w:ascii="宋体" w:hAnsi="宋体" w:eastAsia="宋体" w:cs="宋体"/>
          <w:b/>
          <w:bCs/>
          <w:color w:val="auto"/>
          <w:sz w:val="24"/>
          <w:highlight w:val="none"/>
        </w:rPr>
        <w:t>、工程竣工验收</w:t>
      </w:r>
    </w:p>
    <w:p w14:paraId="373BF77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1、竣工验收以施工及验收规范、验收标准、政府有关规定及施工图纸等为依据。</w:t>
      </w:r>
    </w:p>
    <w:p w14:paraId="067D227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乙方认为工程具备竣工验收条件后，应于竣工验收前十天向甲方提供完整的竣工验收所需资料和竣工验收申请。甲方收到申请后，由甲方、监理、物业管理公司组成初验小组对本工程进行全面验收，初验提出的整改要求全部完成并经初验小组核实后，甲方组织复验。</w:t>
      </w:r>
    </w:p>
    <w:p w14:paraId="2469FCD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3、工程在未移交甲方之前，乙方负责保管及维护。</w:t>
      </w:r>
    </w:p>
    <w:p w14:paraId="2DFFC531">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color w:val="auto"/>
          <w:sz w:val="24"/>
          <w:highlight w:val="none"/>
        </w:rPr>
        <w:t>4、乙方在竣工验收后20天内向甲方移交完整的竣工资料及竣工图纸四套及相应的光盘资料</w:t>
      </w:r>
      <w:r>
        <w:rPr>
          <w:rFonts w:hint="eastAsia" w:ascii="宋体" w:hAnsi="宋体" w:eastAsia="宋体" w:cs="宋体"/>
          <w:bCs/>
          <w:color w:val="auto"/>
          <w:sz w:val="24"/>
          <w:highlight w:val="none"/>
        </w:rPr>
        <w:t>（竣工资料及竣工图纸必须准确真实的反映实际施工情况）。</w:t>
      </w:r>
    </w:p>
    <w:p w14:paraId="124AE14A">
      <w:pPr>
        <w:numPr>
          <w:ilvl w:val="1"/>
          <w:numId w:val="22"/>
        </w:numPr>
        <w:tabs>
          <w:tab w:val="left" w:pos="0"/>
          <w:tab w:val="clear" w:pos="840"/>
        </w:tabs>
        <w:spacing w:line="360" w:lineRule="auto"/>
        <w:ind w:left="17" w:hanging="17" w:hangingChars="7"/>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绿化施工及养护技术要求</w:t>
      </w:r>
    </w:p>
    <w:p w14:paraId="02491966">
      <w:pPr>
        <w:tabs>
          <w:tab w:val="left" w:pos="0"/>
        </w:tabs>
        <w:spacing w:line="360" w:lineRule="auto"/>
        <w:ind w:left="17" w:hanging="17" w:hangingChars="7"/>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一、施工前准备</w:t>
      </w:r>
    </w:p>
    <w:p w14:paraId="3213BAD0">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A、强调项目</w:t>
      </w:r>
    </w:p>
    <w:p w14:paraId="794F6E2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1、在苗木施工前，中标单位需安排圈苗，实地确定各大乔木的尺寸，样式等。所有胸径大于10cm的乔木必须确定并做好标记，点景大树更是定苗重点；</w:t>
      </w:r>
    </w:p>
    <w:p w14:paraId="7B28B07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2、所有地被、球类、小灌木、草花等进场前先送样确定；</w:t>
      </w:r>
    </w:p>
    <w:p w14:paraId="46EFB603">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B、一般项目</w:t>
      </w:r>
    </w:p>
    <w:p w14:paraId="1385CC38">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1、植树工程施工前必须做好各项施工的准备工作，以确保工程顺利进行。准备工作内容包括：掌握资料、 熟悉设计、勘查现场、制定方案、编制预算、材料供应和现场准备。</w:t>
      </w:r>
    </w:p>
    <w:p w14:paraId="2BE32D5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2、施工前必须做好圈苗工作</w:t>
      </w:r>
    </w:p>
    <w:p w14:paraId="589D500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2、开工前应了解掌握工程的有关资料，如用地手续、上级批示、工程要求等。</w:t>
      </w:r>
    </w:p>
    <w:p w14:paraId="2F448B0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3、施工前必须熟悉设计的指导思想、设计意图、图纸、质量、艺术水平的要求，并由设计人员向施工单位进行设计交底。</w:t>
      </w:r>
    </w:p>
    <w:p w14:paraId="3183425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现场勘查，施工人员了解设计意图及组织有关人员到现场勘查，一般包括：现场周围环境、施工条件、电源、水源、土源、交通道路、堆料场地、生活暂设的位置，以及市政、电讯应配合的部门和定点放线的依据。</w:t>
      </w:r>
    </w:p>
    <w:p w14:paraId="4513AF8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5、工程开工前应制定施工方案(施工组织设计)。</w:t>
      </w:r>
    </w:p>
    <w:p w14:paraId="24D73D0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6、重点材料的准备：如特殊需要的苗木、材料应事先了解来源、材料质量、价格、可供应情况。</w:t>
      </w:r>
    </w:p>
    <w:p w14:paraId="13ADEB4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7、关于劳动力、机械、运输力应事先由专人负责联系安排好。</w:t>
      </w:r>
    </w:p>
    <w:p w14:paraId="6EA68344">
      <w:pPr>
        <w:tabs>
          <w:tab w:val="left" w:pos="0"/>
        </w:tabs>
        <w:spacing w:line="360" w:lineRule="auto"/>
        <w:ind w:left="17" w:hanging="17" w:hangingChars="7"/>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二、采购苗木质量要求</w:t>
      </w:r>
    </w:p>
    <w:p w14:paraId="4D96AAAD">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1、 进场的所有苗木必须生长健壮，冠形优美，无蛀干害虫和未愈合的机械损伤。树冠丰满，枝条分布均匀、无严重病虫危害，常绿树叶色正常。根系发育良好、无严重病虫危害，移植时根系或土球大小，应为苗木胸径的8—1O倍，所有苗木规格均以修剪完成后尺寸为准。</w:t>
      </w:r>
    </w:p>
    <w:p w14:paraId="591676DB">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2、 大、中乔木的质量标准：树干挺直，不应有明显弯曲，要求基本全冠，常绿乔木要求全冠移栽；落叶乔木在种植时要求不疏枝，保留全冠，栽种前修剪量必须控制在总枝量的20%以下，并采取相关技术措施保证成活率，最短时间内恢复苗木的长势。乔木种植后，用统一木桩绑扎固定，桩头高度一致，粗度一致，并涂刷黑色防腐漆（胸径小于10㎝的，采用两根桩支撑；胸径超过10㎝的，采用三根桩支撑，特大乔木需采用四根桩支撑）。</w:t>
      </w:r>
    </w:p>
    <w:p w14:paraId="29C69974">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3、 小乔木、大灌木的质量标准：根系发达，生长茁壮，无严重病虫危害，丛生大灌木枝条至少在10根以上，枝条分布均匀，有主干的小乔木主干应明显。</w:t>
      </w:r>
    </w:p>
    <w:p w14:paraId="6BE4C7AF">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4、 地被灌木的质量标准：灌木进场验收时必须严格按照设计要求进苗。灌木种植需根据设计密度要求进行种植，必须做到黄土不露天。</w:t>
      </w:r>
    </w:p>
    <w:p w14:paraId="1D353566">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5、 草坪的质量标准：在土方回填前要考虑土方的沉降，精整前需漫灌浇透水，使坪床充分沉降，坪床必须反复平整，土壤粒径须控制在1.5cm以内，并反复碾压平整。基层土壤上必须加铺黄沙和有机质，草皮铺设要求满铺，不留挤缝。</w:t>
      </w:r>
      <w:r>
        <w:rPr>
          <w:rFonts w:hint="eastAsia" w:ascii="宋体" w:hAnsi="宋体" w:eastAsia="宋体" w:cs="宋体"/>
          <w:b/>
          <w:bCs/>
          <w:color w:val="auto"/>
          <w:sz w:val="24"/>
          <w:highlight w:val="none"/>
        </w:rPr>
        <w:t>草</w:t>
      </w:r>
      <w:r>
        <w:rPr>
          <w:rFonts w:hint="eastAsia" w:ascii="宋体" w:hAnsi="宋体" w:eastAsia="宋体" w:cs="宋体"/>
          <w:bCs/>
          <w:color w:val="auto"/>
          <w:sz w:val="24"/>
          <w:highlight w:val="none"/>
        </w:rPr>
        <w:t>皮铺设完成后两周内要加强对草皮的养护，严禁踩踏，并在草皮恢复后进行精修剪。</w:t>
      </w:r>
    </w:p>
    <w:p w14:paraId="0D7FB4CD">
      <w:pPr>
        <w:tabs>
          <w:tab w:val="left" w:pos="0"/>
        </w:tabs>
        <w:spacing w:line="360" w:lineRule="auto"/>
        <w:ind w:left="17" w:hanging="16" w:hangingChars="7"/>
        <w:jc w:val="left"/>
        <w:rPr>
          <w:rFonts w:ascii="宋体" w:hAnsi="宋体" w:eastAsia="宋体" w:cs="宋体"/>
          <w:bCs/>
          <w:color w:val="auto"/>
          <w:sz w:val="24"/>
          <w:highlight w:val="none"/>
        </w:rPr>
      </w:pPr>
      <w:r>
        <w:rPr>
          <w:rFonts w:hint="eastAsia" w:ascii="宋体" w:hAnsi="宋体" w:eastAsia="宋体" w:cs="宋体"/>
          <w:bCs/>
          <w:color w:val="auto"/>
          <w:sz w:val="24"/>
          <w:highlight w:val="none"/>
        </w:rPr>
        <w:t>6、 植株在运送前应在叶面上喷洒防脱水剂。不可将苗木置于工地壹天以上而不栽种，不能立即栽植的苗木应采取假植措施。</w:t>
      </w:r>
    </w:p>
    <w:p w14:paraId="4EAFF005">
      <w:pPr>
        <w:tabs>
          <w:tab w:val="left" w:pos="0"/>
        </w:tabs>
        <w:spacing w:line="360" w:lineRule="auto"/>
        <w:ind w:left="0" w:firstLine="0" w:firstLineChars="0"/>
        <w:jc w:val="left"/>
        <w:rPr>
          <w:rFonts w:ascii="宋体" w:hAnsi="宋体" w:eastAsia="宋体" w:cs="宋体"/>
          <w:b/>
          <w:bCs/>
          <w:color w:val="auto"/>
          <w:sz w:val="24"/>
          <w:highlight w:val="none"/>
        </w:rPr>
      </w:pPr>
    </w:p>
    <w:p w14:paraId="00BC9E56">
      <w:pPr>
        <w:tabs>
          <w:tab w:val="left" w:pos="0"/>
        </w:tabs>
        <w:spacing w:line="360" w:lineRule="auto"/>
        <w:ind w:left="17" w:hanging="17" w:hangingChars="7"/>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三、装运、卸苗和假植的注意事项</w:t>
      </w:r>
    </w:p>
    <w:p w14:paraId="7E52CDEB">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 装、运、卸和假植苗木的各环节均应保护好苗木，轻拿、轻放，必须保证根系和土球的完好，严禁摔坨。</w:t>
      </w:r>
    </w:p>
    <w:p w14:paraId="63CB81B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 装裸根苗木应顺序码放整齐，根部朝前，装时将树干加垫、捆牢，树冠用绳拢好。</w:t>
      </w:r>
    </w:p>
    <w:p w14:paraId="524E80A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 长途运输应特别注意保持根部湿润，一般可采取沾泥浆、喷保湿剂和用苫布遮盖等方法。</w:t>
      </w:r>
    </w:p>
    <w:p w14:paraId="6988B92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 装带土球苗木，应将土球放稳、固定好，不使其在车内滚动，土球应朝车头，树冠拢好。装绿篱苗时最多不得超过三层，以免压坏土球。</w:t>
      </w:r>
    </w:p>
    <w:p w14:paraId="71EB5B18">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 运输过程应保护好苗木，要配备押运人员，装运超长、宽的苗木要办理超长、超宽手续，押运人员应与司机配合好。</w:t>
      </w:r>
    </w:p>
    <w:p w14:paraId="77B3E25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 卸车时应顺序进行，按品种规格码放整齐，及时假植，缩短根部暴露时问。</w:t>
      </w:r>
    </w:p>
    <w:p w14:paraId="67A8981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 使用吊车装卸苗木时，必须保证土球完好，拴绳必须拴土球，严禁捆树干吊树干。</w:t>
      </w:r>
    </w:p>
    <w:p w14:paraId="7AA32534">
      <w:pPr>
        <w:tabs>
          <w:tab w:val="left" w:pos="0"/>
        </w:tabs>
        <w:spacing w:line="360" w:lineRule="auto"/>
        <w:ind w:left="0" w:firstLine="0" w:firstLineChars="0"/>
        <w:jc w:val="left"/>
        <w:rPr>
          <w:rFonts w:ascii="宋体" w:hAnsi="宋体" w:eastAsia="宋体" w:cs="宋体"/>
          <w:color w:val="auto"/>
          <w:sz w:val="24"/>
          <w:highlight w:val="none"/>
        </w:rPr>
      </w:pPr>
    </w:p>
    <w:p w14:paraId="3BE6859F">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四、种植时修剪--强调项目 </w:t>
      </w:r>
    </w:p>
    <w:p w14:paraId="3D896A7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1、所有图纸规格的苗木均为种植、修剪后的规格； </w:t>
      </w:r>
    </w:p>
    <w:p w14:paraId="1F833568">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2、硬质地面相接的绿化种植土标高低于硬质完成面50mm；所有道路、树池、花阶等部位种植沿阶草，以免灌木亮脚；</w:t>
      </w:r>
    </w:p>
    <w:p w14:paraId="66E4C15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乔木要求全冠到场栽植，为平衡生长，提高植物成活率，可进行适度内向枝的修剪，但整个冠形应尽量保证全冠。具体标准可参考二期样板区大乔。为保活截枝（特别是截除顶枝或主干枝）超过10%的植株，不视为其成活修剪时应在保证成活，施工方需补苗或移栽。修剪的剪口必须平滑，不得劈裂并注意留芽的方位。超过2 cm以上的剪口，应用刀削平，涂抹防腐剂。修剪的方法，一般采取疏枝和短截。</w:t>
      </w:r>
    </w:p>
    <w:p w14:paraId="6250CBBD">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 高大乔木树冠的修剪，均应在散苗后种植前进行，一般剪去劈、裂、断根、断枝、过长根、徒长枝和病虫根、枝。</w:t>
      </w:r>
    </w:p>
    <w:p w14:paraId="171B039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 灌木、绿篱、花篱或需造型修剪的植物，除根部修剪在种植前进行，树冠部分应在种植二遍水扶直后进行。</w:t>
      </w:r>
    </w:p>
    <w:p w14:paraId="3D2513C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 常绿小乔木一般可不修剪，仅剪去病虫、枯死、劈、裂、断枝条和疏剪过密、重叠、轮生枝。剪口处留1-2 cm小木橛，不得紧贴枝条基部剪去。</w:t>
      </w:r>
    </w:p>
    <w:p w14:paraId="18C505DF">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五、种植--强调项目</w:t>
      </w:r>
    </w:p>
    <w:p w14:paraId="0F05272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注：以下每个过程均需经业主工程师、监理工程师检验过后方可进行下一步工程，特别是苗木在高、中、低每个层次种植完成后必须经监理工程师、业主设计工程师审查、调整并确认后，方可进行下一步程序，详见后附流程图及审批表：</w:t>
      </w:r>
    </w:p>
    <w:p w14:paraId="65B05A83">
      <w:pPr>
        <w:tabs>
          <w:tab w:val="left" w:pos="0"/>
        </w:tabs>
        <w:jc w:val="left"/>
        <w:rPr>
          <w:rFonts w:ascii="宋体" w:hAnsi="宋体" w:eastAsia="宋体" w:cs="宋体"/>
          <w:color w:val="auto"/>
          <w:sz w:val="24"/>
          <w:highlight w:val="none"/>
        </w:rPr>
      </w:pPr>
    </w:p>
    <w:p w14:paraId="168B775D">
      <w:pPr>
        <w:tabs>
          <w:tab w:val="left" w:pos="0"/>
        </w:tabs>
        <w:ind w:left="17" w:hanging="17" w:hangingChars="7"/>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植物施工监控程序</w:t>
      </w:r>
    </w:p>
    <w:p w14:paraId="6FD376D6">
      <w:pPr>
        <w:tabs>
          <w:tab w:val="left" w:pos="0"/>
        </w:tabs>
        <w:ind w:left="0" w:firstLine="0" w:firstLineChars="0"/>
        <w:jc w:val="left"/>
        <w:rPr>
          <w:rFonts w:ascii="宋体" w:hAnsi="宋体" w:eastAsia="宋体" w:cs="宋体"/>
          <w:color w:val="auto"/>
          <w:sz w:val="24"/>
          <w:highlight w:val="none"/>
        </w:rPr>
      </w:pPr>
    </w:p>
    <w:p w14:paraId="44ED0B00">
      <w:pPr>
        <w:tabs>
          <w:tab w:val="left" w:pos="0"/>
        </w:tabs>
        <w:ind w:left="17" w:hanging="16" w:hangingChars="7"/>
        <w:jc w:val="left"/>
        <w:rPr>
          <w:rFonts w:ascii="宋体" w:hAnsi="宋体" w:eastAsia="宋体" w:cs="宋体"/>
          <w:color w:val="auto"/>
          <w:sz w:val="24"/>
          <w:highlight w:val="none"/>
        </w:rPr>
      </w:pPr>
    </w:p>
    <w:p w14:paraId="3793EF1D">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36064" behindDoc="0" locked="0" layoutInCell="1" allowOverlap="1">
                <wp:simplePos x="0" y="0"/>
                <wp:positionH relativeFrom="column">
                  <wp:posOffset>5257800</wp:posOffset>
                </wp:positionH>
                <wp:positionV relativeFrom="paragraph">
                  <wp:posOffset>891540</wp:posOffset>
                </wp:positionV>
                <wp:extent cx="457200" cy="69342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457200" cy="693420"/>
                        </a:xfrm>
                        <a:prstGeom prst="rect">
                          <a:avLst/>
                        </a:prstGeom>
                        <a:noFill/>
                        <a:ln w="9525">
                          <a:noFill/>
                        </a:ln>
                        <a:effectLst/>
                      </wps:spPr>
                      <wps:txbx>
                        <w:txbxContent>
                          <w:p w14:paraId="0B286D70">
                            <w:pPr>
                              <w:pStyle w:val="17"/>
                            </w:pPr>
                            <w:r>
                              <w:rPr>
                                <w:rFonts w:hint="eastAsia"/>
                                <w:sz w:val="18"/>
                                <w:szCs w:val="18"/>
                              </w:rPr>
                              <w:t>验收通过</w:t>
                            </w:r>
                          </w:p>
                        </w:txbxContent>
                      </wps:txbx>
                      <wps:bodyPr vert="eaVert" upright="1"/>
                    </wps:wsp>
                  </a:graphicData>
                </a:graphic>
              </wp:anchor>
            </w:drawing>
          </mc:Choice>
          <mc:Fallback>
            <w:pict>
              <v:shape id="_x0000_s1026" o:spid="_x0000_s1026" o:spt="202" type="#_x0000_t202" style="position:absolute;left:0pt;margin-left:414pt;margin-top:70.2pt;height:54.6pt;width:36pt;z-index:251736064;mso-width-relative:page;mso-height-relative:page;" filled="f" stroked="f" coordsize="21600,21600" o:gfxdata="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mCVe52wAAAAsBAAAPAAAAAAAAAAEAIAAAACIAAABkcnMvZG93&#10;bnJldi54bWxQSwECFAAUAAAACACHTuJALadNBMQBAAB2AwAADgAAAAAAAAABACAAAAAqAQAAZHJz&#10;L2Uyb0RvYy54bWxQSwUGAAAAAAYABgBZAQAAYAUAAAAA&#10;">
                <v:fill on="f" focussize="0,0"/>
                <v:stroke on="f"/>
                <v:imagedata o:title=""/>
                <o:lock v:ext="edit" aspectratio="f"/>
                <v:textbox style="layout-flow:vertical-ideographic;">
                  <w:txbxContent>
                    <w:p w14:paraId="0B286D70">
                      <w:pPr>
                        <w:pStyle w:val="17"/>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4800" behindDoc="0" locked="0" layoutInCell="1" allowOverlap="1">
                <wp:simplePos x="0" y="0"/>
                <wp:positionH relativeFrom="column">
                  <wp:posOffset>5372100</wp:posOffset>
                </wp:positionH>
                <wp:positionV relativeFrom="paragraph">
                  <wp:posOffset>792480</wp:posOffset>
                </wp:positionV>
                <wp:extent cx="635" cy="792480"/>
                <wp:effectExtent l="37465" t="0" r="38100" b="0"/>
                <wp:wrapNone/>
                <wp:docPr id="150" name="直接连接符 150"/>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23pt;margin-top:62.4pt;height:62.4pt;width:0.05pt;z-index:251724800;mso-width-relative:page;mso-height-relative:page;" filled="f" stroked="t" coordsize="21600,21600" o:gfxdata="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&#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4KS29oAAAALAQAADwAAAAAAAAABACAAAAAiAAAA&#10;ZHJzL2Rvd25yZXYueG1sUEsBAhQAFAAAAAgAh07iQCDgOPoFAgAA+wMAAA4AAAAAAAAAAQAgAAAA&#10;KQEAAGRycy9lMm9Eb2MueG1sUEsFBgAAAAAGAAYAWQEAAKA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09440" behindDoc="0" locked="0" layoutInCell="1" allowOverlap="1">
                <wp:simplePos x="0" y="0"/>
                <wp:positionH relativeFrom="column">
                  <wp:posOffset>5029200</wp:posOffset>
                </wp:positionH>
                <wp:positionV relativeFrom="paragraph">
                  <wp:posOffset>297180</wp:posOffset>
                </wp:positionV>
                <wp:extent cx="800100" cy="495300"/>
                <wp:effectExtent l="4445" t="4445" r="18415" b="18415"/>
                <wp:wrapNone/>
                <wp:docPr id="151" name="文本框 151"/>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87D53F">
                            <w:r>
                              <w:rPr>
                                <w:rFonts w:hint="eastAsia"/>
                              </w:rPr>
                              <w:t>土壤粗平、造形</w:t>
                            </w:r>
                          </w:p>
                        </w:txbxContent>
                      </wps:txbx>
                      <wps:bodyPr upright="1"/>
                    </wps:wsp>
                  </a:graphicData>
                </a:graphic>
              </wp:anchor>
            </w:drawing>
          </mc:Choice>
          <mc:Fallback>
            <w:pict>
              <v:shape id="_x0000_s1026" o:spid="_x0000_s1026" o:spt="202" type="#_x0000_t202" style="position:absolute;left:0pt;margin-left:396pt;margin-top:23.4pt;height:39pt;width:63pt;z-index:251709440;mso-width-relative:page;mso-height-relative:page;" fillcolor="#FFFFFF" filled="t" stroked="t" coordsize="21600,21600" o:gfxdata="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UUn5dgAAAAKAQAADwAAAAAAAAAB&#10;ACAAAAAiAAAAZHJzL2Rvd25yZXYueG1sUEsBAhQAFAAAAAgAh07iQHImHUMQAgAARwQAAA4AAAAA&#10;AAAAAQAgAAAAJwEAAGRycy9lMm9Eb2MueG1sUEsFBgAAAAAGAAYAWQEAAKkFAAAAAA==&#10;">
                <v:fill on="t" focussize="0,0"/>
                <v:stroke color="#000000" joinstyle="miter"/>
                <v:imagedata o:title=""/>
                <o:lock v:ext="edit" aspectratio="f"/>
                <v:textbox>
                  <w:txbxContent>
                    <w:p w14:paraId="0C87D53F">
                      <w:r>
                        <w:rPr>
                          <w:rFonts w:hint="eastAsia"/>
                        </w:rPr>
                        <w:t>土壤粗平、造形</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2752" behindDoc="0" locked="0" layoutInCell="1" allowOverlap="1">
                <wp:simplePos x="0" y="0"/>
                <wp:positionH relativeFrom="column">
                  <wp:posOffset>3086100</wp:posOffset>
                </wp:positionH>
                <wp:positionV relativeFrom="paragraph">
                  <wp:posOffset>495300</wp:posOffset>
                </wp:positionV>
                <wp:extent cx="539750" cy="0"/>
                <wp:effectExtent l="0" t="38100" r="8890" b="38100"/>
                <wp:wrapNone/>
                <wp:docPr id="155" name="直接连接符 155"/>
                <wp:cNvGraphicFramePr/>
                <a:graphic xmlns:a="http://schemas.openxmlformats.org/drawingml/2006/main">
                  <a:graphicData uri="http://schemas.microsoft.com/office/word/2010/wordprocessingShape">
                    <wps:wsp>
                      <wps:cNvCnPr/>
                      <wps:spPr>
                        <a:xfrm>
                          <a:off x="0" y="0"/>
                          <a:ext cx="539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3pt;margin-top:39pt;height:0pt;width:42.5pt;z-index:251722752;mso-width-relative:page;mso-height-relative:page;" filled="f" stroked="t" coordsize="21600,21600" o:gfxdata="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SjnrYAAAACQEAAA8AAAAAAAAAAQAgAAAAIgAAAGRycy9k&#10;b3ducmV2LnhtbFBLAQIUABQAAAAIAIdO4kBn2LfAAgIAAPk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1728" behindDoc="0" locked="0" layoutInCell="1" allowOverlap="1">
                <wp:simplePos x="0" y="0"/>
                <wp:positionH relativeFrom="column">
                  <wp:posOffset>1257300</wp:posOffset>
                </wp:positionH>
                <wp:positionV relativeFrom="paragraph">
                  <wp:posOffset>297180</wp:posOffset>
                </wp:positionV>
                <wp:extent cx="800100" cy="4953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w="9525">
                          <a:noFill/>
                        </a:ln>
                        <a:effectLst/>
                      </wps:spPr>
                      <wps:txbx>
                        <w:txbxContent>
                          <w:p w14:paraId="4DDDE2EA">
                            <w:pPr>
                              <w:pStyle w:val="17"/>
                              <w:rPr>
                                <w:sz w:val="18"/>
                                <w:szCs w:val="18"/>
                              </w:rPr>
                            </w:pPr>
                            <w:r>
                              <w:rPr>
                                <w:rFonts w:hint="eastAsia"/>
                                <w:sz w:val="18"/>
                                <w:szCs w:val="18"/>
                              </w:rPr>
                              <w:t>清理建渣堆积物等</w:t>
                            </w:r>
                          </w:p>
                        </w:txbxContent>
                      </wps:txbx>
                      <wps:bodyPr upright="1"/>
                    </wps:wsp>
                  </a:graphicData>
                </a:graphic>
              </wp:anchor>
            </w:drawing>
          </mc:Choice>
          <mc:Fallback>
            <w:pict>
              <v:shape id="_x0000_s1026" o:spid="_x0000_s1026" o:spt="202" type="#_x0000_t202" style="position:absolute;left:0pt;margin-left:99pt;margin-top:23.4pt;height:39pt;width:63pt;z-index:251721728;mso-width-relative:page;mso-height-relative:page;" filled="f" stroked="f" coordsize="21600,21600" o:gfxdata="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e/2mJ1gAAAAoBAAAPAAAAAAAAAAEAIAAAACIAAABkcnMvZG93bnJldi54bWxQSwECFAAU&#10;AAAACACHTuJAIYDW9LoBAABoAwAADgAAAAAAAAABACAAAAAlAQAAZHJzL2Uyb0RvYy54bWxQSwUG&#10;AAAAAAYABgBZAQAAUQUAAAAA&#10;">
                <v:fill on="f" focussize="0,0"/>
                <v:stroke on="f"/>
                <v:imagedata o:title=""/>
                <o:lock v:ext="edit" aspectratio="f"/>
                <v:textbox>
                  <w:txbxContent>
                    <w:p w14:paraId="4DDDE2EA">
                      <w:pPr>
                        <w:pStyle w:val="17"/>
                        <w:rPr>
                          <w:sz w:val="18"/>
                          <w:szCs w:val="18"/>
                        </w:rPr>
                      </w:pPr>
                      <w:r>
                        <w:rPr>
                          <w:rFonts w:hint="eastAsia"/>
                          <w:sz w:val="18"/>
                          <w:szCs w:val="18"/>
                        </w:rPr>
                        <w:t>清理建渣堆积物等</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0704" behindDoc="0" locked="0" layoutInCell="1" allowOverlap="1">
                <wp:simplePos x="0" y="0"/>
                <wp:positionH relativeFrom="column">
                  <wp:posOffset>1371600</wp:posOffset>
                </wp:positionH>
                <wp:positionV relativeFrom="paragraph">
                  <wp:posOffset>495300</wp:posOffset>
                </wp:positionV>
                <wp:extent cx="571500" cy="0"/>
                <wp:effectExtent l="0" t="38100" r="7620" b="38100"/>
                <wp:wrapNone/>
                <wp:docPr id="158" name="直接连接符 158"/>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8pt;margin-top:39pt;height:0pt;width:45pt;z-index:251720704;mso-width-relative:page;mso-height-relative:page;" filled="f" stroked="t" coordsize="21600,21600" o:gfxdata="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9SjntgAAAAJAQAADwAAAAAAAAABACAAAAAiAAAAZHJzL2Rv&#10;d25yZXYueG1sUEsBAhQAFAAAAAgAh07iQHJ06yE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07392" behindDoc="0" locked="0" layoutInCell="1" allowOverlap="1">
                <wp:simplePos x="0" y="0"/>
                <wp:positionH relativeFrom="column">
                  <wp:posOffset>2057400</wp:posOffset>
                </wp:positionH>
                <wp:positionV relativeFrom="paragraph">
                  <wp:posOffset>297180</wp:posOffset>
                </wp:positionV>
                <wp:extent cx="1028700" cy="297180"/>
                <wp:effectExtent l="4445" t="4445" r="18415" b="18415"/>
                <wp:wrapNone/>
                <wp:docPr id="159" name="文本框 159"/>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A0A32A">
                            <w:r>
                              <w:rPr>
                                <w:rFonts w:hint="eastAsia"/>
                              </w:rPr>
                              <w:t>回填种植土</w:t>
                            </w:r>
                          </w:p>
                        </w:txbxContent>
                      </wps:txbx>
                      <wps:bodyPr upright="1"/>
                    </wps:wsp>
                  </a:graphicData>
                </a:graphic>
              </wp:anchor>
            </w:drawing>
          </mc:Choice>
          <mc:Fallback>
            <w:pict>
              <v:shape id="_x0000_s1026" o:spid="_x0000_s1026" o:spt="202" type="#_x0000_t202" style="position:absolute;left:0pt;margin-left:162pt;margin-top:23.4pt;height:23.4pt;width:81pt;z-index:251707392;mso-width-relative:page;mso-height-relative:page;" fillcolor="#FFFFFF" filled="t" stroked="t" coordsize="21600,21600" o:gfxdata="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wpTA2AAAAAkBAAAPAAAA&#10;AAAAAAEAIAAAACIAAABkcnMvZG93bnJldi54bWxQSwECFAAUAAAACACHTuJAFg3taxUCAABIBAAA&#10;DgAAAAAAAAABACAAAAAnAQAAZHJzL2Uyb0RvYy54bWxQSwUGAAAAAAYABgBZAQAArgUAAAAA&#10;">
                <v:fill on="t" focussize="0,0"/>
                <v:stroke color="#000000" joinstyle="miter"/>
                <v:imagedata o:title=""/>
                <o:lock v:ext="edit" aspectratio="f"/>
                <v:textbox>
                  <w:txbxContent>
                    <w:p w14:paraId="25A0A32A">
                      <w:r>
                        <w:rPr>
                          <w:rFonts w:hint="eastAsia"/>
                        </w:rPr>
                        <w:t>回填种植土</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297180</wp:posOffset>
                </wp:positionV>
                <wp:extent cx="1028700" cy="297180"/>
                <wp:effectExtent l="4445" t="4445" r="18415" b="18415"/>
                <wp:wrapNone/>
                <wp:docPr id="161" name="文本框 1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6F2140">
                            <w:r>
                              <w:rPr>
                                <w:rFonts w:hint="eastAsia"/>
                              </w:rPr>
                              <w:t>总平场地平整</w:t>
                            </w:r>
                          </w:p>
                        </w:txbxContent>
                      </wps:txbx>
                      <wps:bodyPr upright="1"/>
                    </wps:wsp>
                  </a:graphicData>
                </a:graphic>
              </wp:anchor>
            </w:drawing>
          </mc:Choice>
          <mc:Fallback>
            <w:pict>
              <v:shape id="_x0000_s1026" o:spid="_x0000_s1026" o:spt="202" type="#_x0000_t202" style="position:absolute;left:0pt;margin-left:18pt;margin-top:23.4pt;height:23.4pt;width:81pt;z-index:251706368;mso-width-relative:page;mso-height-relative:page;" fillcolor="#FFFFFF" filled="t" stroked="t" coordsize="21600,21600" o:gfxdata="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5zz+zXAAAACAEAAA8AAAAA&#10;AAAAAQAgAAAAIgAAAGRycy9kb3ducmV2LnhtbFBLAQIUABQAAAAIAIdO4kB3aE0oFQIAAEgEAAAO&#10;AAAAAAAAAAEAIAAAACYBAABkcnMvZTJvRG9jLnhtbFBLBQYAAAAABgAGAFkBAACtBQAAAAA=&#10;">
                <v:fill on="t" focussize="0,0"/>
                <v:stroke color="#000000" joinstyle="miter"/>
                <v:imagedata o:title=""/>
                <o:lock v:ext="edit" aspectratio="f"/>
                <v:textbox>
                  <w:txbxContent>
                    <w:p w14:paraId="5A6F2140">
                      <w:r>
                        <w:rPr>
                          <w:rFonts w:hint="eastAsia"/>
                        </w:rPr>
                        <w:t>总平场地平整</w:t>
                      </w:r>
                    </w:p>
                  </w:txbxContent>
                </v:textbox>
              </v:shape>
            </w:pict>
          </mc:Fallback>
        </mc:AlternateContent>
      </w:r>
      <w:r>
        <w:rPr>
          <w:rFonts w:hint="eastAsia" w:ascii="宋体" w:hAnsi="宋体" w:eastAsia="宋体" w:cs="宋体"/>
          <w:color w:val="auto"/>
          <w:sz w:val="24"/>
          <w:highlight w:val="none"/>
        </w:rPr>
        <w:t>注：需先选苗确定具体苗木或标准--验收通过</w:t>
      </w:r>
    </w:p>
    <w:p w14:paraId="4A6BDC4C">
      <w:pPr>
        <w:pStyle w:val="17"/>
        <w:tabs>
          <w:tab w:val="left" w:pos="0"/>
        </w:tabs>
        <w:spacing w:after="0"/>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08416" behindDoc="0" locked="0" layoutInCell="1" allowOverlap="1">
                <wp:simplePos x="0" y="0"/>
                <wp:positionH relativeFrom="column">
                  <wp:posOffset>3637915</wp:posOffset>
                </wp:positionH>
                <wp:positionV relativeFrom="paragraph">
                  <wp:posOffset>106045</wp:posOffset>
                </wp:positionV>
                <wp:extent cx="777240" cy="304800"/>
                <wp:effectExtent l="4445" t="4445" r="10795" b="10795"/>
                <wp:wrapNone/>
                <wp:docPr id="162" name="文本框 162"/>
                <wp:cNvGraphicFramePr/>
                <a:graphic xmlns:a="http://schemas.openxmlformats.org/drawingml/2006/main">
                  <a:graphicData uri="http://schemas.microsoft.com/office/word/2010/wordprocessingShape">
                    <wps:wsp>
                      <wps:cNvSpPr txBox="1"/>
                      <wps:spPr>
                        <a:xfrm>
                          <a:off x="0" y="0"/>
                          <a:ext cx="777240" cy="304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FBF3BE3">
                            <w:r>
                              <w:rPr>
                                <w:rFonts w:hint="eastAsia"/>
                              </w:rPr>
                              <w:t>土壤沉降</w:t>
                            </w:r>
                          </w:p>
                        </w:txbxContent>
                      </wps:txbx>
                      <wps:bodyPr upright="1"/>
                    </wps:wsp>
                  </a:graphicData>
                </a:graphic>
              </wp:anchor>
            </w:drawing>
          </mc:Choice>
          <mc:Fallback>
            <w:pict>
              <v:shape id="_x0000_s1026" o:spid="_x0000_s1026" o:spt="202" type="#_x0000_t202" style="position:absolute;left:0pt;margin-left:286.45pt;margin-top:8.35pt;height:24pt;width:61.2pt;z-index:251708416;mso-width-relative:page;mso-height-relative:page;" fillcolor="#FFFFFF" filled="t" stroked="t" coordsize="21600,21600" o:gfxdata="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0C9MLZAAAACQEAAA8AAAAA&#10;AAAAAQAgAAAAIgAAAGRycy9kb3ducmV2LnhtbFBLAQIUABQAAAAIAIdO4kD9xzWZEwIAAEcEAAAO&#10;AAAAAAAAAAEAIAAAACgBAABkcnMvZTJvRG9jLnhtbFBLBQYAAAAABgAGAFkBAACtBQAAAAA=&#10;">
                <v:fill on="t" focussize="0,0"/>
                <v:stroke color="#000000" joinstyle="miter"/>
                <v:imagedata o:title=""/>
                <o:lock v:ext="edit" aspectratio="f"/>
                <v:textbox>
                  <w:txbxContent>
                    <w:p w14:paraId="6FBF3BE3">
                      <w:r>
                        <w:rPr>
                          <w:rFonts w:hint="eastAsia"/>
                        </w:rPr>
                        <w:t>土壤沉降</w:t>
                      </w:r>
                    </w:p>
                  </w:txbxContent>
                </v:textbox>
              </v:shape>
            </w:pict>
          </mc:Fallback>
        </mc:AlternateContent>
      </w:r>
      <w:r>
        <w:rPr>
          <w:rFonts w:hint="eastAsia" w:ascii="宋体" w:hAnsi="宋体" w:eastAsia="宋体" w:cs="宋体"/>
          <w:color w:val="auto"/>
          <w:sz w:val="24"/>
          <w:highlight w:val="none"/>
        </w:rPr>
        <w:t xml:space="preserve">    </w:t>
      </w:r>
    </w:p>
    <w:p w14:paraId="362C2AC2">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23776" behindDoc="0" locked="0" layoutInCell="1" allowOverlap="1">
                <wp:simplePos x="0" y="0"/>
                <wp:positionH relativeFrom="column">
                  <wp:posOffset>4449445</wp:posOffset>
                </wp:positionH>
                <wp:positionV relativeFrom="paragraph">
                  <wp:posOffset>107950</wp:posOffset>
                </wp:positionV>
                <wp:extent cx="567055" cy="1270"/>
                <wp:effectExtent l="0" t="36830" r="12065" b="38100"/>
                <wp:wrapNone/>
                <wp:docPr id="163" name="直接连接符 163"/>
                <wp:cNvGraphicFramePr/>
                <a:graphic xmlns:a="http://schemas.openxmlformats.org/drawingml/2006/main">
                  <a:graphicData uri="http://schemas.microsoft.com/office/word/2010/wordprocessingShape">
                    <wps:wsp>
                      <wps:cNvCnPr/>
                      <wps:spPr>
                        <a:xfrm>
                          <a:off x="0" y="0"/>
                          <a:ext cx="567055" cy="12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50.35pt;margin-top:8.5pt;height:0.1pt;width:44.65pt;z-index:251723776;mso-width-relative:page;mso-height-relative:page;" filled="f" stroked="t" coordsize="21600,21600" o:gfxdata="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SfuvYAAAACQEAAA8AAAAAAAAAAQAgAAAAIgAAAGRy&#10;cy9kb3ducmV2LnhtbFBLAQIUABQAAAAIAIdO4kDIK2HUBQIAAPwDAAAOAAAAAAAAAAEAIAAAACcB&#10;AABkcnMvZTJvRG9jLnhtbFBLBQYAAAAABgAGAFkBAACeBQAAAAA=&#10;">
                <v:fill on="f" focussize="0,0"/>
                <v:stroke color="#000000" joinstyle="round" endarrow="block"/>
                <v:imagedata o:title=""/>
                <o:lock v:ext="edit" aspectratio="f"/>
              </v:line>
            </w:pict>
          </mc:Fallback>
        </mc:AlternateContent>
      </w:r>
    </w:p>
    <w:p w14:paraId="7212FFA5">
      <w:pPr>
        <w:tabs>
          <w:tab w:val="left" w:pos="0"/>
        </w:tabs>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br w:type="textWrapping"/>
      </w:r>
    </w:p>
    <w:p w14:paraId="670DD024">
      <w:pPr>
        <w:tabs>
          <w:tab w:val="left" w:pos="0"/>
        </w:tabs>
        <w:ind w:left="17" w:hanging="16" w:hangingChars="7"/>
        <w:jc w:val="left"/>
        <w:rPr>
          <w:rFonts w:ascii="宋体" w:hAnsi="宋体" w:eastAsia="宋体" w:cs="宋体"/>
          <w:color w:val="auto"/>
          <w:sz w:val="24"/>
          <w:highlight w:val="none"/>
        </w:rPr>
      </w:pPr>
    </w:p>
    <w:p w14:paraId="255A8D6D">
      <w:pPr>
        <w:tabs>
          <w:tab w:val="left" w:pos="0"/>
        </w:tabs>
        <w:ind w:left="17" w:hanging="16" w:hangingChars="7"/>
        <w:jc w:val="left"/>
        <w:rPr>
          <w:rFonts w:ascii="宋体" w:hAnsi="宋体" w:eastAsia="宋体" w:cs="宋体"/>
          <w:color w:val="auto"/>
          <w:sz w:val="24"/>
          <w:highlight w:val="none"/>
        </w:rPr>
      </w:pPr>
    </w:p>
    <w:p w14:paraId="6A6A834B">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39136" behindDoc="0" locked="0" layoutInCell="1" allowOverlap="1">
                <wp:simplePos x="0" y="0"/>
                <wp:positionH relativeFrom="column">
                  <wp:posOffset>571500</wp:posOffset>
                </wp:positionH>
                <wp:positionV relativeFrom="paragraph">
                  <wp:posOffset>99060</wp:posOffset>
                </wp:positionV>
                <wp:extent cx="800100" cy="29718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a:noFill/>
                        </a:ln>
                        <a:effectLst/>
                      </wps:spPr>
                      <wps:txbx>
                        <w:txbxContent>
                          <w:p w14:paraId="7A816D0C">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45pt;margin-top:7.8pt;height:23.4pt;width:63pt;z-index:251739136;mso-width-relative:page;mso-height-relative:page;" filled="f" stroked="f" coordsize="21600,21600" o:gfxdata="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9nFv/1QAAAAgBAAAPAAAAAAAAAAEAIAAAACIAAABkcnMvZG93bnJldi54bWxQSwECFAAU&#10;AAAACACHTuJAwQIvebsBAABoAwAADgAAAAAAAAABACAAAAAkAQAAZHJzL2Uyb0RvYy54bWxQSwUG&#10;AAAAAAYABgBZAQAAUQUAAAAA&#10;">
                <v:fill on="f" focussize="0,0"/>
                <v:stroke on="f"/>
                <v:imagedata o:title=""/>
                <o:lock v:ext="edit" aspectratio="f"/>
                <v:textbox>
                  <w:txbxContent>
                    <w:p w14:paraId="7A816D0C">
                      <w:pPr>
                        <w:pStyle w:val="17"/>
                        <w:rPr>
                          <w:sz w:val="18"/>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-228600</wp:posOffset>
                </wp:positionH>
                <wp:positionV relativeFrom="paragraph">
                  <wp:posOffset>0</wp:posOffset>
                </wp:positionV>
                <wp:extent cx="800100" cy="495300"/>
                <wp:effectExtent l="4445" t="4445" r="18415" b="18415"/>
                <wp:wrapNone/>
                <wp:docPr id="165" name="文本框 165"/>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5C819F">
                            <w:r>
                              <w:rPr>
                                <w:rFonts w:hint="eastAsia"/>
                              </w:rPr>
                              <w:t>一般乔木定位放线</w:t>
                            </w:r>
                          </w:p>
                        </w:txbxContent>
                      </wps:txbx>
                      <wps:bodyPr upright="1"/>
                    </wps:wsp>
                  </a:graphicData>
                </a:graphic>
              </wp:anchor>
            </w:drawing>
          </mc:Choice>
          <mc:Fallback>
            <w:pict>
              <v:shape id="_x0000_s1026" o:spid="_x0000_s1026" o:spt="202" type="#_x0000_t202" style="position:absolute;left:0pt;margin-left:-18pt;margin-top:0pt;height:39pt;width:63pt;z-index:251714560;mso-width-relative:page;mso-height-relative:page;" fillcolor="#FFFFFF" filled="t" stroked="t" coordsize="21600,21600" o:gfxdata="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MzItNYAAAAGAQAADwAAAAAAAAABACAA&#10;AAAiAAAAZHJzL2Rvd25yZXYueG1sUEsBAhQAFAAAAAgAh07iQJx01ssPAgAARwQAAA4AAAAAAAAA&#10;AQAgAAAAJQEAAGRycy9lMm9Eb2MueG1sUEsFBgAAAAAGAAYAWQEAAKYFAAAAAA==&#10;">
                <v:fill on="t" focussize="0,0"/>
                <v:stroke color="#000000" joinstyle="miter"/>
                <v:imagedata o:title=""/>
                <o:lock v:ext="edit" aspectratio="f"/>
                <v:textbox>
                  <w:txbxContent>
                    <w:p w14:paraId="615C819F">
                      <w:r>
                        <w:rPr>
                          <w:rFonts w:hint="eastAsia"/>
                        </w:rPr>
                        <w:t>一般乔木定位放线</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8112" behindDoc="0" locked="0" layoutInCell="1" allowOverlap="1">
                <wp:simplePos x="0" y="0"/>
                <wp:positionH relativeFrom="column">
                  <wp:posOffset>1943100</wp:posOffset>
                </wp:positionH>
                <wp:positionV relativeFrom="paragraph">
                  <wp:posOffset>99060</wp:posOffset>
                </wp:positionV>
                <wp:extent cx="800100" cy="29718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a:noFill/>
                        </a:ln>
                        <a:effectLst/>
                      </wps:spPr>
                      <wps:txbx>
                        <w:txbxContent>
                          <w:p w14:paraId="2ECD6973">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153pt;margin-top:7.8pt;height:23.4pt;width:63pt;z-index:251738112;mso-width-relative:page;mso-height-relative:page;" filled="f" stroked="f" coordsize="21600,21600" o:gfxdata="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WSTNYAAAAJAQAADwAAAAAAAAABACAAAAAiAAAAZHJzL2Rvd25yZXYueG1sUEsBAhQA&#10;FAAAAAgAh07iQEYUzvq7AQAAaAMAAA4AAAAAAAAAAQAgAAAAJQEAAGRycy9lMm9Eb2MueG1sUEsF&#10;BgAAAAAGAAYAWQEAAFIFAAAAAA==&#10;">
                <v:fill on="f" focussize="0,0"/>
                <v:stroke on="f"/>
                <v:imagedata o:title=""/>
                <o:lock v:ext="edit" aspectratio="f"/>
                <v:textbox>
                  <w:txbxContent>
                    <w:p w14:paraId="2ECD6973">
                      <w:pPr>
                        <w:pStyle w:val="17"/>
                        <w:rPr>
                          <w:sz w:val="18"/>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7088" behindDoc="0" locked="0" layoutInCell="1" allowOverlap="1">
                <wp:simplePos x="0" y="0"/>
                <wp:positionH relativeFrom="column">
                  <wp:posOffset>3314700</wp:posOffset>
                </wp:positionH>
                <wp:positionV relativeFrom="paragraph">
                  <wp:posOffset>99060</wp:posOffset>
                </wp:positionV>
                <wp:extent cx="800100" cy="29718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a:noFill/>
                        </a:ln>
                        <a:effectLst/>
                      </wps:spPr>
                      <wps:txbx>
                        <w:txbxContent>
                          <w:p w14:paraId="73899D37">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261pt;margin-top:7.8pt;height:23.4pt;width:63pt;z-index:251737088;mso-width-relative:page;mso-height-relative:page;" filled="f" stroked="f" coordsize="21600,21600" o:gfxdata="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Kc541gAAAAkBAAAPAAAAAAAAAAEAIAAAACIAAABkcnMvZG93bnJldi54bWxQSwECFAAU&#10;AAAACACHTuJAX+Qt/roBAABoAwAADgAAAAAAAAABACAAAAAlAQAAZHJzL2Uyb0RvYy54bWxQSwUG&#10;AAAAAAYABgBZAQAAUQUAAAAA&#10;">
                <v:fill on="f" focussize="0,0"/>
                <v:stroke on="f"/>
                <v:imagedata o:title=""/>
                <o:lock v:ext="edit" aspectratio="f"/>
                <v:textbox>
                  <w:txbxContent>
                    <w:p w14:paraId="73899D37">
                      <w:pPr>
                        <w:pStyle w:val="17"/>
                        <w:rPr>
                          <w:sz w:val="18"/>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2512" behindDoc="0" locked="0" layoutInCell="1" allowOverlap="1">
                <wp:simplePos x="0" y="0"/>
                <wp:positionH relativeFrom="column">
                  <wp:posOffset>2514600</wp:posOffset>
                </wp:positionH>
                <wp:positionV relativeFrom="paragraph">
                  <wp:posOffset>0</wp:posOffset>
                </wp:positionV>
                <wp:extent cx="800100" cy="495300"/>
                <wp:effectExtent l="4445" t="4445" r="18415" b="18415"/>
                <wp:wrapNone/>
                <wp:docPr id="172" name="文本框 172"/>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F01E4A">
                            <w:r>
                              <w:rPr>
                                <w:rFonts w:hint="eastAsia"/>
                              </w:rPr>
                              <w:t>大型乔木定点放线</w:t>
                            </w:r>
                          </w:p>
                        </w:txbxContent>
                      </wps:txbx>
                      <wps:bodyPr upright="1"/>
                    </wps:wsp>
                  </a:graphicData>
                </a:graphic>
              </wp:anchor>
            </w:drawing>
          </mc:Choice>
          <mc:Fallback>
            <w:pict>
              <v:shape id="_x0000_s1026" o:spid="_x0000_s1026" o:spt="202" type="#_x0000_t202" style="position:absolute;left:0pt;margin-left:198pt;margin-top:0pt;height:39pt;width:63pt;z-index:251712512;mso-width-relative:page;mso-height-relative:page;" fillcolor="#FFFFFF" filled="t" stroked="t" coordsize="21600,21600" o:gfxdata="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elfQXXAAAABwEAAA8AAAAAAAAAAQAg&#10;AAAAIgAAAGRycy9kb3ducmV2LnhtbFBLAQIUABQAAAAIAIdO4kBuYeAJDwIAAEcEAAAOAAAAAAAA&#10;AAEAIAAAACYBAABkcnMvZTJvRG9jLnhtbFBLBQYAAAAABgAGAFkBAACnBQAAAAA=&#10;">
                <v:fill on="t" focussize="0,0"/>
                <v:stroke color="#000000" joinstyle="miter"/>
                <v:imagedata o:title=""/>
                <o:lock v:ext="edit" aspectratio="f"/>
                <v:textbox>
                  <w:txbxContent>
                    <w:p w14:paraId="15F01E4A">
                      <w:r>
                        <w:rPr>
                          <w:rFonts w:hint="eastAsia"/>
                        </w:rPr>
                        <w:t>大型乔木定点放线</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3536" behindDoc="0" locked="0" layoutInCell="1" allowOverlap="1">
                <wp:simplePos x="0" y="0"/>
                <wp:positionH relativeFrom="column">
                  <wp:posOffset>1143000</wp:posOffset>
                </wp:positionH>
                <wp:positionV relativeFrom="paragraph">
                  <wp:posOffset>0</wp:posOffset>
                </wp:positionV>
                <wp:extent cx="800100" cy="495300"/>
                <wp:effectExtent l="4445" t="4445" r="18415" b="18415"/>
                <wp:wrapNone/>
                <wp:docPr id="173" name="文本框 1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EC6214">
                            <w:r>
                              <w:rPr>
                                <w:rFonts w:hint="eastAsia"/>
                              </w:rPr>
                              <w:t>大型乔木栽植</w:t>
                            </w:r>
                          </w:p>
                        </w:txbxContent>
                      </wps:txbx>
                      <wps:bodyPr upright="1"/>
                    </wps:wsp>
                  </a:graphicData>
                </a:graphic>
              </wp:anchor>
            </w:drawing>
          </mc:Choice>
          <mc:Fallback>
            <w:pict>
              <v:shape id="_x0000_s1026" o:spid="_x0000_s1026" o:spt="202" type="#_x0000_t202" style="position:absolute;left:0pt;margin-left:90pt;margin-top:0pt;height:39pt;width:63pt;z-index:251713536;mso-width-relative:page;mso-height-relative:page;" fillcolor="#FFFFFF" filled="t" stroked="t" coordsize="21600,21600" o:gfxdata="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v3i7PWAAAABwEAAA8AAAAAAAAAAQAg&#10;AAAAIgAAAGRycy9kb3ducmV2LnhtbFBLAQIUABQAAAAIAIdO4kBRUkddEAIAAEcEAAAOAAAAAAAA&#10;AAEAIAAAACUBAABkcnMvZTJvRG9jLnhtbFBLBQYAAAAABgAGAFkBAACnBQAAAAA=&#10;">
                <v:fill on="t" focussize="0,0"/>
                <v:stroke color="#000000" joinstyle="miter"/>
                <v:imagedata o:title=""/>
                <o:lock v:ext="edit" aspectratio="f"/>
                <v:textbox>
                  <w:txbxContent>
                    <w:p w14:paraId="03EC6214">
                      <w:r>
                        <w:rPr>
                          <w:rFonts w:hint="eastAsia"/>
                        </w:rPr>
                        <w:t>大型乔木栽植</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1488" behindDoc="0" locked="0" layoutInCell="1" allowOverlap="1">
                <wp:simplePos x="0" y="0"/>
                <wp:positionH relativeFrom="column">
                  <wp:posOffset>3886200</wp:posOffset>
                </wp:positionH>
                <wp:positionV relativeFrom="paragraph">
                  <wp:posOffset>99060</wp:posOffset>
                </wp:positionV>
                <wp:extent cx="800100" cy="297180"/>
                <wp:effectExtent l="4445" t="4445" r="18415" b="18415"/>
                <wp:wrapNone/>
                <wp:docPr id="174" name="文本框 17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5ACBFC">
                            <w:r>
                              <w:rPr>
                                <w:rFonts w:hint="eastAsia"/>
                              </w:rPr>
                              <w:t>土壤细平</w:t>
                            </w:r>
                          </w:p>
                        </w:txbxContent>
                      </wps:txbx>
                      <wps:bodyPr upright="1"/>
                    </wps:wsp>
                  </a:graphicData>
                </a:graphic>
              </wp:anchor>
            </w:drawing>
          </mc:Choice>
          <mc:Fallback>
            <w:pict>
              <v:shape id="_x0000_s1026" o:spid="_x0000_s1026" o:spt="202" type="#_x0000_t202" style="position:absolute;left:0pt;margin-left:306pt;margin-top:7.8pt;height:23.4pt;width:63pt;z-index:251711488;mso-width-relative:page;mso-height-relative:page;" fillcolor="#FFFFFF" filled="t" stroked="t" coordsize="21600,21600" o:gfxdata="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FS0H2AAAAAkBAAAPAAAAAAAA&#10;AAEAIAAAACIAAABkcnMvZG93bnJldi54bWxQSwECFAAUAAAACACHTuJAyDocNhICAABHBAAADgAA&#10;AAAAAAABACAAAAAnAQAAZHJzL2Uyb0RvYy54bWxQSwUGAAAAAAYABgBZAQAAqwUAAAAA&#10;">
                <v:fill on="t" focussize="0,0"/>
                <v:stroke color="#000000" joinstyle="miter"/>
                <v:imagedata o:title=""/>
                <o:lock v:ext="edit" aspectratio="f"/>
                <v:textbox>
                  <w:txbxContent>
                    <w:p w14:paraId="795ACBFC">
                      <w:r>
                        <w:rPr>
                          <w:rFonts w:hint="eastAsia"/>
                        </w:rPr>
                        <w:t>土壤细平</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0464" behindDoc="0" locked="0" layoutInCell="1" allowOverlap="1">
                <wp:simplePos x="0" y="0"/>
                <wp:positionH relativeFrom="column">
                  <wp:posOffset>4914900</wp:posOffset>
                </wp:positionH>
                <wp:positionV relativeFrom="paragraph">
                  <wp:posOffset>0</wp:posOffset>
                </wp:positionV>
                <wp:extent cx="800100" cy="495300"/>
                <wp:effectExtent l="4445" t="4445" r="18415" b="18415"/>
                <wp:wrapNone/>
                <wp:docPr id="175" name="文本框 175"/>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207B4B">
                            <w:r>
                              <w:rPr>
                                <w:rFonts w:hint="eastAsia"/>
                              </w:rPr>
                              <w:t>土壤处理、消毒</w:t>
                            </w:r>
                          </w:p>
                        </w:txbxContent>
                      </wps:txbx>
                      <wps:bodyPr upright="1"/>
                    </wps:wsp>
                  </a:graphicData>
                </a:graphic>
              </wp:anchor>
            </w:drawing>
          </mc:Choice>
          <mc:Fallback>
            <w:pict>
              <v:shape id="_x0000_s1026" o:spid="_x0000_s1026" o:spt="202" type="#_x0000_t202" style="position:absolute;left:0pt;margin-left:387pt;margin-top:0pt;height:39pt;width:63pt;z-index:251710464;mso-width-relative:page;mso-height-relative:page;" fillcolor="#FFFFFF" filled="t" stroked="t" coordsize="21600,21600" o:gfxdata="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3AEtYAAAAHAQAADwAAAAAAAAABACAA&#10;AAAiAAAAZHJzL2Rvd25yZXYueG1sUEsBAhQAFAAAAAgAh07iQJL+5H0PAgAARwQAAA4AAAAAAAAA&#10;AQAgAAAAJQEAAGRycy9lMm9Eb2MueG1sUEsFBgAAAAAGAAYAWQEAAKYFAAAAAA==&#10;">
                <v:fill on="t" focussize="0,0"/>
                <v:stroke color="#000000" joinstyle="miter"/>
                <v:imagedata o:title=""/>
                <o:lock v:ext="edit" aspectratio="f"/>
                <v:textbox>
                  <w:txbxContent>
                    <w:p w14:paraId="3C207B4B">
                      <w:r>
                        <w:rPr>
                          <w:rFonts w:hint="eastAsia"/>
                        </w:rPr>
                        <w:t>土壤处理、消毒</w:t>
                      </w:r>
                    </w:p>
                  </w:txbxContent>
                </v:textbox>
              </v:shape>
            </w:pict>
          </mc:Fallback>
        </mc:AlternateContent>
      </w:r>
    </w:p>
    <w:p w14:paraId="6756A0B9">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28896" behindDoc="0" locked="0" layoutInCell="1" allowOverlap="1">
                <wp:simplePos x="0" y="0"/>
                <wp:positionH relativeFrom="column">
                  <wp:posOffset>571500</wp:posOffset>
                </wp:positionH>
                <wp:positionV relativeFrom="paragraph">
                  <wp:posOffset>99060</wp:posOffset>
                </wp:positionV>
                <wp:extent cx="571500" cy="0"/>
                <wp:effectExtent l="0" t="38100" r="7620" b="38100"/>
                <wp:wrapNone/>
                <wp:docPr id="176" name="直接连接符 176"/>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45pt;margin-top:7.8pt;height:0pt;width:45pt;z-index:251728896;mso-width-relative:page;mso-height-relative:page;" filled="f" stroked="t" coordsize="21600,21600" o:gfxdata="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&#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eua+tUAAAAIAQAADwAAAAAAAAABACAAAAAiAAAA&#10;ZHJzL2Rvd25yZXYueG1sUEsBAhQAFAAAAAgAh07iQIkPwBQKAgAAAwQAAA4AAAAAAAAAAQAgAAAA&#10;JAEAAGRycy9lMm9Eb2MueG1sUEsFBgAAAAAGAAYAWQEAAKA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7872" behindDoc="0" locked="0" layoutInCell="1" allowOverlap="1">
                <wp:simplePos x="0" y="0"/>
                <wp:positionH relativeFrom="column">
                  <wp:posOffset>1943100</wp:posOffset>
                </wp:positionH>
                <wp:positionV relativeFrom="paragraph">
                  <wp:posOffset>99060</wp:posOffset>
                </wp:positionV>
                <wp:extent cx="571500" cy="0"/>
                <wp:effectExtent l="0" t="38100" r="7620" b="38100"/>
                <wp:wrapNone/>
                <wp:docPr id="177" name="直接连接符 177"/>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3pt;margin-top:7.8pt;height:0pt;width:45pt;z-index:251727872;mso-width-relative:page;mso-height-relative:page;" filled="f" stroked="t" coordsize="21600,21600" o:gfxdata="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pBPPXAAAACQEAAA8AAAAAAAAAAQAgAAAAIgAA&#10;AGRycy9kb3ducmV2LnhtbFBLAQIUABQAAAAIAIdO4kC/tEs5CQIAAAMEAAAOAAAAAAAAAAEAIAAA&#10;ACYBAABkcnMvZTJvRG9jLnhtbFBLBQYAAAAABgAGAFkBAACh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5824" behindDoc="0" locked="0" layoutInCell="1" allowOverlap="1">
                <wp:simplePos x="0" y="0"/>
                <wp:positionH relativeFrom="column">
                  <wp:posOffset>3314700</wp:posOffset>
                </wp:positionH>
                <wp:positionV relativeFrom="paragraph">
                  <wp:posOffset>99060</wp:posOffset>
                </wp:positionV>
                <wp:extent cx="571500" cy="0"/>
                <wp:effectExtent l="0" t="38100" r="7620" b="38100"/>
                <wp:wrapNone/>
                <wp:docPr id="178" name="直接连接符 178"/>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61pt;margin-top:7.8pt;height:0pt;width:45pt;z-index:251725824;mso-width-relative:page;mso-height-relative:page;" filled="f" stroked="t" coordsize="21600,21600" o:gfxdata="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5bTJtYAAAAJAQAADwAAAAAAAAABACAAAAAiAAAA&#10;ZHJzL2Rvd25yZXYueG1sUEsBAhQAFAAAAAgAh07iQMxK1U4JAgAAAwQAAA4AAAAAAAAAAQAgAAAA&#10;JQEAAGRycy9lMm9Eb2MueG1sUEsFBgAAAAAGAAYAWQEAAKA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6848" behindDoc="0" locked="0" layoutInCell="1" allowOverlap="1">
                <wp:simplePos x="0" y="0"/>
                <wp:positionH relativeFrom="column">
                  <wp:posOffset>4572000</wp:posOffset>
                </wp:positionH>
                <wp:positionV relativeFrom="paragraph">
                  <wp:posOffset>99060</wp:posOffset>
                </wp:positionV>
                <wp:extent cx="342265" cy="0"/>
                <wp:effectExtent l="0" t="38100" r="8255" b="38100"/>
                <wp:wrapNone/>
                <wp:docPr id="179" name="直接连接符 179"/>
                <wp:cNvGraphicFramePr/>
                <a:graphic xmlns:a="http://schemas.openxmlformats.org/drawingml/2006/main">
                  <a:graphicData uri="http://schemas.microsoft.com/office/word/2010/wordprocessingShape">
                    <wps:wsp>
                      <wps:cNvCnPr/>
                      <wps:spPr>
                        <a:xfrm flipH="1">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60pt;margin-top:7.8pt;height:0pt;width:26.95pt;z-index:251726848;mso-width-relative:page;mso-height-relative:page;" filled="f" stroked="t" coordsize="21600,21600" o:gfxdata="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9XGaNgAAAAJAQAADwAAAAAAAAABACAAAAAi&#10;AAAAZHJzL2Rvd25yZXYueG1sUEsBAhQAFAAAAAgAh07iQJOWVVQKAgAAAwQAAA4AAAAAAAAAAQAg&#10;AAAAJwEAAGRycy9lMm9Eb2MueG1sUEsFBgAAAAAGAAYAWQEAAKMFAAAAAA==&#10;">
                <v:fill on="f" focussize="0,0"/>
                <v:stroke color="#000000" joinstyle="round" endarrow="block"/>
                <v:imagedata o:title=""/>
                <o:lock v:ext="edit" aspectratio="f"/>
              </v:line>
            </w:pict>
          </mc:Fallback>
        </mc:AlternateContent>
      </w:r>
    </w:p>
    <w:p w14:paraId="22C8BDD6">
      <w:pPr>
        <w:tabs>
          <w:tab w:val="left" w:pos="0"/>
        </w:tabs>
        <w:ind w:left="17" w:hanging="16" w:hangingChars="7"/>
        <w:jc w:val="left"/>
        <w:rPr>
          <w:rFonts w:ascii="宋体" w:hAnsi="宋体" w:eastAsia="宋体" w:cs="宋体"/>
          <w:color w:val="auto"/>
          <w:sz w:val="24"/>
          <w:highlight w:val="none"/>
        </w:rPr>
      </w:pPr>
    </w:p>
    <w:p w14:paraId="09DA5EAE">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40160" behindDoc="0" locked="0" layoutInCell="1" allowOverlap="1">
                <wp:simplePos x="0" y="0"/>
                <wp:positionH relativeFrom="column">
                  <wp:posOffset>-228600</wp:posOffset>
                </wp:positionH>
                <wp:positionV relativeFrom="paragraph">
                  <wp:posOffset>0</wp:posOffset>
                </wp:positionV>
                <wp:extent cx="457200" cy="69342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457200" cy="693420"/>
                        </a:xfrm>
                        <a:prstGeom prst="rect">
                          <a:avLst/>
                        </a:prstGeom>
                        <a:noFill/>
                        <a:ln w="9525">
                          <a:noFill/>
                        </a:ln>
                        <a:effectLst/>
                      </wps:spPr>
                      <wps:txbx>
                        <w:txbxContent>
                          <w:p w14:paraId="6A6A826C">
                            <w:pPr>
                              <w:pStyle w:val="17"/>
                            </w:pPr>
                            <w:r>
                              <w:rPr>
                                <w:rFonts w:hint="eastAsia"/>
                              </w:rPr>
                              <w:t>验收通过</w:t>
                            </w:r>
                          </w:p>
                        </w:txbxContent>
                      </wps:txbx>
                      <wps:bodyPr vert="eaVert" upright="1"/>
                    </wps:wsp>
                  </a:graphicData>
                </a:graphic>
              </wp:anchor>
            </w:drawing>
          </mc:Choice>
          <mc:Fallback>
            <w:pict>
              <v:shape id="_x0000_s1026" o:spid="_x0000_s1026" o:spt="202" type="#_x0000_t202" style="position:absolute;left:0pt;margin-left:-18pt;margin-top:0pt;height:54.6pt;width:36pt;z-index:251740160;mso-width-relative:page;mso-height-relative:page;" filled="f" stroked="f" coordsize="21600,21600" o:gfxdata="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zJpStcAAAAHAQAADwAAAAAAAAABACAAAAAiAAAAZHJzL2Rvd25yZXYu&#10;eG1sUEsBAhQAFAAAAAgAh07iQKfM7rDDAQAAdgMAAA4AAAAAAAAAAQAgAAAAJgEAAGRycy9lMm9E&#10;b2MueG1sUEsFBgAAAAAGAAYAWQEAAFsFAAAAAA==&#10;">
                <v:fill on="f" focussize="0,0"/>
                <v:stroke on="f"/>
                <v:imagedata o:title=""/>
                <o:lock v:ext="edit" aspectratio="f"/>
                <v:textbox style="layout-flow:vertical-ideographic;">
                  <w:txbxContent>
                    <w:p w14:paraId="6A6A826C">
                      <w:pPr>
                        <w:pStyle w:val="17"/>
                      </w:pPr>
                      <w:r>
                        <w:rPr>
                          <w:rFonts w:hint="eastAsia"/>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29920" behindDoc="0" locked="0" layoutInCell="1" allowOverlap="1">
                <wp:simplePos x="0" y="0"/>
                <wp:positionH relativeFrom="column">
                  <wp:posOffset>228600</wp:posOffset>
                </wp:positionH>
                <wp:positionV relativeFrom="paragraph">
                  <wp:posOffset>0</wp:posOffset>
                </wp:positionV>
                <wp:extent cx="635" cy="594360"/>
                <wp:effectExtent l="37465" t="0" r="38100" b="0"/>
                <wp:wrapNone/>
                <wp:docPr id="181" name="直接连接符 181"/>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pt;margin-top:0pt;height:46.8pt;width:0.05pt;z-index:251729920;mso-width-relative:page;mso-height-relative:page;" filled="f" stroked="t" coordsize="21600,21600" o:gfxdata="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oNvtcAAAAFAQAADwAAAAAAAAABACAAAAAiAAAAZHJz&#10;L2Rvd25yZXYueG1sUEsBAhQAFAAAAAgAh07iQGQ1DKcFAgAA+wMAAA4AAAAAAAAAAQAgAAAAJgEA&#10;AGRycy9lMm9Eb2MueG1sUEsFBgAAAAAGAAYAWQEAAJ0FAAAAAA==&#10;">
                <v:fill on="f" focussize="0,0"/>
                <v:stroke color="#000000" joinstyle="round" endarrow="block"/>
                <v:imagedata o:title=""/>
                <o:lock v:ext="edit" aspectratio="f"/>
              </v:line>
            </w:pict>
          </mc:Fallback>
        </mc:AlternateContent>
      </w:r>
    </w:p>
    <w:p w14:paraId="1AE80B4E">
      <w:pPr>
        <w:tabs>
          <w:tab w:val="left" w:pos="0"/>
        </w:tabs>
        <w:ind w:left="17" w:hanging="16" w:hangingChars="7"/>
        <w:jc w:val="left"/>
        <w:rPr>
          <w:rFonts w:ascii="宋体" w:hAnsi="宋体" w:eastAsia="宋体" w:cs="宋体"/>
          <w:color w:val="auto"/>
          <w:sz w:val="24"/>
          <w:highlight w:val="none"/>
        </w:rPr>
      </w:pPr>
    </w:p>
    <w:p w14:paraId="50FF4C6D">
      <w:pPr>
        <w:tabs>
          <w:tab w:val="left" w:pos="0"/>
        </w:tabs>
        <w:ind w:left="17" w:hanging="16" w:hangingChars="7"/>
        <w:jc w:val="left"/>
        <w:rPr>
          <w:rFonts w:ascii="宋体" w:hAnsi="宋体" w:eastAsia="宋体" w:cs="宋体"/>
          <w:color w:val="auto"/>
          <w:sz w:val="24"/>
          <w:highlight w:val="none"/>
        </w:rPr>
      </w:pPr>
    </w:p>
    <w:p w14:paraId="3CC84E25">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43232" behindDoc="0" locked="0" layoutInCell="1" allowOverlap="1">
                <wp:simplePos x="0" y="0"/>
                <wp:positionH relativeFrom="column">
                  <wp:posOffset>3543300</wp:posOffset>
                </wp:positionH>
                <wp:positionV relativeFrom="paragraph">
                  <wp:posOffset>99060</wp:posOffset>
                </wp:positionV>
                <wp:extent cx="685800" cy="39624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w="9525">
                          <a:noFill/>
                        </a:ln>
                        <a:effectLst/>
                      </wps:spPr>
                      <wps:txbx>
                        <w:txbxContent>
                          <w:p w14:paraId="38FA057E">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279pt;margin-top:7.8pt;height:31.2pt;width:54pt;z-index:251743232;mso-width-relative:page;mso-height-relative:page;" filled="f" stroked="f" coordsize="21600,21600" o:gfxdata="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pDDs9UAAAAJAQAADwAAAAAAAAABACAAAAAiAAAAZHJzL2Rvd25yZXYueG1sUEsBAhQA&#10;FAAAAAgAh07iQHmNfOS8AQAAaAMAAA4AAAAAAAAAAQAgAAAAJAEAAGRycy9lMm9Eb2MueG1sUEsF&#10;BgAAAAAGAAYAWQEAAFIFAAAAAA==&#10;">
                <v:fill on="f" focussize="0,0"/>
                <v:stroke on="f"/>
                <v:imagedata o:title=""/>
                <o:lock v:ext="edit" aspectratio="f"/>
                <v:textbox>
                  <w:txbxContent>
                    <w:p w14:paraId="38FA057E">
                      <w:pPr>
                        <w:pStyle w:val="17"/>
                        <w:rPr>
                          <w:sz w:val="18"/>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99060</wp:posOffset>
                </wp:positionV>
                <wp:extent cx="800100" cy="495300"/>
                <wp:effectExtent l="4445" t="4445" r="18415" b="18415"/>
                <wp:wrapNone/>
                <wp:docPr id="183" name="文本框 18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B20158">
                            <w:r>
                              <w:rPr>
                                <w:rFonts w:hint="eastAsia"/>
                              </w:rPr>
                              <w:t>灌木定位放线</w:t>
                            </w:r>
                          </w:p>
                        </w:txbxContent>
                      </wps:txbx>
                      <wps:bodyPr upright="1"/>
                    </wps:wsp>
                  </a:graphicData>
                </a:graphic>
              </wp:anchor>
            </w:drawing>
          </mc:Choice>
          <mc:Fallback>
            <w:pict>
              <v:shape id="_x0000_s1026" o:spid="_x0000_s1026" o:spt="202" type="#_x0000_t202" style="position:absolute;left:0pt;margin-left:99pt;margin-top:7.8pt;height:39pt;width:63pt;z-index:251716608;mso-width-relative:page;mso-height-relative:page;" fillcolor="#FFFFFF" filled="t" stroked="t" coordsize="21600,21600" o:gfxdata="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DxzO2AAAAAkBAAAPAAAAAAAAAAEA&#10;IAAAACIAAABkcnMvZG93bnJldi54bWxQSwECFAAUAAAACACHTuJATqv7WA8CAABHBAAADgAAAAAA&#10;AAABACAAAAAnAQAAZHJzL2Uyb0RvYy54bWxQSwUGAAAAAAYABgBZAQAAqAUAAAAA&#10;">
                <v:fill on="t" focussize="0,0"/>
                <v:stroke color="#000000" joinstyle="miter"/>
                <v:imagedata o:title=""/>
                <o:lock v:ext="edit" aspectratio="f"/>
                <v:textbox>
                  <w:txbxContent>
                    <w:p w14:paraId="4DB20158">
                      <w:r>
                        <w:rPr>
                          <w:rFonts w:hint="eastAsia"/>
                        </w:rPr>
                        <w:t>灌木定位放线</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99060</wp:posOffset>
                </wp:positionV>
                <wp:extent cx="800100" cy="495300"/>
                <wp:effectExtent l="4445" t="4445" r="18415" b="18415"/>
                <wp:wrapNone/>
                <wp:docPr id="184" name="文本框 184"/>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F1980C">
                            <w:r>
                              <w:rPr>
                                <w:rFonts w:hint="eastAsia"/>
                              </w:rPr>
                              <w:t>一般乔木栽植</w:t>
                            </w:r>
                          </w:p>
                        </w:txbxContent>
                      </wps:txbx>
                      <wps:bodyPr upright="1"/>
                    </wps:wsp>
                  </a:graphicData>
                </a:graphic>
              </wp:anchor>
            </w:drawing>
          </mc:Choice>
          <mc:Fallback>
            <w:pict>
              <v:shape id="_x0000_s1026" o:spid="_x0000_s1026" o:spt="202" type="#_x0000_t202" style="position:absolute;left:0pt;margin-left:-9pt;margin-top:7.8pt;height:39pt;width:63pt;z-index:251715584;mso-width-relative:page;mso-height-relative:page;" fillcolor="#FFFFFF" filled="t" stroked="t" coordsize="21600,21600" o:gfxdata="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inpHXAAAACQEAAA8AAAAAAAAAAQAg&#10;AAAAIgAAAGRycy9kb3ducmV2LnhtbFBLAQIUABQAAAAIAIdO4kCyNP8sDwIAAEcEAAAOAAAAAAAA&#10;AAEAIAAAACYBAABkcnMvZTJvRG9jLnhtbFBLBQYAAAAABgAGAFkBAACnBQAAAAA=&#10;">
                <v:fill on="t" focussize="0,0"/>
                <v:stroke color="#000000" joinstyle="miter"/>
                <v:imagedata o:title=""/>
                <o:lock v:ext="edit" aspectratio="f"/>
                <v:textbox>
                  <w:txbxContent>
                    <w:p w14:paraId="60F1980C">
                      <w:r>
                        <w:rPr>
                          <w:rFonts w:hint="eastAsia"/>
                        </w:rPr>
                        <w:t>一般乔木栽植</w:t>
                      </w:r>
                    </w:p>
                  </w:txbxContent>
                </v:textbox>
              </v:shape>
            </w:pict>
          </mc:Fallback>
        </mc:AlternateContent>
      </w:r>
    </w:p>
    <w:p w14:paraId="1D514A87">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19680" behindDoc="0" locked="0" layoutInCell="1" allowOverlap="1">
                <wp:simplePos x="0" y="0"/>
                <wp:positionH relativeFrom="column">
                  <wp:posOffset>5029200</wp:posOffset>
                </wp:positionH>
                <wp:positionV relativeFrom="paragraph">
                  <wp:posOffset>0</wp:posOffset>
                </wp:positionV>
                <wp:extent cx="1364615" cy="297180"/>
                <wp:effectExtent l="4445" t="4445" r="17780" b="18415"/>
                <wp:wrapNone/>
                <wp:docPr id="185" name="文本框 185"/>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3949F3">
                            <w:r>
                              <w:rPr>
                                <w:rFonts w:hint="eastAsia"/>
                              </w:rPr>
                              <w:t>建植草坪、时令花卉</w:t>
                            </w:r>
                          </w:p>
                        </w:txbxContent>
                      </wps:txbx>
                      <wps:bodyPr upright="1"/>
                    </wps:wsp>
                  </a:graphicData>
                </a:graphic>
              </wp:anchor>
            </w:drawing>
          </mc:Choice>
          <mc:Fallback>
            <w:pict>
              <v:shape id="_x0000_s1026" o:spid="_x0000_s1026" o:spt="202" type="#_x0000_t202" style="position:absolute;left:0pt;margin-left:396pt;margin-top:0pt;height:23.4pt;width:107.45pt;z-index:251719680;mso-width-relative:page;mso-height-relative:page;" fillcolor="#FFFFFF" filled="t" stroked="t" coordsize="21600,21600" o:gfxdata="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Lw412AAAAAgBAAAPAAAA&#10;AAAAAAEAIAAAACIAAABkcnMvZG93bnJldi54bWxQSwECFAAUAAAACACHTuJAvxJ1nhUCAABIBAAA&#10;DgAAAAAAAAABACAAAAAnAQAAZHJzL2Uyb0RvYy54bWxQSwUGAAAAAAYABgBZAQAArgUAAAAA&#10;">
                <v:fill on="t" focussize="0,0"/>
                <v:stroke color="#000000" joinstyle="miter"/>
                <v:imagedata o:title=""/>
                <o:lock v:ext="edit" aspectratio="f"/>
                <v:textbox>
                  <w:txbxContent>
                    <w:p w14:paraId="113949F3">
                      <w:r>
                        <w:rPr>
                          <w:rFonts w:hint="eastAsia"/>
                        </w:rPr>
                        <w:t>建植草坪、时令花卉</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7632" behindDoc="0" locked="0" layoutInCell="1" allowOverlap="1">
                <wp:simplePos x="0" y="0"/>
                <wp:positionH relativeFrom="column">
                  <wp:posOffset>2743200</wp:posOffset>
                </wp:positionH>
                <wp:positionV relativeFrom="paragraph">
                  <wp:posOffset>0</wp:posOffset>
                </wp:positionV>
                <wp:extent cx="800100" cy="297180"/>
                <wp:effectExtent l="4445" t="4445" r="18415" b="18415"/>
                <wp:wrapNone/>
                <wp:docPr id="186" name="文本框 186"/>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ECE6EC">
                            <w:r>
                              <w:rPr>
                                <w:rFonts w:hint="eastAsia"/>
                              </w:rPr>
                              <w:t>灌木栽植</w:t>
                            </w:r>
                          </w:p>
                        </w:txbxContent>
                      </wps:txbx>
                      <wps:bodyPr upright="1"/>
                    </wps:wsp>
                  </a:graphicData>
                </a:graphic>
              </wp:anchor>
            </w:drawing>
          </mc:Choice>
          <mc:Fallback>
            <w:pict>
              <v:shape id="_x0000_s1026" o:spid="_x0000_s1026" o:spt="202" type="#_x0000_t202" style="position:absolute;left:0pt;margin-left:216pt;margin-top:0pt;height:23.4pt;width:63pt;z-index:251717632;mso-width-relative:page;mso-height-relative:page;" fillcolor="#FFFFFF" filled="t" stroked="t" coordsize="21600,21600" o:gfxdata="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fXxlfXAAAABwEAAA8AAAAAAAAA&#10;AQAgAAAAIgAAAGRycy9kb3ducmV2LnhtbFBLAQIUABQAAAAIAIdO4kCppe6aEgIAAEcEAAAOAAAA&#10;AAAAAAEAIAAAACYBAABkcnMvZTJvRG9jLnhtbFBLBQYAAAAABgAGAFkBAACqBQAAAAA=&#10;">
                <v:fill on="t" focussize="0,0"/>
                <v:stroke color="#000000" joinstyle="miter"/>
                <v:imagedata o:title=""/>
                <o:lock v:ext="edit" aspectratio="f"/>
                <v:textbox>
                  <w:txbxContent>
                    <w:p w14:paraId="64ECE6EC">
                      <w:r>
                        <w:rPr>
                          <w:rFonts w:hint="eastAsia"/>
                        </w:rPr>
                        <w:t>灌木栽植</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18656" behindDoc="0" locked="0" layoutInCell="1" allowOverlap="1">
                <wp:simplePos x="0" y="0"/>
                <wp:positionH relativeFrom="column">
                  <wp:posOffset>4114800</wp:posOffset>
                </wp:positionH>
                <wp:positionV relativeFrom="paragraph">
                  <wp:posOffset>0</wp:posOffset>
                </wp:positionV>
                <wp:extent cx="571500" cy="297180"/>
                <wp:effectExtent l="4445" t="4445" r="18415" b="18415"/>
                <wp:wrapNone/>
                <wp:docPr id="187" name="文本框 18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29BDA3">
                            <w:r>
                              <w:rPr>
                                <w:rFonts w:hint="eastAsia"/>
                              </w:rPr>
                              <w:t>整地</w:t>
                            </w:r>
                          </w:p>
                        </w:txbxContent>
                      </wps:txbx>
                      <wps:bodyPr upright="1"/>
                    </wps:wsp>
                  </a:graphicData>
                </a:graphic>
              </wp:anchor>
            </w:drawing>
          </mc:Choice>
          <mc:Fallback>
            <w:pict>
              <v:shape id="_x0000_s1026" o:spid="_x0000_s1026" o:spt="202" type="#_x0000_t202" style="position:absolute;left:0pt;margin-left:324pt;margin-top:0pt;height:23.4pt;width:45pt;z-index:251718656;mso-width-relative:page;mso-height-relative:page;" fillcolor="#FFFFFF" filled="t" stroked="t" coordsize="21600,21600" o:gfxdata="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G7IL9cAAAAHAQAADwAAAAAA&#10;AAABACAAAAAiAAAAZHJzL2Rvd25yZXYueG1sUEsBAhQAFAAAAAgAh07iQK1/+CcUAgAARwQAAA4A&#10;AAAAAAAAAQAgAAAAJgEAAGRycy9lMm9Eb2MueG1sUEsFBgAAAAAGAAYAWQEAAKwFAAAAAA==&#10;">
                <v:fill on="t" focussize="0,0"/>
                <v:stroke color="#000000" joinstyle="miter"/>
                <v:imagedata o:title=""/>
                <o:lock v:ext="edit" aspectratio="f"/>
                <v:textbox>
                  <w:txbxContent>
                    <w:p w14:paraId="1329BDA3">
                      <w:r>
                        <w:rPr>
                          <w:rFonts w:hint="eastAsia"/>
                        </w:rPr>
                        <w:t>整地</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42208" behindDoc="0" locked="0" layoutInCell="1" allowOverlap="1">
                <wp:simplePos x="0" y="0"/>
                <wp:positionH relativeFrom="column">
                  <wp:posOffset>2057400</wp:posOffset>
                </wp:positionH>
                <wp:positionV relativeFrom="paragraph">
                  <wp:posOffset>0</wp:posOffset>
                </wp:positionV>
                <wp:extent cx="685800" cy="39624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w="9525">
                          <a:noFill/>
                        </a:ln>
                        <a:effectLst/>
                      </wps:spPr>
                      <wps:txbx>
                        <w:txbxContent>
                          <w:p w14:paraId="7BC6A527">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162pt;margin-top:0pt;height:31.2pt;width:54pt;z-index:251742208;mso-width-relative:page;mso-height-relative:page;" filled="f" stroked="f" coordsize="21600,21600" o:gfxdata="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58Opx1QAAAAcBAAAPAAAAAAAAAAEAIAAAACIAAABkcnMvZG93bnJldi54bWxQSwECFAAU&#10;AAAACACHTuJAnZPVy7sBAABoAwAADgAAAAAAAAABACAAAAAkAQAAZHJzL2Uyb0RvYy54bWxQSwUG&#10;AAAAAAYABgBZAQAAUQUAAAAA&#10;">
                <v:fill on="f" focussize="0,0"/>
                <v:stroke on="f"/>
                <v:imagedata o:title=""/>
                <o:lock v:ext="edit" aspectratio="f"/>
                <v:textbox>
                  <w:txbxContent>
                    <w:p w14:paraId="7BC6A527">
                      <w:pPr>
                        <w:pStyle w:val="17"/>
                        <w:rPr>
                          <w:sz w:val="18"/>
                          <w:szCs w:val="18"/>
                        </w:rPr>
                      </w:pPr>
                      <w:r>
                        <w:rPr>
                          <w:rFonts w:hint="eastAsia"/>
                          <w:sz w:val="18"/>
                          <w:szCs w:val="18"/>
                        </w:rPr>
                        <w:t>验收通过</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41184" behindDoc="0" locked="0" layoutInCell="1" allowOverlap="1">
                <wp:simplePos x="0" y="0"/>
                <wp:positionH relativeFrom="column">
                  <wp:posOffset>685800</wp:posOffset>
                </wp:positionH>
                <wp:positionV relativeFrom="paragraph">
                  <wp:posOffset>0</wp:posOffset>
                </wp:positionV>
                <wp:extent cx="685800" cy="39624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w="9525">
                          <a:noFill/>
                        </a:ln>
                        <a:effectLst/>
                      </wps:spPr>
                      <wps:txbx>
                        <w:txbxContent>
                          <w:p w14:paraId="3BFC4D9B">
                            <w:pPr>
                              <w:pStyle w:val="17"/>
                              <w:rPr>
                                <w:sz w:val="18"/>
                                <w:szCs w:val="18"/>
                              </w:rPr>
                            </w:pPr>
                            <w:r>
                              <w:rPr>
                                <w:rFonts w:hint="eastAsia"/>
                                <w:sz w:val="18"/>
                                <w:szCs w:val="18"/>
                              </w:rPr>
                              <w:t>验收通过</w:t>
                            </w:r>
                          </w:p>
                        </w:txbxContent>
                      </wps:txbx>
                      <wps:bodyPr upright="1"/>
                    </wps:wsp>
                  </a:graphicData>
                </a:graphic>
              </wp:anchor>
            </w:drawing>
          </mc:Choice>
          <mc:Fallback>
            <w:pict>
              <v:shape id="_x0000_s1026" o:spid="_x0000_s1026" o:spt="202" type="#_x0000_t202" style="position:absolute;left:0pt;margin-left:54pt;margin-top:0pt;height:31.2pt;width:54pt;z-index:251741184;mso-width-relative:page;mso-height-relative:page;" filled="f" stroked="f" coordsize="21600,21600" o:gfxdata="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uk9i1AAAAAcBAAAPAAAAAAAAAAEAIAAAACIAAABkcnMvZG93bnJldi54bWxQSwECFAAU&#10;AAAACACHTuJAku6horwBAABoAwAADgAAAAAAAAABACAAAAAjAQAAZHJzL2Uyb0RvYy54bWxQSwUG&#10;AAAAAAYABgBZAQAAUQUAAAAA&#10;">
                <v:fill on="f" focussize="0,0"/>
                <v:stroke on="f"/>
                <v:imagedata o:title=""/>
                <o:lock v:ext="edit" aspectratio="f"/>
                <v:textbox>
                  <w:txbxContent>
                    <w:p w14:paraId="3BFC4D9B">
                      <w:pPr>
                        <w:pStyle w:val="17"/>
                        <w:rPr>
                          <w:sz w:val="18"/>
                          <w:szCs w:val="18"/>
                        </w:rPr>
                      </w:pPr>
                      <w:r>
                        <w:rPr>
                          <w:rFonts w:hint="eastAsia"/>
                          <w:sz w:val="18"/>
                          <w:szCs w:val="18"/>
                        </w:rPr>
                        <w:t>验收通过</w:t>
                      </w:r>
                    </w:p>
                  </w:txbxContent>
                </v:textbox>
              </v:shape>
            </w:pict>
          </mc:Fallback>
        </mc:AlternateContent>
      </w:r>
    </w:p>
    <w:p w14:paraId="27B27FF1">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45280" behindDoc="0" locked="0" layoutInCell="1" allowOverlap="1">
                <wp:simplePos x="0" y="0"/>
                <wp:positionH relativeFrom="column">
                  <wp:posOffset>5257800</wp:posOffset>
                </wp:positionH>
                <wp:positionV relativeFrom="paragraph">
                  <wp:posOffset>99060</wp:posOffset>
                </wp:positionV>
                <wp:extent cx="457200" cy="108966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457200" cy="1089660"/>
                        </a:xfrm>
                        <a:prstGeom prst="rect">
                          <a:avLst/>
                        </a:prstGeom>
                        <a:noFill/>
                        <a:ln w="9525">
                          <a:noFill/>
                        </a:ln>
                        <a:effectLst/>
                      </wps:spPr>
                      <wps:txbx>
                        <w:txbxContent>
                          <w:p w14:paraId="644DA4C3">
                            <w:pPr>
                              <w:pStyle w:val="17"/>
                            </w:pPr>
                            <w:r>
                              <w:rPr>
                                <w:rFonts w:hint="eastAsia"/>
                                <w:sz w:val="18"/>
                                <w:szCs w:val="18"/>
                              </w:rPr>
                              <w:t>直至合格满意为止</w:t>
                            </w:r>
                          </w:p>
                        </w:txbxContent>
                      </wps:txbx>
                      <wps:bodyPr vert="eaVert" upright="1"/>
                    </wps:wsp>
                  </a:graphicData>
                </a:graphic>
              </wp:anchor>
            </w:drawing>
          </mc:Choice>
          <mc:Fallback>
            <w:pict>
              <v:shape id="_x0000_s1026" o:spid="_x0000_s1026" o:spt="202" type="#_x0000_t202" style="position:absolute;left:0pt;margin-left:414pt;margin-top:7.8pt;height:85.8pt;width:36pt;z-index:251745280;mso-width-relative:page;mso-height-relative:page;" filled="f" stroked="f" coordsize="21600,21600" o:gfxdata="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Hz86naAAAACgEAAA8AAAAAAAAAAQAgAAAAIgAAAGRycy9kb3du&#10;cmV2LnhtbFBLAQIUABQAAAAIAIdO4kDjMQNjxAEAAHcDAAAOAAAAAAAAAAEAIAAAACkBAABkcnMv&#10;ZTJvRG9jLnhtbFBLBQYAAAAABgAGAFkBAABfBQAAAAA=&#10;">
                <v:fill on="f" focussize="0,0"/>
                <v:stroke on="f"/>
                <v:imagedata o:title=""/>
                <o:lock v:ext="edit" aspectratio="f"/>
                <v:textbox style="layout-flow:vertical-ideographic;">
                  <w:txbxContent>
                    <w:p w14:paraId="644DA4C3">
                      <w:pPr>
                        <w:pStyle w:val="17"/>
                      </w:pPr>
                      <w:r>
                        <w:rPr>
                          <w:rFonts w:hint="eastAsia"/>
                          <w:sz w:val="18"/>
                          <w:szCs w:val="18"/>
                        </w:rPr>
                        <w:t>直至合格满意为止</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5040" behindDoc="0" locked="0" layoutInCell="1" allowOverlap="1">
                <wp:simplePos x="0" y="0"/>
                <wp:positionH relativeFrom="column">
                  <wp:posOffset>5372100</wp:posOffset>
                </wp:positionH>
                <wp:positionV relativeFrom="paragraph">
                  <wp:posOffset>99060</wp:posOffset>
                </wp:positionV>
                <wp:extent cx="635" cy="1089660"/>
                <wp:effectExtent l="37465" t="0" r="38100" b="7620"/>
                <wp:wrapNone/>
                <wp:docPr id="191" name="直接连接符 191"/>
                <wp:cNvGraphicFramePr/>
                <a:graphic xmlns:a="http://schemas.openxmlformats.org/drawingml/2006/main">
                  <a:graphicData uri="http://schemas.microsoft.com/office/word/2010/wordprocessingShape">
                    <wps:wsp>
                      <wps:cNvCnPr/>
                      <wps:spPr>
                        <a:xfrm>
                          <a:off x="0" y="0"/>
                          <a:ext cx="635" cy="1089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423pt;margin-top:7.8pt;height:85.8pt;width:0.05pt;z-index:251735040;mso-width-relative:page;mso-height-relative:page;" filled="f" stroked="t" coordsize="21600,21600" o:gfxdata="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&#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suYY9kAAAAKAQAADwAAAAAAAAABACAAAAAiAAAA&#10;ZHJzL2Rvd25yZXYueG1sUEsBAhQAFAAAAAgAh07iQFg5kFcGAgAA/AMAAA4AAAAAAAAAAQAgAAAA&#10;KAEAAGRycy9lMm9Eb2MueG1sUEsFBgAAAAAGAAYAWQEAAKA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2992" behindDoc="0" locked="0" layoutInCell="1" allowOverlap="1">
                <wp:simplePos x="0" y="0"/>
                <wp:positionH relativeFrom="column">
                  <wp:posOffset>3543300</wp:posOffset>
                </wp:positionH>
                <wp:positionV relativeFrom="paragraph">
                  <wp:posOffset>0</wp:posOffset>
                </wp:positionV>
                <wp:extent cx="571500" cy="0"/>
                <wp:effectExtent l="0" t="38100" r="7620" b="38100"/>
                <wp:wrapNone/>
                <wp:docPr id="192" name="直接连接符 19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0pt;height:0pt;width:45pt;z-index:251732992;mso-width-relative:page;mso-height-relative:page;" filled="f" stroked="t" coordsize="21600,21600" o:gfxdata="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cKYErVAAAABQEAAA8AAAAAAAAAAQAgAAAAIgAAAGRycy9kb3du&#10;cmV2LnhtbFBLAQIUABQAAAAIAIdO4kDW+cmaAgIAAPkDAAAOAAAAAAAAAAEAIAAAACQBAABkcnMv&#10;ZTJvRG9jLnhtbFBLBQYAAAAABgAGAFkBAACY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4016" behindDoc="0" locked="0" layoutInCell="1" allowOverlap="1">
                <wp:simplePos x="0" y="0"/>
                <wp:positionH relativeFrom="column">
                  <wp:posOffset>4686300</wp:posOffset>
                </wp:positionH>
                <wp:positionV relativeFrom="paragraph">
                  <wp:posOffset>0</wp:posOffset>
                </wp:positionV>
                <wp:extent cx="342900" cy="0"/>
                <wp:effectExtent l="0" t="38100" r="7620" b="38100"/>
                <wp:wrapNone/>
                <wp:docPr id="193" name="直接连接符 19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9pt;margin-top:0pt;height:0pt;width:27pt;z-index:251734016;mso-width-relative:page;mso-height-relative:page;" filled="f" stroked="t" coordsize="21600,21600" o:gfxdata="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8ypONcAAAAFAQAADwAAAAAAAAABACAAAAAiAAAAZHJzL2Rv&#10;d25yZXYueG1sUEsBAhQAFAAAAAgAh07iQHeoxoMCAgAA+QMAAA4AAAAAAAAAAQAgAAAAJgEAAGRy&#10;cy9lMm9Eb2MueG1sUEsFBgAAAAAGAAYAWQEAAJo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1968" behindDoc="0" locked="0" layoutInCell="1" allowOverlap="1">
                <wp:simplePos x="0" y="0"/>
                <wp:positionH relativeFrom="column">
                  <wp:posOffset>2057400</wp:posOffset>
                </wp:positionH>
                <wp:positionV relativeFrom="paragraph">
                  <wp:posOffset>0</wp:posOffset>
                </wp:positionV>
                <wp:extent cx="685800" cy="0"/>
                <wp:effectExtent l="0" t="38100" r="0" b="38100"/>
                <wp:wrapNone/>
                <wp:docPr id="194" name="直接连接符 1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62pt;margin-top:0pt;height:0pt;width:54pt;z-index:251731968;mso-width-relative:page;mso-height-relative:page;" filled="f" stroked="t" coordsize="21600,21600" o:gfxdata="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aAueNYAAAAFAQAADwAAAAAAAAABACAAAAAiAAAAZHJzL2Rv&#10;d25yZXYueG1sUEsBAhQAFAAAAAgAh07iQFEGjKsDAgAA+QMAAA4AAAAAAAAAAQAgAAAAJQEAAGRy&#10;cy9lMm9Eb2MueG1sUEsFBgAAAAAGAAYAWQEAAJo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30944" behindDoc="0" locked="0" layoutInCell="1" allowOverlap="1">
                <wp:simplePos x="0" y="0"/>
                <wp:positionH relativeFrom="column">
                  <wp:posOffset>685800</wp:posOffset>
                </wp:positionH>
                <wp:positionV relativeFrom="paragraph">
                  <wp:posOffset>0</wp:posOffset>
                </wp:positionV>
                <wp:extent cx="571500" cy="0"/>
                <wp:effectExtent l="0" t="38100" r="7620" b="38100"/>
                <wp:wrapNone/>
                <wp:docPr id="195" name="直接连接符 195"/>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54pt;margin-top:0pt;height:0pt;width:45pt;z-index:251730944;mso-width-relative:page;mso-height-relative:page;" filled="f" stroked="t" coordsize="21600,21600" o:gfxdata="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H1QM0wAAAAUBAAAPAAAAAAAAAAEAIAAAACIAAABkcnMvZG93bnJl&#10;di54bWxQSwECFAAUAAAACACHTuJArnnVUAICAAD5AwAADgAAAAAAAAABACAAAAAiAQAAZHJzL2Uy&#10;b0RvYy54bWxQSwUGAAAAAAYABgBZAQAAlgUAAAAA&#10;">
                <v:fill on="f" focussize="0,0"/>
                <v:stroke color="#000000" joinstyle="round" endarrow="block"/>
                <v:imagedata o:title=""/>
                <o:lock v:ext="edit" aspectratio="f"/>
              </v:line>
            </w:pict>
          </mc:Fallback>
        </mc:AlternateContent>
      </w:r>
    </w:p>
    <w:p w14:paraId="6B15F551">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44256" behindDoc="0" locked="0" layoutInCell="1" allowOverlap="1">
                <wp:simplePos x="0" y="0"/>
                <wp:positionH relativeFrom="column">
                  <wp:posOffset>4914900</wp:posOffset>
                </wp:positionH>
                <wp:positionV relativeFrom="paragraph">
                  <wp:posOffset>0</wp:posOffset>
                </wp:positionV>
                <wp:extent cx="457200" cy="91059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457200" cy="910590"/>
                        </a:xfrm>
                        <a:prstGeom prst="rect">
                          <a:avLst/>
                        </a:prstGeom>
                        <a:noFill/>
                        <a:ln w="9525">
                          <a:noFill/>
                        </a:ln>
                        <a:effectLst/>
                      </wps:spPr>
                      <wps:txbx>
                        <w:txbxContent>
                          <w:p w14:paraId="76404C02">
                            <w:pPr>
                              <w:pStyle w:val="17"/>
                            </w:pPr>
                            <w:r>
                              <w:rPr>
                                <w:rFonts w:hint="eastAsia"/>
                                <w:sz w:val="18"/>
                                <w:szCs w:val="18"/>
                              </w:rPr>
                              <w:t>验收（调整</w:t>
                            </w:r>
                            <w:r>
                              <w:rPr>
                                <w:rFonts w:hint="eastAsia"/>
                              </w:rPr>
                              <w:t>）</w:t>
                            </w:r>
                          </w:p>
                        </w:txbxContent>
                      </wps:txbx>
                      <wps:bodyPr vert="eaVert" upright="1"/>
                    </wps:wsp>
                  </a:graphicData>
                </a:graphic>
              </wp:anchor>
            </w:drawing>
          </mc:Choice>
          <mc:Fallback>
            <w:pict>
              <v:shape id="_x0000_s1026" o:spid="_x0000_s1026" o:spt="202" type="#_x0000_t202" style="position:absolute;left:0pt;margin-left:387pt;margin-top:0pt;height:71.7pt;width:36pt;z-index:251744256;mso-width-relative:page;mso-height-relative:page;" filled="f" stroked="f" coordsize="21600,21600" o:gfxdata="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Nws0doAAAAIAQAADwAAAAAAAAABACAAAAAiAAAAZHJzL2Rvd25y&#10;ZXYueG1sUEsBAhQAFAAAAAgAh07iQKc61yjDAQAAdgMAAA4AAAAAAAAAAQAgAAAAKQEAAGRycy9l&#10;Mm9Eb2MueG1sUEsFBgAAAAAGAAYAWQEAAF4FAAAAAA==&#10;">
                <v:fill on="f" focussize="0,0"/>
                <v:stroke on="f"/>
                <v:imagedata o:title=""/>
                <o:lock v:ext="edit" aspectratio="f"/>
                <v:textbox style="layout-flow:vertical-ideographic;">
                  <w:txbxContent>
                    <w:p w14:paraId="76404C02">
                      <w:pPr>
                        <w:pStyle w:val="17"/>
                      </w:pPr>
                      <w:r>
                        <w:rPr>
                          <w:rFonts w:hint="eastAsia"/>
                          <w:sz w:val="18"/>
                          <w:szCs w:val="18"/>
                        </w:rPr>
                        <w:t>验收（调整</w:t>
                      </w:r>
                      <w:r>
                        <w:rPr>
                          <w:rFonts w:hint="eastAsia"/>
                        </w:rPr>
                        <w:t>）</w:t>
                      </w:r>
                    </w:p>
                  </w:txbxContent>
                </v:textbox>
              </v:shape>
            </w:pict>
          </mc:Fallback>
        </mc:AlternateContent>
      </w:r>
    </w:p>
    <w:p w14:paraId="777EE7BF">
      <w:pPr>
        <w:tabs>
          <w:tab w:val="left" w:pos="0"/>
        </w:tabs>
        <w:ind w:left="17" w:hanging="16" w:hangingChars="7"/>
        <w:jc w:val="left"/>
        <w:rPr>
          <w:rFonts w:ascii="宋体" w:hAnsi="宋体" w:eastAsia="宋体" w:cs="宋体"/>
          <w:color w:val="auto"/>
          <w:sz w:val="24"/>
          <w:highlight w:val="none"/>
        </w:rPr>
      </w:pPr>
    </w:p>
    <w:p w14:paraId="605528B9">
      <w:pPr>
        <w:tabs>
          <w:tab w:val="left" w:pos="0"/>
        </w:tabs>
        <w:ind w:left="17" w:hanging="16" w:hangingChars="7"/>
        <w:jc w:val="left"/>
        <w:rPr>
          <w:rFonts w:ascii="宋体" w:hAnsi="宋体" w:eastAsia="宋体" w:cs="宋体"/>
          <w:color w:val="auto"/>
          <w:sz w:val="24"/>
          <w:highlight w:val="none"/>
        </w:rPr>
      </w:pPr>
    </w:p>
    <w:p w14:paraId="573BCAA7">
      <w:pPr>
        <w:tabs>
          <w:tab w:val="left" w:pos="0"/>
        </w:tabs>
        <w:ind w:left="17" w:hanging="16" w:hangingChars="7"/>
        <w:jc w:val="left"/>
        <w:rPr>
          <w:rFonts w:ascii="宋体" w:hAnsi="宋体" w:eastAsia="宋体" w:cs="宋体"/>
          <w:color w:val="auto"/>
          <w:sz w:val="24"/>
          <w:highlight w:val="none"/>
        </w:rPr>
      </w:pPr>
    </w:p>
    <w:p w14:paraId="2385CF76">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46304" behindDoc="0" locked="0" layoutInCell="1" allowOverlap="1">
                <wp:simplePos x="0" y="0"/>
                <wp:positionH relativeFrom="column">
                  <wp:posOffset>5029200</wp:posOffset>
                </wp:positionH>
                <wp:positionV relativeFrom="paragraph">
                  <wp:posOffset>198120</wp:posOffset>
                </wp:positionV>
                <wp:extent cx="800100" cy="297180"/>
                <wp:effectExtent l="4445" t="4445" r="18415" b="18415"/>
                <wp:wrapNone/>
                <wp:docPr id="197" name="文本框 19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A0DD79">
                            <w:pPr>
                              <w:jc w:val="center"/>
                            </w:pPr>
                            <w:r>
                              <w:rPr>
                                <w:rFonts w:hint="eastAsia"/>
                              </w:rPr>
                              <w:t>完成</w:t>
                            </w:r>
                          </w:p>
                        </w:txbxContent>
                      </wps:txbx>
                      <wps:bodyPr upright="1"/>
                    </wps:wsp>
                  </a:graphicData>
                </a:graphic>
              </wp:anchor>
            </w:drawing>
          </mc:Choice>
          <mc:Fallback>
            <w:pict>
              <v:shape id="_x0000_s1026" o:spid="_x0000_s1026" o:spt="202" type="#_x0000_t202" style="position:absolute;left:0pt;margin-left:396pt;margin-top:15.6pt;height:23.4pt;width:63pt;z-index:251746304;mso-width-relative:page;mso-height-relative:page;" fillcolor="#FFFFFF" filled="t" stroked="t" coordsize="21600,21600" o:gfxdata="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9QXm2AAAAAkBAAAPAAAAAAAA&#10;AAEAIAAAACIAAABkcnMvZG93bnJldi54bWxQSwECFAAUAAAACACHTuJAmBx7eBICAABHBAAADgAA&#10;AAAAAAABACAAAAAnAQAAZHJzL2Uyb0RvYy54bWxQSwUGAAAAAAYABgBZAQAAqwUAAAAA&#10;">
                <v:fill on="t" focussize="0,0"/>
                <v:stroke color="#000000" joinstyle="miter"/>
                <v:imagedata o:title=""/>
                <o:lock v:ext="edit" aspectratio="f"/>
                <v:textbox>
                  <w:txbxContent>
                    <w:p w14:paraId="6BA0DD79">
                      <w:pPr>
                        <w:jc w:val="center"/>
                      </w:pPr>
                      <w:r>
                        <w:rPr>
                          <w:rFonts w:hint="eastAsia"/>
                        </w:rPr>
                        <w:t>完成</w:t>
                      </w:r>
                    </w:p>
                  </w:txbxContent>
                </v:textbox>
              </v:shape>
            </w:pict>
          </mc:Fallback>
        </mc:AlternateContent>
      </w:r>
    </w:p>
    <w:p w14:paraId="364B497B">
      <w:pPr>
        <w:tabs>
          <w:tab w:val="left" w:pos="0"/>
        </w:tabs>
        <w:ind w:left="17" w:hanging="16" w:hangingChars="7"/>
        <w:jc w:val="left"/>
        <w:rPr>
          <w:rFonts w:ascii="宋体" w:hAnsi="宋体" w:eastAsia="宋体" w:cs="宋体"/>
          <w:color w:val="auto"/>
          <w:sz w:val="24"/>
          <w:highlight w:val="none"/>
        </w:rPr>
        <w:sectPr>
          <w:headerReference r:id="rId3" w:type="default"/>
          <w:footerReference r:id="rId4" w:type="default"/>
          <w:pgSz w:w="11906" w:h="16838"/>
          <w:pgMar w:top="1134" w:right="1576" w:bottom="1134" w:left="1336" w:header="851" w:footer="850" w:gutter="0"/>
          <w:cols w:space="0" w:num="1"/>
          <w:rtlGutter w:val="0"/>
          <w:docGrid w:type="lines" w:linePitch="312" w:charSpace="0"/>
        </w:sectPr>
      </w:pPr>
    </w:p>
    <w:p w14:paraId="019A4D19">
      <w:pPr>
        <w:tabs>
          <w:tab w:val="left" w:pos="0"/>
        </w:tabs>
        <w:ind w:left="17" w:hanging="17" w:hangingChars="7"/>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点景大乔木施工监控程序</w:t>
      </w:r>
    </w:p>
    <w:p w14:paraId="0298ED75">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49376" behindDoc="0" locked="0" layoutInCell="1" allowOverlap="1">
                <wp:simplePos x="0" y="0"/>
                <wp:positionH relativeFrom="column">
                  <wp:posOffset>4457700</wp:posOffset>
                </wp:positionH>
                <wp:positionV relativeFrom="paragraph">
                  <wp:posOffset>297180</wp:posOffset>
                </wp:positionV>
                <wp:extent cx="1143000" cy="1089660"/>
                <wp:effectExtent l="5080" t="4445" r="10160" b="18415"/>
                <wp:wrapNone/>
                <wp:docPr id="199" name="文本框 199"/>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992028">
                            <w:pPr>
                              <w:jc w:val="center"/>
                            </w:pPr>
                          </w:p>
                          <w:p w14:paraId="441C62BF">
                            <w:pPr>
                              <w:jc w:val="center"/>
                            </w:pPr>
                          </w:p>
                          <w:p w14:paraId="4FA29F60">
                            <w:pPr>
                              <w:jc w:val="center"/>
                            </w:pPr>
                            <w:r>
                              <w:rPr>
                                <w:rFonts w:hint="eastAsia"/>
                              </w:rPr>
                              <w:t>包装收枝</w:t>
                            </w:r>
                          </w:p>
                        </w:txbxContent>
                      </wps:txbx>
                      <wps:bodyPr upright="1"/>
                    </wps:wsp>
                  </a:graphicData>
                </a:graphic>
              </wp:anchor>
            </w:drawing>
          </mc:Choice>
          <mc:Fallback>
            <w:pict>
              <v:shape id="_x0000_s1026" o:spid="_x0000_s1026" o:spt="202" type="#_x0000_t202" style="position:absolute;left:0pt;margin-left:351pt;margin-top:23.4pt;height:85.8pt;width:90pt;z-index:251749376;mso-width-relative:page;mso-height-relative:page;" fillcolor="#FFFFFF" filled="t" stroked="t" coordsize="21600,21600" o:gfxdata="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N5z2LZAAAACgEAAA8A&#10;AAAAAAAAAQAgAAAAIgAAAGRycy9kb3ducmV2LnhtbFBLAQIUABQAAAAIAIdO4kByllTOFgIAAEkE&#10;AAAOAAAAAAAAAAEAIAAAACgBAABkcnMvZTJvRG9jLnhtbFBLBQYAAAAABgAGAFkBAACwBQAAAAA=&#10;">
                <v:fill on="t" focussize="0,0"/>
                <v:stroke color="#000000" joinstyle="miter"/>
                <v:imagedata o:title=""/>
                <o:lock v:ext="edit" aspectratio="f"/>
                <v:textbox>
                  <w:txbxContent>
                    <w:p w14:paraId="6E992028">
                      <w:pPr>
                        <w:jc w:val="center"/>
                      </w:pPr>
                    </w:p>
                    <w:p w14:paraId="441C62BF">
                      <w:pPr>
                        <w:jc w:val="center"/>
                      </w:pPr>
                    </w:p>
                    <w:p w14:paraId="4FA29F60">
                      <w:pPr>
                        <w:jc w:val="center"/>
                      </w:pPr>
                      <w:r>
                        <w:rPr>
                          <w:rFonts w:hint="eastAsia"/>
                        </w:rPr>
                        <w:t>包装收枝</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48352" behindDoc="0" locked="0" layoutInCell="1" allowOverlap="1">
                <wp:simplePos x="0" y="0"/>
                <wp:positionH relativeFrom="column">
                  <wp:posOffset>1943100</wp:posOffset>
                </wp:positionH>
                <wp:positionV relativeFrom="paragraph">
                  <wp:posOffset>297180</wp:posOffset>
                </wp:positionV>
                <wp:extent cx="1143000" cy="1089660"/>
                <wp:effectExtent l="5080" t="4445" r="10160" b="18415"/>
                <wp:wrapNone/>
                <wp:docPr id="200" name="文本框 200"/>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9A8BD4">
                            <w:r>
                              <w:rPr>
                                <w:rFonts w:hint="eastAsia"/>
                              </w:rPr>
                              <w:t>起苗（起苗前可用P.V.O水分蒸腾剂喷洒叶面以减少水分蒸发）</w:t>
                            </w:r>
                          </w:p>
                        </w:txbxContent>
                      </wps:txbx>
                      <wps:bodyPr upright="1"/>
                    </wps:wsp>
                  </a:graphicData>
                </a:graphic>
              </wp:anchor>
            </w:drawing>
          </mc:Choice>
          <mc:Fallback>
            <w:pict>
              <v:shape id="_x0000_s1026" o:spid="_x0000_s1026" o:spt="202" type="#_x0000_t202" style="position:absolute;left:0pt;margin-left:153pt;margin-top:23.4pt;height:85.8pt;width:90pt;z-index:251748352;mso-width-relative:page;mso-height-relative:page;" fillcolor="#FFFFFF" filled="t" stroked="t" coordsize="21600,21600" o:gfxdata="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JZGr2AAAAAoBAAAPAAAA&#10;AAAAAAEAIAAAACIAAABkcnMvZG93bnJldi54bWxQSwECFAAUAAAACACHTuJAgBE+rhUCAABJBAAA&#10;DgAAAAAAAAABACAAAAAnAQAAZHJzL2Uyb0RvYy54bWxQSwUGAAAAAAYABgBZAQAArgUAAAAA&#10;">
                <v:fill on="t" focussize="0,0"/>
                <v:stroke color="#000000" joinstyle="miter"/>
                <v:imagedata o:title=""/>
                <o:lock v:ext="edit" aspectratio="f"/>
                <v:textbox>
                  <w:txbxContent>
                    <w:p w14:paraId="419A8BD4">
                      <w:r>
                        <w:rPr>
                          <w:rFonts w:hint="eastAsia"/>
                        </w:rPr>
                        <w:t>起苗（起苗前可用P.V.O水分蒸腾剂喷洒叶面以减少水分蒸发）</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297180</wp:posOffset>
                </wp:positionV>
                <wp:extent cx="1143000" cy="1089660"/>
                <wp:effectExtent l="5080" t="4445" r="10160" b="18415"/>
                <wp:wrapNone/>
                <wp:docPr id="201" name="文本框 201"/>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C24668E"/>
                          <w:p w14:paraId="5413831C"/>
                          <w:p w14:paraId="1CDC5F4D">
                            <w:pPr>
                              <w:jc w:val="center"/>
                            </w:pPr>
                            <w:r>
                              <w:rPr>
                                <w:rFonts w:hint="eastAsia"/>
                              </w:rPr>
                              <w:t>施工单位安排选树</w:t>
                            </w:r>
                          </w:p>
                        </w:txbxContent>
                      </wps:txbx>
                      <wps:bodyPr upright="1"/>
                    </wps:wsp>
                  </a:graphicData>
                </a:graphic>
              </wp:anchor>
            </w:drawing>
          </mc:Choice>
          <mc:Fallback>
            <w:pict>
              <v:shape id="_x0000_s1026" o:spid="_x0000_s1026" o:spt="202" type="#_x0000_t202" style="position:absolute;left:0pt;margin-left:-9pt;margin-top:23.4pt;height:85.8pt;width:90pt;z-index:251747328;mso-width-relative:page;mso-height-relative:page;" fillcolor="#FFFFFF" filled="t" stroked="t" coordsize="21600,21600" o:gfxdata="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kXBlTZAAAACgEAAA8A&#10;AAAAAAAAAQAgAAAAIgAAAGRycy9kb3ducmV2LnhtbFBLAQIUABQAAAAIAIdO4kANDjBJFgIAAEkE&#10;AAAOAAAAAAAAAAEAIAAAACgBAABkcnMvZTJvRG9jLnhtbFBLBQYAAAAABgAGAFkBAACwBQAAAAA=&#10;">
                <v:fill on="t" focussize="0,0"/>
                <v:stroke color="#000000" joinstyle="miter"/>
                <v:imagedata o:title=""/>
                <o:lock v:ext="edit" aspectratio="f"/>
                <v:textbox>
                  <w:txbxContent>
                    <w:p w14:paraId="2C24668E"/>
                    <w:p w14:paraId="5413831C"/>
                    <w:p w14:paraId="1CDC5F4D">
                      <w:pPr>
                        <w:jc w:val="center"/>
                      </w:pPr>
                      <w:r>
                        <w:rPr>
                          <w:rFonts w:hint="eastAsia"/>
                        </w:rPr>
                        <w:t>施工单位安排选树</w:t>
                      </w:r>
                    </w:p>
                  </w:txbxContent>
                </v:textbox>
              </v:shape>
            </w:pict>
          </mc:Fallback>
        </mc:AlternateContent>
      </w:r>
    </w:p>
    <w:p w14:paraId="10BFB0D3">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71904" behindDoc="0" locked="0" layoutInCell="1" allowOverlap="1">
                <wp:simplePos x="0" y="0"/>
                <wp:positionH relativeFrom="column">
                  <wp:posOffset>-150495</wp:posOffset>
                </wp:positionH>
                <wp:positionV relativeFrom="paragraph">
                  <wp:posOffset>3233420</wp:posOffset>
                </wp:positionV>
                <wp:extent cx="914400" cy="805815"/>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914400" cy="805815"/>
                        </a:xfrm>
                        <a:prstGeom prst="rect">
                          <a:avLst/>
                        </a:prstGeom>
                        <a:noFill/>
                        <a:ln w="9525">
                          <a:noFill/>
                        </a:ln>
                        <a:effectLst/>
                      </wps:spPr>
                      <wps:txbx>
                        <w:txbxContent>
                          <w:p w14:paraId="613BB864">
                            <w:r>
                              <w:rPr>
                                <w:rFonts w:hint="eastAsia"/>
                              </w:rPr>
                              <w:t>种植穴内填入约20cm营养土</w:t>
                            </w:r>
                          </w:p>
                        </w:txbxContent>
                      </wps:txbx>
                      <wps:bodyPr vert="eaVert" upright="1"/>
                    </wps:wsp>
                  </a:graphicData>
                </a:graphic>
              </wp:anchor>
            </w:drawing>
          </mc:Choice>
          <mc:Fallback>
            <w:pict>
              <v:shape id="_x0000_s1026" o:spid="_x0000_s1026" o:spt="202" type="#_x0000_t202" style="position:absolute;left:0pt;margin-left:-11.85pt;margin-top:254.6pt;height:63.45pt;width:72pt;z-index:251771904;mso-width-relative:page;mso-height-relative:page;" filled="f" stroked="f" coordsize="21600,21600" o:gfxdata="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5163cAAAACwEAAA8AAAAAAAAAAQAgAAAAIgAAAGRycy9kb3du&#10;cmV2LnhtbFBLAQIUABQAAAAIAIdO4kABRfb6wgEAAHYDAAAOAAAAAAAAAAEAIAAAACsBAABkcnMv&#10;ZTJvRG9jLnhtbFBLBQYAAAAABgAGAFkBAABfBQAAAAA=&#10;">
                <v:fill on="f" focussize="0,0"/>
                <v:stroke on="f"/>
                <v:imagedata o:title=""/>
                <o:lock v:ext="edit" aspectratio="f"/>
                <v:textbox style="layout-flow:vertical-ideographic;">
                  <w:txbxContent>
                    <w:p w14:paraId="613BB864">
                      <w:r>
                        <w:rPr>
                          <w:rFonts w:hint="eastAsia"/>
                        </w:rPr>
                        <w:t>种植穴内填入约20cm营养土</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9856" behindDoc="0" locked="0" layoutInCell="1" allowOverlap="1">
                <wp:simplePos x="0" y="0"/>
                <wp:positionH relativeFrom="column">
                  <wp:posOffset>1028700</wp:posOffset>
                </wp:positionH>
                <wp:positionV relativeFrom="paragraph">
                  <wp:posOffset>4160520</wp:posOffset>
                </wp:positionV>
                <wp:extent cx="914400" cy="4953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9525">
                          <a:noFill/>
                        </a:ln>
                        <a:effectLst/>
                      </wps:spPr>
                      <wps:txbx>
                        <w:txbxContent>
                          <w:p w14:paraId="0537D329">
                            <w:r>
                              <w:rPr>
                                <w:rFonts w:hint="eastAsia"/>
                              </w:rPr>
                              <w:t>之前可疏枝剪叶</w:t>
                            </w:r>
                          </w:p>
                        </w:txbxContent>
                      </wps:txbx>
                      <wps:bodyPr upright="1"/>
                    </wps:wsp>
                  </a:graphicData>
                </a:graphic>
              </wp:anchor>
            </w:drawing>
          </mc:Choice>
          <mc:Fallback>
            <w:pict>
              <v:shape id="_x0000_s1026" o:spid="_x0000_s1026" o:spt="202" type="#_x0000_t202" style="position:absolute;left:0pt;margin-left:81pt;margin-top:327.6pt;height:39pt;width:72pt;z-index:251769856;mso-width-relative:page;mso-height-relative:page;" filled="f" stroked="f" coordsize="21600,21600" o:gfxdata="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f+zZW2AAAAAsBAAAPAAAAAAAAAAEAIAAAACIAAABkcnMvZG93bnJldi54bWxQSwEC&#10;FAAUAAAACACHTuJAt2vfk7sBAABoAwAADgAAAAAAAAABACAAAAAnAQAAZHJzL2Uyb0RvYy54bWxQ&#10;SwUGAAAAAAYABgBZAQAAVAUAAAAA&#10;">
                <v:fill on="f" focussize="0,0"/>
                <v:stroke on="f"/>
                <v:imagedata o:title=""/>
                <o:lock v:ext="edit" aspectratio="f"/>
                <v:textbox>
                  <w:txbxContent>
                    <w:p w14:paraId="0537D329">
                      <w:r>
                        <w:rPr>
                          <w:rFonts w:hint="eastAsia"/>
                        </w:rPr>
                        <w:t>之前可疏枝剪叶</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8832" behindDoc="0" locked="0" layoutInCell="1" allowOverlap="1">
                <wp:simplePos x="0" y="0"/>
                <wp:positionH relativeFrom="column">
                  <wp:posOffset>3086100</wp:posOffset>
                </wp:positionH>
                <wp:positionV relativeFrom="paragraph">
                  <wp:posOffset>2674620</wp:posOffset>
                </wp:positionV>
                <wp:extent cx="1485900" cy="4953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485900" cy="495300"/>
                        </a:xfrm>
                        <a:prstGeom prst="rect">
                          <a:avLst/>
                        </a:prstGeom>
                        <a:noFill/>
                        <a:ln w="9525">
                          <a:noFill/>
                        </a:ln>
                        <a:effectLst/>
                      </wps:spPr>
                      <wps:txbx>
                        <w:txbxContent>
                          <w:p w14:paraId="663149CB">
                            <w:r>
                              <w:rPr>
                                <w:rFonts w:hint="eastAsia"/>
                              </w:rPr>
                              <w:t>包裹紧实避免折断</w:t>
                            </w:r>
                          </w:p>
                        </w:txbxContent>
                      </wps:txbx>
                      <wps:bodyPr upright="1"/>
                    </wps:wsp>
                  </a:graphicData>
                </a:graphic>
              </wp:anchor>
            </w:drawing>
          </mc:Choice>
          <mc:Fallback>
            <w:pict>
              <v:shape id="_x0000_s1026" o:spid="_x0000_s1026" o:spt="202" type="#_x0000_t202" style="position:absolute;left:0pt;margin-left:243pt;margin-top:210.6pt;height:39pt;width:117pt;z-index:251768832;mso-width-relative:page;mso-height-relative:page;" filled="f" stroked="f" coordsize="21600,21600" o:gfxdata="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Riw3dgAAAALAQAADwAAAAAAAAABACAAAAAiAAAAZHJzL2Rvd25yZXYueG1sUEsB&#10;AhQAFAAAAAgAh07iQGe8vUm8AQAAaQMAAA4AAAAAAAAAAQAgAAAAJwEAAGRycy9lMm9Eb2MueG1s&#10;UEsFBgAAAAAGAAYAWQEAAFUFAAAAAA==&#10;">
                <v:fill on="f" focussize="0,0"/>
                <v:stroke on="f"/>
                <v:imagedata o:title=""/>
                <o:lock v:ext="edit" aspectratio="f"/>
                <v:textbox>
                  <w:txbxContent>
                    <w:p w14:paraId="663149CB">
                      <w:r>
                        <w:rPr>
                          <w:rFonts w:hint="eastAsia"/>
                        </w:rPr>
                        <w:t>包裹紧实避免折断</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7808" behindDoc="0" locked="0" layoutInCell="1" allowOverlap="1">
                <wp:simplePos x="0" y="0"/>
                <wp:positionH relativeFrom="column">
                  <wp:posOffset>3086100</wp:posOffset>
                </wp:positionH>
                <wp:positionV relativeFrom="paragraph">
                  <wp:posOffset>2179320</wp:posOffset>
                </wp:positionV>
                <wp:extent cx="1485900" cy="4953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485900" cy="495300"/>
                        </a:xfrm>
                        <a:prstGeom prst="rect">
                          <a:avLst/>
                        </a:prstGeom>
                        <a:noFill/>
                        <a:ln w="9525">
                          <a:noFill/>
                        </a:ln>
                        <a:effectLst/>
                      </wps:spPr>
                      <wps:txbx>
                        <w:txbxContent>
                          <w:p w14:paraId="299F68EA">
                            <w:r>
                              <w:rPr>
                                <w:rFonts w:hint="eastAsia"/>
                              </w:rPr>
                              <w:t>运输时土球在前方树冠在车尾，易断枝需</w:t>
                            </w:r>
                          </w:p>
                        </w:txbxContent>
                      </wps:txbx>
                      <wps:bodyPr upright="1"/>
                    </wps:wsp>
                  </a:graphicData>
                </a:graphic>
              </wp:anchor>
            </w:drawing>
          </mc:Choice>
          <mc:Fallback>
            <w:pict>
              <v:shape id="_x0000_s1026" o:spid="_x0000_s1026" o:spt="202" type="#_x0000_t202" style="position:absolute;left:0pt;margin-left:243pt;margin-top:171.6pt;height:39pt;width:117pt;z-index:251767808;mso-width-relative:page;mso-height-relative:page;" filled="f" stroked="f" coordsize="21600,21600" o:gfxdata="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dJ1Y2AAAAAsBAAAPAAAAAAAAAAEAIAAAACIAAABkcnMvZG93bnJldi54bWxQSwEC&#10;FAAUAAAACACHTuJAi9Vr2bsBAABpAwAADgAAAAAAAAABACAAAAAnAQAAZHJzL2Uyb0RvYy54bWxQ&#10;SwUGAAAAAAYABgBZAQAAVAUAAAAA&#10;">
                <v:fill on="f" focussize="0,0"/>
                <v:stroke on="f"/>
                <v:imagedata o:title=""/>
                <o:lock v:ext="edit" aspectratio="f"/>
                <v:textbox>
                  <w:txbxContent>
                    <w:p w14:paraId="299F68EA">
                      <w:r>
                        <w:rPr>
                          <w:rFonts w:hint="eastAsia"/>
                        </w:rPr>
                        <w:t>运输时土球在前方树冠在车尾，易断枝需</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6784" behindDoc="0" locked="0" layoutInCell="1" allowOverlap="1">
                <wp:simplePos x="0" y="0"/>
                <wp:positionH relativeFrom="column">
                  <wp:posOffset>1028700</wp:posOffset>
                </wp:positionH>
                <wp:positionV relativeFrom="paragraph">
                  <wp:posOffset>99060</wp:posOffset>
                </wp:positionV>
                <wp:extent cx="914400" cy="29718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w="9525">
                          <a:noFill/>
                        </a:ln>
                        <a:effectLst/>
                      </wps:spPr>
                      <wps:txbx>
                        <w:txbxContent>
                          <w:p w14:paraId="7BC65E23">
                            <w:r>
                              <w:rPr>
                                <w:rFonts w:hint="eastAsia"/>
                              </w:rPr>
                              <w:t>打上记号</w:t>
                            </w:r>
                          </w:p>
                        </w:txbxContent>
                      </wps:txbx>
                      <wps:bodyPr upright="1"/>
                    </wps:wsp>
                  </a:graphicData>
                </a:graphic>
              </wp:anchor>
            </w:drawing>
          </mc:Choice>
          <mc:Fallback>
            <w:pict>
              <v:shape id="_x0000_s1026" o:spid="_x0000_s1026" o:spt="202" type="#_x0000_t202" style="position:absolute;left:0pt;margin-left:81pt;margin-top:7.8pt;height:23.4pt;width:72pt;z-index:251766784;mso-width-relative:page;mso-height-relative:page;" filled="f" stroked="f" coordsize="21600,21600" o:gfxdata="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BkrDWAAAACQEAAA8AAAAAAAAAAQAgAAAAIgAAAGRycy9kb3ducmV2LnhtbFBLAQIU&#10;ABQAAAAIAIdO4kBBXWXYvAEAAGgDAAAOAAAAAAAAAAEAIAAAACUBAABkcnMvZTJvRG9jLnhtbFBL&#10;BQYAAAAABgAGAFkBAABTBQAAAAA=&#10;">
                <v:fill on="f" focussize="0,0"/>
                <v:stroke on="f"/>
                <v:imagedata o:title=""/>
                <o:lock v:ext="edit" aspectratio="f"/>
                <v:textbox>
                  <w:txbxContent>
                    <w:p w14:paraId="7BC65E23">
                      <w:r>
                        <w:rPr>
                          <w:rFonts w:hint="eastAsia"/>
                        </w:rPr>
                        <w:t>打上记号</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5760" behindDoc="0" locked="0" layoutInCell="1" allowOverlap="1">
                <wp:simplePos x="0" y="0"/>
                <wp:positionH relativeFrom="column">
                  <wp:posOffset>4800600</wp:posOffset>
                </wp:positionH>
                <wp:positionV relativeFrom="paragraph">
                  <wp:posOffset>5250180</wp:posOffset>
                </wp:positionV>
                <wp:extent cx="635" cy="990600"/>
                <wp:effectExtent l="37465" t="0" r="38100" b="0"/>
                <wp:wrapNone/>
                <wp:docPr id="207" name="直接连接符 207"/>
                <wp:cNvGraphicFramePr/>
                <a:graphic xmlns:a="http://schemas.openxmlformats.org/drawingml/2006/main">
                  <a:graphicData uri="http://schemas.microsoft.com/office/word/2010/wordprocessingShape">
                    <wps:wsp>
                      <wps:cNvCnPr/>
                      <wps:spPr>
                        <a:xfrm>
                          <a:off x="0" y="0"/>
                          <a:ext cx="635" cy="990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78pt;margin-top:413.4pt;height:78pt;width:0.05pt;z-index:251765760;mso-width-relative:page;mso-height-relative:page;" filled="f" stroked="t" coordsize="21600,21600" o:gfxdata="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GC462gAAAAsBAAAPAAAAAAAAAAEAIAAAACIAAABk&#10;cnMvZG93bnJldi54bWxQSwECFAAUAAAACACHTuJAqA+c9gQCAAD7AwAADgAAAAAAAAABACAAAAAp&#10;AQAAZHJzL2Uyb0RvYy54bWxQSwUGAAAAAAYABgBZAQAAnwU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4736" behindDoc="0" locked="0" layoutInCell="1" allowOverlap="1">
                <wp:simplePos x="0" y="0"/>
                <wp:positionH relativeFrom="column">
                  <wp:posOffset>3086100</wp:posOffset>
                </wp:positionH>
                <wp:positionV relativeFrom="paragraph">
                  <wp:posOffset>4655820</wp:posOffset>
                </wp:positionV>
                <wp:extent cx="800100" cy="0"/>
                <wp:effectExtent l="0" t="38100" r="7620" b="38100"/>
                <wp:wrapNone/>
                <wp:docPr id="208" name="直接连接符 208"/>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3pt;margin-top:366.6pt;height:0pt;width:63pt;z-index:251764736;mso-width-relative:page;mso-height-relative:page;" filled="f" stroked="t" coordsize="21600,21600" o:gfxdata="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mAZLfaAAAACwEAAA8AAAAAAAAAAQAgAAAAIgAAAGRycy9k&#10;b3ducmV2LnhtbFBLAQIUABQAAAAIAIdO4kB7FT1SAAIAAPkDAAAOAAAAAAAAAAEAIAAAACkBAABk&#10;cnMvZTJvRG9jLnhtbFBLBQYAAAAABgAGAFkBAACb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3712" behindDoc="0" locked="0" layoutInCell="1" allowOverlap="1">
                <wp:simplePos x="0" y="0"/>
                <wp:positionH relativeFrom="column">
                  <wp:posOffset>1028700</wp:posOffset>
                </wp:positionH>
                <wp:positionV relativeFrom="paragraph">
                  <wp:posOffset>4655820</wp:posOffset>
                </wp:positionV>
                <wp:extent cx="914400" cy="0"/>
                <wp:effectExtent l="0" t="38100" r="0" b="38100"/>
                <wp:wrapNone/>
                <wp:docPr id="209" name="直接连接符 209"/>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pt;margin-top:366.6pt;height:0pt;width:72pt;z-index:251763712;mso-width-relative:page;mso-height-relative:page;" filled="f" stroked="t" coordsize="21600,21600" o:gfxdata="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XydvPZAAAACwEAAA8AAAAAAAAAAQAgAAAAIgAAAGRycy9k&#10;b3ducmV2LnhtbFBLAQIUABQAAAAIAIdO4kBQ8a/bAQIAAPkDAAAOAAAAAAAAAAEAIAAAACgBAABk&#10;cnMvZTJvRG9jLnhtbFBLBQYAAAAABgAGAFkBAACbBQ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2688" behindDoc="0" locked="0" layoutInCell="1" allowOverlap="1">
                <wp:simplePos x="0" y="0"/>
                <wp:positionH relativeFrom="column">
                  <wp:posOffset>457200</wp:posOffset>
                </wp:positionH>
                <wp:positionV relativeFrom="paragraph">
                  <wp:posOffset>3169920</wp:posOffset>
                </wp:positionV>
                <wp:extent cx="635" cy="990600"/>
                <wp:effectExtent l="37465" t="0" r="38100" b="0"/>
                <wp:wrapNone/>
                <wp:docPr id="210" name="直接连接符 210"/>
                <wp:cNvGraphicFramePr/>
                <a:graphic xmlns:a="http://schemas.openxmlformats.org/drawingml/2006/main">
                  <a:graphicData uri="http://schemas.microsoft.com/office/word/2010/wordprocessingShape">
                    <wps:wsp>
                      <wps:cNvCnPr/>
                      <wps:spPr>
                        <a:xfrm>
                          <a:off x="0" y="0"/>
                          <a:ext cx="635" cy="9906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6pt;margin-top:249.6pt;height:78pt;width:0.05pt;z-index:251762688;mso-width-relative:page;mso-height-relative:page;" filled="f" stroked="t" coordsize="21600,21600" o:gfxdata="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&#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YViVtsAAAAJAQAADwAAAAAAAAABACAAAAAiAAAA&#10;ZHJzL2Rvd25yZXYueG1sUEsBAhQAFAAAAAgAh07iQNAnD+0EAgAA+wMAAA4AAAAAAAAAAQAgAAAA&#10;KgEAAGRycy9lMm9Eb2MueG1sUEsFBgAAAAAGAAYAWQEAAKA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1664" behindDoc="0" locked="0" layoutInCell="1" allowOverlap="1">
                <wp:simplePos x="0" y="0"/>
                <wp:positionH relativeFrom="column">
                  <wp:posOffset>1028700</wp:posOffset>
                </wp:positionH>
                <wp:positionV relativeFrom="paragraph">
                  <wp:posOffset>2674620</wp:posOffset>
                </wp:positionV>
                <wp:extent cx="914400" cy="0"/>
                <wp:effectExtent l="0" t="38100" r="0" b="38100"/>
                <wp:wrapNone/>
                <wp:docPr id="211" name="直接连接符 211"/>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81pt;margin-top:210.6pt;height:0pt;width:72pt;z-index:251761664;mso-width-relative:page;mso-height-relative:page;" filled="f" stroked="t" coordsize="21600,21600" o:gfxdata="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zdKL2AAAAAsBAAAPAAAAAAAAAAEAIAAAACIA&#10;AABkcnMvZG93bnJldi54bWxQSwECFAAUAAAACACHTuJAKv3OSQkCAAADBAAADgAAAAAAAAABACAA&#10;AAAnAQAAZHJzL2Uyb0RvYy54bWxQSwUGAAAAAAYABgBZAQAAogU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2674620</wp:posOffset>
                </wp:positionV>
                <wp:extent cx="1371600" cy="0"/>
                <wp:effectExtent l="0" t="38100" r="0" b="38100"/>
                <wp:wrapNone/>
                <wp:docPr id="212" name="直接连接符 212"/>
                <wp:cNvGraphicFramePr/>
                <a:graphic xmlns:a="http://schemas.openxmlformats.org/drawingml/2006/main">
                  <a:graphicData uri="http://schemas.microsoft.com/office/word/2010/wordprocessingShape">
                    <wps:wsp>
                      <wps:cNvCnPr/>
                      <wps:spPr>
                        <a:xfrm flipH="1">
                          <a:off x="0" y="0"/>
                          <a:ext cx="1371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43pt;margin-top:210.6pt;height:0pt;width:108pt;z-index:251760640;mso-width-relative:page;mso-height-relative:page;" filled="f" stroked="t" coordsize="21600,21600" o:gfxdata="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tEf92QAAAAsBAAAPAAAAAAAAAAEAIAAA&#10;ACIAAABkcnMvZG93bnJldi54bWxQSwECFAAUAAAACACHTuJARuD5JwsCAAAEBAAADgAAAAAAAAAB&#10;ACAAAAAoAQAAZHJzL2Uyb0RvYy54bWxQSwUGAAAAAAYABgBZAQAApQU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9616" behindDoc="0" locked="0" layoutInCell="1" allowOverlap="1">
                <wp:simplePos x="0" y="0"/>
                <wp:positionH relativeFrom="column">
                  <wp:posOffset>5029200</wp:posOffset>
                </wp:positionH>
                <wp:positionV relativeFrom="paragraph">
                  <wp:posOffset>990600</wp:posOffset>
                </wp:positionV>
                <wp:extent cx="635" cy="1089660"/>
                <wp:effectExtent l="37465" t="0" r="38100" b="7620"/>
                <wp:wrapNone/>
                <wp:docPr id="213" name="直接连接符 213"/>
                <wp:cNvGraphicFramePr/>
                <a:graphic xmlns:a="http://schemas.openxmlformats.org/drawingml/2006/main">
                  <a:graphicData uri="http://schemas.microsoft.com/office/word/2010/wordprocessingShape">
                    <wps:wsp>
                      <wps:cNvCnPr/>
                      <wps:spPr>
                        <a:xfrm>
                          <a:off x="0" y="0"/>
                          <a:ext cx="635" cy="10896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96pt;margin-top:78pt;height:85.8pt;width:0.05pt;z-index:251759616;mso-width-relative:page;mso-height-relative:page;" filled="f" stroked="t" coordsize="21600,21600" o:gfxdata="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buUyNsAAAALAQAADwAAAAAAAAABACAAAAAi&#10;AAAAZHJzL2Rvd25yZXYueG1sUEsBAhQAFAAAAAgAh07iQNRMKvIHAgAA/AMAAA4AAAAAAAAAAQAg&#10;AAAAKgEAAGRycy9lMm9Eb2MueG1sUEsFBgAAAAAGAAYAWQEAAKM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8592" behindDoc="0" locked="0" layoutInCell="1" allowOverlap="1">
                <wp:simplePos x="0" y="0"/>
                <wp:positionH relativeFrom="column">
                  <wp:posOffset>3086100</wp:posOffset>
                </wp:positionH>
                <wp:positionV relativeFrom="paragraph">
                  <wp:posOffset>396240</wp:posOffset>
                </wp:positionV>
                <wp:extent cx="1371600" cy="0"/>
                <wp:effectExtent l="0" t="38100" r="0" b="38100"/>
                <wp:wrapNone/>
                <wp:docPr id="214" name="直接连接符 214"/>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3pt;margin-top:31.2pt;height:0pt;width:108pt;z-index:251758592;mso-width-relative:page;mso-height-relative:page;" filled="f" stroked="t" coordsize="21600,21600" o:gfxdata="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9S/YNgAAAAJAQAADwAAAAAAAAABACAAAAAiAAAAZHJz&#10;L2Rvd25yZXYueG1sUEsBAhQAFAAAAAgAh07iQBXFAQkEAgAA+gMAAA4AAAAAAAAAAQAgAAAAJwEA&#10;AGRycy9lMm9Eb2MueG1sUEsFBgAAAAAGAAYAWQEAAJ0FA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7568" behindDoc="0" locked="0" layoutInCell="1" allowOverlap="1">
                <wp:simplePos x="0" y="0"/>
                <wp:positionH relativeFrom="column">
                  <wp:posOffset>1028700</wp:posOffset>
                </wp:positionH>
                <wp:positionV relativeFrom="paragraph">
                  <wp:posOffset>396240</wp:posOffset>
                </wp:positionV>
                <wp:extent cx="914400" cy="0"/>
                <wp:effectExtent l="0" t="38100" r="0" b="38100"/>
                <wp:wrapNone/>
                <wp:docPr id="215" name="直接连接符 215"/>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81pt;margin-top:31.2pt;height:0pt;width:72pt;z-index:251757568;mso-width-relative:page;mso-height-relative:page;" filled="f" stroked="t" coordsize="21600,21600" o:gfxdata="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qKbw1wAAAAkBAAAPAAAAAAAAAAEAIAAAACIAAABkcnMvZG93&#10;bnJldi54bWxQSwECFAAUAAAACACHTuJAxdR+XQECAAD5AwAADgAAAAAAAAABACAAAAAmAQAAZHJz&#10;L2Uyb0RvYy54bWxQSwUGAAAAAAYABgBZAQAAmQUAAAAA&#10;">
                <v:fill on="f" focussize="0,0"/>
                <v:stroke color="#000000" joinstyle="round" endarrow="block"/>
                <v:imagedata o:title=""/>
                <o:lock v:ext="edit" aspectratio="f"/>
              </v:lin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6544" behindDoc="0" locked="0" layoutInCell="1" allowOverlap="1">
                <wp:simplePos x="0" y="0"/>
                <wp:positionH relativeFrom="column">
                  <wp:posOffset>3886200</wp:posOffset>
                </wp:positionH>
                <wp:positionV relativeFrom="paragraph">
                  <wp:posOffset>6240780</wp:posOffset>
                </wp:positionV>
                <wp:extent cx="1714500" cy="1089660"/>
                <wp:effectExtent l="5080" t="4445" r="17780" b="18415"/>
                <wp:wrapNone/>
                <wp:docPr id="216" name="文本框 216"/>
                <wp:cNvGraphicFramePr/>
                <a:graphic xmlns:a="http://schemas.openxmlformats.org/drawingml/2006/main">
                  <a:graphicData uri="http://schemas.microsoft.com/office/word/2010/wordprocessingShape">
                    <wps:wsp>
                      <wps:cNvSpPr txBox="1"/>
                      <wps:spPr>
                        <a:xfrm>
                          <a:off x="0" y="0"/>
                          <a:ext cx="1714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307C16">
                            <w:r>
                              <w:rPr>
                                <w:rFonts w:hint="eastAsia"/>
                              </w:rPr>
                              <w:t>移植定栽后立即浇水，培土补实。</w:t>
                            </w:r>
                          </w:p>
                        </w:txbxContent>
                      </wps:txbx>
                      <wps:bodyPr upright="1"/>
                    </wps:wsp>
                  </a:graphicData>
                </a:graphic>
              </wp:anchor>
            </w:drawing>
          </mc:Choice>
          <mc:Fallback>
            <w:pict>
              <v:shape id="_x0000_s1026" o:spid="_x0000_s1026" o:spt="202" type="#_x0000_t202" style="position:absolute;left:0pt;margin-left:306pt;margin-top:491.4pt;height:85.8pt;width:135pt;z-index:251756544;mso-width-relative:page;mso-height-relative:page;" fillcolor="#FFFFFF" filled="t" stroked="t" coordsize="21600,21600" o:gfxdata="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7gIGl2gAAAAwBAAAP&#10;AAAAAAAAAAEAIAAAACIAAABkcnMvZG93bnJldi54bWxQSwECFAAUAAAACACHTuJAXNpMAxYCAABJ&#10;BAAADgAAAAAAAAABACAAAAApAQAAZHJzL2Uyb0RvYy54bWxQSwUGAAAAAAYABgBZAQAAsQUAAAAA&#10;">
                <v:fill on="t" focussize="0,0"/>
                <v:stroke color="#000000" joinstyle="miter"/>
                <v:imagedata o:title=""/>
                <o:lock v:ext="edit" aspectratio="f"/>
                <v:textbox>
                  <w:txbxContent>
                    <w:p w14:paraId="51307C16">
                      <w:r>
                        <w:rPr>
                          <w:rFonts w:hint="eastAsia"/>
                        </w:rPr>
                        <w:t>移植定栽后立即浇水，培土补实。</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5520" behindDoc="0" locked="0" layoutInCell="1" allowOverlap="1">
                <wp:simplePos x="0" y="0"/>
                <wp:positionH relativeFrom="column">
                  <wp:posOffset>3886200</wp:posOffset>
                </wp:positionH>
                <wp:positionV relativeFrom="paragraph">
                  <wp:posOffset>4160520</wp:posOffset>
                </wp:positionV>
                <wp:extent cx="1714500" cy="1089660"/>
                <wp:effectExtent l="5080" t="4445" r="17780" b="18415"/>
                <wp:wrapNone/>
                <wp:docPr id="217" name="文本框 217"/>
                <wp:cNvGraphicFramePr/>
                <a:graphic xmlns:a="http://schemas.openxmlformats.org/drawingml/2006/main">
                  <a:graphicData uri="http://schemas.microsoft.com/office/word/2010/wordprocessingShape">
                    <wps:wsp>
                      <wps:cNvSpPr txBox="1"/>
                      <wps:spPr>
                        <a:xfrm>
                          <a:off x="0" y="0"/>
                          <a:ext cx="1714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7563A1">
                            <w:r>
                              <w:rPr>
                                <w:rFonts w:hint="eastAsia"/>
                              </w:rPr>
                              <w:t>采用“十”字扁担桩与三角支撑相结合，浪风绳用6.5mm钢丝绳锁紧固定在角桩上，三角支撑点在离地3~5m内。（视树高而定）</w:t>
                            </w:r>
                          </w:p>
                        </w:txbxContent>
                      </wps:txbx>
                      <wps:bodyPr upright="1"/>
                    </wps:wsp>
                  </a:graphicData>
                </a:graphic>
              </wp:anchor>
            </w:drawing>
          </mc:Choice>
          <mc:Fallback>
            <w:pict>
              <v:shape id="_x0000_s1026" o:spid="_x0000_s1026" o:spt="202" type="#_x0000_t202" style="position:absolute;left:0pt;margin-left:306pt;margin-top:327.6pt;height:85.8pt;width:135pt;z-index:251755520;mso-width-relative:page;mso-height-relative:page;" fillcolor="#FFFFFF" filled="t" stroked="t" coordsize="21600,21600" o:gfxdata="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kRvU2QAAAAsBAAAP&#10;AAAAAAAAAAEAIAAAACIAAABkcnMvZG93bnJldi54bWxQSwECFAAUAAAACACHTuJA0cVC5BcCAABJ&#10;BAAADgAAAAAAAAABACAAAAAoAQAAZHJzL2Uyb0RvYy54bWxQSwUGAAAAAAYABgBZAQAAsQUAAAAA&#10;">
                <v:fill on="t" focussize="0,0"/>
                <v:stroke color="#000000" joinstyle="miter"/>
                <v:imagedata o:title=""/>
                <o:lock v:ext="edit" aspectratio="f"/>
                <v:textbox>
                  <w:txbxContent>
                    <w:p w14:paraId="757563A1">
                      <w:r>
                        <w:rPr>
                          <w:rFonts w:hint="eastAsia"/>
                        </w:rPr>
                        <w:t>采用“十”字扁担桩与三角支撑相结合，浪风绳用6.5mm钢丝绳锁紧固定在角桩上，三角支撑点在离地3~5m内。（视树高而定）</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4496" behindDoc="0" locked="0" layoutInCell="1" allowOverlap="1">
                <wp:simplePos x="0" y="0"/>
                <wp:positionH relativeFrom="column">
                  <wp:posOffset>1943100</wp:posOffset>
                </wp:positionH>
                <wp:positionV relativeFrom="paragraph">
                  <wp:posOffset>4160520</wp:posOffset>
                </wp:positionV>
                <wp:extent cx="1143000" cy="1089660"/>
                <wp:effectExtent l="5080" t="4445" r="10160" b="18415"/>
                <wp:wrapNone/>
                <wp:docPr id="218" name="文本框 218"/>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CA9C4A">
                            <w:r>
                              <w:rPr>
                                <w:rFonts w:hint="eastAsia"/>
                              </w:rPr>
                              <w:t>迅速回土，捣实（拆除土球包装物）</w:t>
                            </w:r>
                          </w:p>
                        </w:txbxContent>
                      </wps:txbx>
                      <wps:bodyPr upright="1"/>
                    </wps:wsp>
                  </a:graphicData>
                </a:graphic>
              </wp:anchor>
            </w:drawing>
          </mc:Choice>
          <mc:Fallback>
            <w:pict>
              <v:shape id="_x0000_s1026" o:spid="_x0000_s1026" o:spt="202" type="#_x0000_t202" style="position:absolute;left:0pt;margin-left:153pt;margin-top:327.6pt;height:85.8pt;width:90pt;z-index:251754496;mso-width-relative:page;mso-height-relative:page;" fillcolor="#FFFFFF" filled="t" stroked="t" coordsize="21600,21600" o:gfxdata="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SFpT2QAAAAsBAAAP&#10;AAAAAAAAAAEAIAAAACIAAABkcnMvZG93bnJldi54bWxQSwECFAAUAAAACACHTuJAbgVkaBcCAABJ&#10;BAAADgAAAAAAAAABACAAAAAoAQAAZHJzL2Uyb0RvYy54bWxQSwUGAAAAAAYABgBZAQAAsQUAAAAA&#10;">
                <v:fill on="t" focussize="0,0"/>
                <v:stroke color="#000000" joinstyle="miter"/>
                <v:imagedata o:title=""/>
                <o:lock v:ext="edit" aspectratio="f"/>
                <v:textbox>
                  <w:txbxContent>
                    <w:p w14:paraId="79CA9C4A">
                      <w:r>
                        <w:rPr>
                          <w:rFonts w:hint="eastAsia"/>
                        </w:rPr>
                        <w:t>迅速回土，捣实（拆除土球包装物）</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4160520</wp:posOffset>
                </wp:positionV>
                <wp:extent cx="1143000" cy="1089660"/>
                <wp:effectExtent l="5080" t="4445" r="10160" b="18415"/>
                <wp:wrapNone/>
                <wp:docPr id="219" name="文本框 219"/>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25B483">
                            <w:r>
                              <w:rPr>
                                <w:rFonts w:hint="eastAsia"/>
                              </w:rPr>
                              <w:t>吊放苗木树形优美一面转向主要观赏方向</w:t>
                            </w:r>
                          </w:p>
                        </w:txbxContent>
                      </wps:txbx>
                      <wps:bodyPr upright="1"/>
                    </wps:wsp>
                  </a:graphicData>
                </a:graphic>
              </wp:anchor>
            </w:drawing>
          </mc:Choice>
          <mc:Fallback>
            <w:pict>
              <v:shape id="_x0000_s1026" o:spid="_x0000_s1026" o:spt="202" type="#_x0000_t202" style="position:absolute;left:0pt;margin-left:-9pt;margin-top:327.6pt;height:85.8pt;width:90pt;z-index:251753472;mso-width-relative:page;mso-height-relative:page;" fillcolor="#FFFFFF" filled="t" stroked="t" coordsize="21600,21600" o:gfxdata="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zuQNoAAAALAQAA&#10;DwAAAAAAAAABACAAAAAiAAAAZHJzL2Rvd25yZXYueG1sUEsBAhQAFAAAAAgAh07iQOMaao8XAgAA&#10;SQQAAA4AAAAAAAAAAQAgAAAAKQEAAGRycy9lMm9Eb2MueG1sUEsFBgAAAAAGAAYAWQEAALIFAAAA&#10;AA==&#10;">
                <v:fill on="t" focussize="0,0"/>
                <v:stroke color="#000000" joinstyle="miter"/>
                <v:imagedata o:title=""/>
                <o:lock v:ext="edit" aspectratio="f"/>
                <v:textbox>
                  <w:txbxContent>
                    <w:p w14:paraId="1425B483">
                      <w:r>
                        <w:rPr>
                          <w:rFonts w:hint="eastAsia"/>
                        </w:rPr>
                        <w:t>吊放苗木树形优美一面转向主要观赏方向</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2448" behindDoc="0" locked="0" layoutInCell="1" allowOverlap="1">
                <wp:simplePos x="0" y="0"/>
                <wp:positionH relativeFrom="column">
                  <wp:posOffset>4457700</wp:posOffset>
                </wp:positionH>
                <wp:positionV relativeFrom="paragraph">
                  <wp:posOffset>2080260</wp:posOffset>
                </wp:positionV>
                <wp:extent cx="1143000" cy="1089660"/>
                <wp:effectExtent l="5080" t="4445" r="10160" b="18415"/>
                <wp:wrapNone/>
                <wp:docPr id="220" name="文本框 220"/>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65CE13"/>
                          <w:p w14:paraId="75BE0B96"/>
                          <w:p w14:paraId="23887868">
                            <w:pPr>
                              <w:jc w:val="center"/>
                            </w:pPr>
                            <w:r>
                              <w:rPr>
                                <w:rFonts w:hint="eastAsia"/>
                              </w:rPr>
                              <w:t>吊装起运</w:t>
                            </w:r>
                          </w:p>
                        </w:txbxContent>
                      </wps:txbx>
                      <wps:bodyPr upright="1"/>
                    </wps:wsp>
                  </a:graphicData>
                </a:graphic>
              </wp:anchor>
            </w:drawing>
          </mc:Choice>
          <mc:Fallback>
            <w:pict>
              <v:shape id="_x0000_s1026" o:spid="_x0000_s1026" o:spt="202" type="#_x0000_t202" style="position:absolute;left:0pt;margin-left:351pt;margin-top:163.8pt;height:85.8pt;width:90pt;z-index:251752448;mso-width-relative:page;mso-height-relative:page;" fillcolor="#FFFFFF" filled="t" stroked="t" coordsize="21600,21600" o:gfxdata="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JTj/ZAAAACwEAAA8A&#10;AAAAAAAAAQAgAAAAIgAAAGRycy9kb3ducmV2LnhtbFBLAQIUABQAAAAIAIdO4kDF9JJSFgIAAEkE&#10;AAAOAAAAAAAAAAEAIAAAACgBAABkcnMvZTJvRG9jLnhtbFBLBQYAAAAABgAGAFkBAACwBQAAAAA=&#10;">
                <v:fill on="t" focussize="0,0"/>
                <v:stroke color="#000000" joinstyle="miter"/>
                <v:imagedata o:title=""/>
                <o:lock v:ext="edit" aspectratio="f"/>
                <v:textbox>
                  <w:txbxContent>
                    <w:p w14:paraId="4A65CE13"/>
                    <w:p w14:paraId="75BE0B96"/>
                    <w:p w14:paraId="23887868">
                      <w:pPr>
                        <w:jc w:val="center"/>
                      </w:pPr>
                      <w:r>
                        <w:rPr>
                          <w:rFonts w:hint="eastAsia"/>
                        </w:rPr>
                        <w:t>吊装起运</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1424" behindDoc="0" locked="0" layoutInCell="1" allowOverlap="1">
                <wp:simplePos x="0" y="0"/>
                <wp:positionH relativeFrom="column">
                  <wp:posOffset>1943100</wp:posOffset>
                </wp:positionH>
                <wp:positionV relativeFrom="paragraph">
                  <wp:posOffset>2080260</wp:posOffset>
                </wp:positionV>
                <wp:extent cx="1143000" cy="1089660"/>
                <wp:effectExtent l="5080" t="4445" r="10160" b="18415"/>
                <wp:wrapNone/>
                <wp:docPr id="221" name="文本框 221"/>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5FD4DC">
                            <w:r>
                              <w:rPr>
                                <w:rFonts w:hint="eastAsia"/>
                              </w:rPr>
                              <w:t>下车时用型吊车起吊，接触部位须执入木板条严防损伤树皮、损坏土球</w:t>
                            </w:r>
                          </w:p>
                        </w:txbxContent>
                      </wps:txbx>
                      <wps:bodyPr upright="1"/>
                    </wps:wsp>
                  </a:graphicData>
                </a:graphic>
              </wp:anchor>
            </w:drawing>
          </mc:Choice>
          <mc:Fallback>
            <w:pict>
              <v:shape id="_x0000_s1026" o:spid="_x0000_s1026" o:spt="202" type="#_x0000_t202" style="position:absolute;left:0pt;margin-left:153pt;margin-top:163.8pt;height:85.8pt;width:90pt;z-index:251751424;mso-width-relative:page;mso-height-relative:page;" fillcolor="#FFFFFF" filled="t" stroked="t" coordsize="21600,21600" o:gfxdata="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U+YK2QAAAAsBAAAP&#10;AAAAAAAAAAEAIAAAACIAAABkcnMvZG93bnJldi54bWxQSwECFAAUAAAACACHTuJASOuctRcCAABJ&#10;BAAADgAAAAAAAAABACAAAAAoAQAAZHJzL2Uyb0RvYy54bWxQSwUGAAAAAAYABgBZAQAAsQUAAAAA&#10;">
                <v:fill on="t" focussize="0,0"/>
                <v:stroke color="#000000" joinstyle="miter"/>
                <v:imagedata o:title=""/>
                <o:lock v:ext="edit" aspectratio="f"/>
                <v:textbox>
                  <w:txbxContent>
                    <w:p w14:paraId="435FD4DC">
                      <w:r>
                        <w:rPr>
                          <w:rFonts w:hint="eastAsia"/>
                        </w:rPr>
                        <w:t>下车时用型吊车起吊，接触部位须执入木板条严防损伤树皮、损坏土球</w:t>
                      </w:r>
                    </w:p>
                  </w:txbxContent>
                </v:textbox>
              </v:shape>
            </w:pict>
          </mc:Fallback>
        </mc:AlternateContent>
      </w:r>
      <w:r>
        <w:rPr>
          <w:rFonts w:ascii="宋体" w:hAnsi="宋体" w:eastAsia="宋体" w:cs="宋体"/>
          <w:color w:val="auto"/>
          <w:sz w:val="24"/>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2080260</wp:posOffset>
                </wp:positionV>
                <wp:extent cx="1143000" cy="1089660"/>
                <wp:effectExtent l="5080" t="4445" r="10160" b="18415"/>
                <wp:wrapNone/>
                <wp:docPr id="222" name="文本框 222"/>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CF0BCE">
                            <w:r>
                              <w:rPr>
                                <w:rFonts w:hint="eastAsia"/>
                              </w:rPr>
                              <w:t>种植槽穴根据土球大小再次修整确保穴底深度深于土球30cm，宽度大于60cm</w:t>
                            </w:r>
                          </w:p>
                        </w:txbxContent>
                      </wps:txbx>
                      <wps:bodyPr upright="1"/>
                    </wps:wsp>
                  </a:graphicData>
                </a:graphic>
              </wp:anchor>
            </w:drawing>
          </mc:Choice>
          <mc:Fallback>
            <w:pict>
              <v:shape id="_x0000_s1026" o:spid="_x0000_s1026" o:spt="202" type="#_x0000_t202" style="position:absolute;left:0pt;margin-left:-9pt;margin-top:163.8pt;height:85.8pt;width:90pt;z-index:251750400;mso-width-relative:page;mso-height-relative:page;" fillcolor="#FFFFFF" filled="t" stroked="t" coordsize="21600,21600" o:gfxdata="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3UhnbAAAACwEA&#10;AA8AAAAAAAAAAQAgAAAAIgAAAGRycy9kb3ducmV2LnhtbFBLAQIUABQAAAAIAIdO4kCezf9HFwIA&#10;AEkEAAAOAAAAAAAAAAEAIAAAACoBAABkcnMvZTJvRG9jLnhtbFBLBQYAAAAABgAGAFkBAACzBQAA&#10;AAA=&#10;">
                <v:fill on="t" focussize="0,0"/>
                <v:stroke color="#000000" joinstyle="miter"/>
                <v:imagedata o:title=""/>
                <o:lock v:ext="edit" aspectratio="f"/>
                <v:textbox>
                  <w:txbxContent>
                    <w:p w14:paraId="60CF0BCE">
                      <w:r>
                        <w:rPr>
                          <w:rFonts w:hint="eastAsia"/>
                        </w:rPr>
                        <w:t>种植槽穴根据土球大小再次修整确保穴底深度深于土球30cm，宽度大于60cm</w:t>
                      </w:r>
                    </w:p>
                  </w:txbxContent>
                </v:textbox>
              </v:shape>
            </w:pict>
          </mc:Fallback>
        </mc:AlternateContent>
      </w:r>
    </w:p>
    <w:p w14:paraId="41BABC9B">
      <w:pPr>
        <w:tabs>
          <w:tab w:val="left" w:pos="0"/>
        </w:tabs>
        <w:ind w:left="17" w:hanging="16" w:hangingChars="7"/>
        <w:jc w:val="left"/>
        <w:rPr>
          <w:rFonts w:ascii="宋体" w:hAnsi="宋体" w:eastAsia="宋体" w:cs="宋体"/>
          <w:color w:val="auto"/>
          <w:sz w:val="24"/>
          <w:highlight w:val="none"/>
        </w:rPr>
      </w:pPr>
    </w:p>
    <w:p w14:paraId="08C5E272">
      <w:pPr>
        <w:tabs>
          <w:tab w:val="left" w:pos="0"/>
        </w:tabs>
        <w:ind w:left="17" w:hanging="16" w:hangingChars="7"/>
        <w:jc w:val="left"/>
        <w:rPr>
          <w:rFonts w:ascii="宋体" w:hAnsi="宋体" w:eastAsia="宋体" w:cs="宋体"/>
          <w:color w:val="auto"/>
          <w:sz w:val="24"/>
          <w:highlight w:val="none"/>
        </w:rPr>
      </w:pPr>
    </w:p>
    <w:p w14:paraId="279A6265">
      <w:pPr>
        <w:tabs>
          <w:tab w:val="left" w:pos="0"/>
        </w:tabs>
        <w:ind w:left="17" w:hanging="16" w:hangingChars="7"/>
        <w:jc w:val="left"/>
        <w:rPr>
          <w:rFonts w:ascii="宋体" w:hAnsi="宋体" w:eastAsia="宋体" w:cs="宋体"/>
          <w:color w:val="auto"/>
          <w:sz w:val="24"/>
          <w:highlight w:val="none"/>
        </w:rPr>
      </w:pPr>
    </w:p>
    <w:p w14:paraId="71BDA5F2">
      <w:pPr>
        <w:tabs>
          <w:tab w:val="left" w:pos="0"/>
        </w:tabs>
        <w:ind w:left="17" w:hanging="16" w:hangingChars="7"/>
        <w:jc w:val="left"/>
        <w:rPr>
          <w:rFonts w:ascii="宋体" w:hAnsi="宋体" w:eastAsia="宋体" w:cs="宋体"/>
          <w:color w:val="auto"/>
          <w:sz w:val="24"/>
          <w:highlight w:val="none"/>
        </w:rPr>
      </w:pPr>
    </w:p>
    <w:p w14:paraId="1BD87885">
      <w:pPr>
        <w:tabs>
          <w:tab w:val="left" w:pos="0"/>
        </w:tabs>
        <w:ind w:left="17" w:hanging="16" w:hangingChars="7"/>
        <w:jc w:val="left"/>
        <w:rPr>
          <w:rFonts w:ascii="宋体" w:hAnsi="宋体" w:eastAsia="宋体" w:cs="宋体"/>
          <w:color w:val="auto"/>
          <w:sz w:val="24"/>
          <w:highlight w:val="none"/>
        </w:rPr>
      </w:pPr>
    </w:p>
    <w:p w14:paraId="3C775874">
      <w:pPr>
        <w:tabs>
          <w:tab w:val="left" w:pos="0"/>
        </w:tabs>
        <w:ind w:left="17" w:hanging="16" w:hangingChars="7"/>
        <w:jc w:val="left"/>
        <w:rPr>
          <w:rFonts w:ascii="宋体" w:hAnsi="宋体" w:eastAsia="宋体" w:cs="宋体"/>
          <w:color w:val="auto"/>
          <w:sz w:val="24"/>
          <w:highlight w:val="none"/>
        </w:rPr>
      </w:pPr>
    </w:p>
    <w:p w14:paraId="6055F752">
      <w:pPr>
        <w:tabs>
          <w:tab w:val="left" w:pos="0"/>
        </w:tabs>
        <w:ind w:left="17" w:hanging="16" w:hangingChars="7"/>
        <w:jc w:val="left"/>
        <w:rPr>
          <w:rFonts w:ascii="宋体" w:hAnsi="宋体" w:eastAsia="宋体" w:cs="宋体"/>
          <w:color w:val="auto"/>
          <w:sz w:val="24"/>
          <w:highlight w:val="none"/>
        </w:rPr>
      </w:pPr>
    </w:p>
    <w:p w14:paraId="464E6097">
      <w:pPr>
        <w:tabs>
          <w:tab w:val="left" w:pos="0"/>
        </w:tabs>
        <w:ind w:left="17" w:hanging="16" w:hangingChars="7"/>
        <w:jc w:val="left"/>
        <w:rPr>
          <w:rFonts w:ascii="宋体" w:hAnsi="宋体" w:eastAsia="宋体" w:cs="宋体"/>
          <w:color w:val="auto"/>
          <w:sz w:val="24"/>
          <w:highlight w:val="none"/>
        </w:rPr>
      </w:pPr>
    </w:p>
    <w:p w14:paraId="24BBD54C">
      <w:pPr>
        <w:tabs>
          <w:tab w:val="left" w:pos="0"/>
        </w:tabs>
        <w:ind w:left="17" w:hanging="16" w:hangingChars="7"/>
        <w:jc w:val="left"/>
        <w:rPr>
          <w:rFonts w:ascii="宋体" w:hAnsi="宋体" w:eastAsia="宋体" w:cs="宋体"/>
          <w:color w:val="auto"/>
          <w:sz w:val="24"/>
          <w:highlight w:val="none"/>
        </w:rPr>
      </w:pPr>
    </w:p>
    <w:p w14:paraId="229426AD">
      <w:pPr>
        <w:tabs>
          <w:tab w:val="left" w:pos="0"/>
        </w:tabs>
        <w:ind w:left="17" w:hanging="16" w:hangingChars="7"/>
        <w:jc w:val="left"/>
        <w:rPr>
          <w:rFonts w:ascii="宋体" w:hAnsi="宋体" w:eastAsia="宋体" w:cs="宋体"/>
          <w:color w:val="auto"/>
          <w:sz w:val="24"/>
          <w:highlight w:val="none"/>
        </w:rPr>
      </w:pPr>
    </w:p>
    <w:p w14:paraId="6BFFD93C">
      <w:pPr>
        <w:tabs>
          <w:tab w:val="left" w:pos="0"/>
        </w:tabs>
        <w:ind w:left="17" w:hanging="16" w:hangingChars="7"/>
        <w:jc w:val="left"/>
        <w:rPr>
          <w:rFonts w:ascii="宋体" w:hAnsi="宋体" w:eastAsia="宋体" w:cs="宋体"/>
          <w:color w:val="auto"/>
          <w:sz w:val="24"/>
          <w:highlight w:val="none"/>
        </w:rPr>
      </w:pPr>
    </w:p>
    <w:p w14:paraId="7FA7F0B3">
      <w:pPr>
        <w:tabs>
          <w:tab w:val="left" w:pos="0"/>
        </w:tabs>
        <w:ind w:left="17" w:hanging="16" w:hangingChars="7"/>
        <w:jc w:val="left"/>
        <w:rPr>
          <w:rFonts w:ascii="宋体" w:hAnsi="宋体" w:eastAsia="宋体" w:cs="宋体"/>
          <w:color w:val="auto"/>
          <w:sz w:val="24"/>
          <w:highlight w:val="none"/>
        </w:rPr>
      </w:pPr>
    </w:p>
    <w:p w14:paraId="3AE369FB">
      <w:pPr>
        <w:tabs>
          <w:tab w:val="left" w:pos="0"/>
        </w:tabs>
        <w:ind w:left="17" w:hanging="16" w:hangingChars="7"/>
        <w:jc w:val="left"/>
        <w:rPr>
          <w:rFonts w:ascii="宋体" w:hAnsi="宋体" w:eastAsia="宋体" w:cs="宋体"/>
          <w:color w:val="auto"/>
          <w:sz w:val="24"/>
          <w:highlight w:val="none"/>
        </w:rPr>
      </w:pPr>
    </w:p>
    <w:p w14:paraId="56829D87">
      <w:pPr>
        <w:tabs>
          <w:tab w:val="left" w:pos="0"/>
        </w:tabs>
        <w:ind w:left="17" w:hanging="16" w:hangingChars="7"/>
        <w:jc w:val="left"/>
        <w:rPr>
          <w:rFonts w:ascii="宋体" w:hAnsi="宋体" w:eastAsia="宋体" w:cs="宋体"/>
          <w:color w:val="auto"/>
          <w:sz w:val="24"/>
          <w:highlight w:val="none"/>
        </w:rPr>
      </w:pPr>
    </w:p>
    <w:p w14:paraId="56B55CC6">
      <w:pPr>
        <w:tabs>
          <w:tab w:val="left" w:pos="0"/>
        </w:tabs>
        <w:ind w:left="17" w:hanging="16" w:hangingChars="7"/>
        <w:jc w:val="left"/>
        <w:rPr>
          <w:rFonts w:ascii="宋体" w:hAnsi="宋体" w:eastAsia="宋体" w:cs="宋体"/>
          <w:color w:val="auto"/>
          <w:sz w:val="24"/>
          <w:highlight w:val="none"/>
        </w:rPr>
      </w:pPr>
    </w:p>
    <w:p w14:paraId="15DB805A">
      <w:pPr>
        <w:tabs>
          <w:tab w:val="left" w:pos="0"/>
        </w:tabs>
        <w:ind w:left="17" w:hanging="16" w:hangingChars="7"/>
        <w:jc w:val="left"/>
        <w:rPr>
          <w:rFonts w:ascii="宋体" w:hAnsi="宋体" w:eastAsia="宋体" w:cs="宋体"/>
          <w:color w:val="auto"/>
          <w:sz w:val="24"/>
          <w:highlight w:val="none"/>
        </w:rPr>
      </w:pPr>
    </w:p>
    <w:p w14:paraId="3CE27337">
      <w:pPr>
        <w:tabs>
          <w:tab w:val="left" w:pos="0"/>
        </w:tabs>
        <w:ind w:left="17" w:hanging="16" w:hangingChars="7"/>
        <w:jc w:val="left"/>
        <w:rPr>
          <w:rFonts w:ascii="宋体" w:hAnsi="宋体" w:eastAsia="宋体" w:cs="宋体"/>
          <w:color w:val="auto"/>
          <w:sz w:val="24"/>
          <w:highlight w:val="none"/>
        </w:rPr>
      </w:pPr>
    </w:p>
    <w:p w14:paraId="31FD0F83">
      <w:pPr>
        <w:tabs>
          <w:tab w:val="left" w:pos="0"/>
        </w:tabs>
        <w:ind w:left="17" w:hanging="16" w:hangingChars="7"/>
        <w:jc w:val="left"/>
        <w:rPr>
          <w:rFonts w:ascii="宋体" w:hAnsi="宋体" w:eastAsia="宋体" w:cs="宋体"/>
          <w:color w:val="auto"/>
          <w:sz w:val="24"/>
          <w:highlight w:val="none"/>
        </w:rPr>
      </w:pPr>
    </w:p>
    <w:p w14:paraId="23B92FFC">
      <w:pPr>
        <w:tabs>
          <w:tab w:val="left" w:pos="0"/>
        </w:tabs>
        <w:ind w:left="17" w:hanging="16" w:hangingChars="7"/>
        <w:jc w:val="left"/>
        <w:rPr>
          <w:rFonts w:ascii="宋体" w:hAnsi="宋体" w:eastAsia="宋体" w:cs="宋体"/>
          <w:color w:val="auto"/>
          <w:sz w:val="24"/>
          <w:highlight w:val="none"/>
        </w:rPr>
      </w:pPr>
      <w:r>
        <w:rPr>
          <w:rFonts w:ascii="宋体" w:hAnsi="宋体" w:eastAsia="宋体" w:cs="宋体"/>
          <w:color w:val="auto"/>
          <w:sz w:val="24"/>
          <w:highlight w:val="none"/>
        </w:rPr>
        <mc:AlternateContent>
          <mc:Choice Requires="wps">
            <w:drawing>
              <wp:anchor distT="0" distB="0" distL="114300" distR="114300" simplePos="0" relativeHeight="251770880" behindDoc="0" locked="0" layoutInCell="1" allowOverlap="1">
                <wp:simplePos x="0" y="0"/>
                <wp:positionH relativeFrom="column">
                  <wp:posOffset>3016885</wp:posOffset>
                </wp:positionH>
                <wp:positionV relativeFrom="paragraph">
                  <wp:posOffset>129540</wp:posOffset>
                </wp:positionV>
                <wp:extent cx="914400" cy="69342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w="9525">
                          <a:noFill/>
                        </a:ln>
                        <a:effectLst/>
                      </wps:spPr>
                      <wps:txbx>
                        <w:txbxContent>
                          <w:p w14:paraId="3F1F78A9">
                            <w:r>
                              <w:rPr>
                                <w:rFonts w:hint="eastAsia"/>
                              </w:rPr>
                              <w:t>土球土表略高于地表面为宜</w:t>
                            </w:r>
                          </w:p>
                        </w:txbxContent>
                      </wps:txbx>
                      <wps:bodyPr upright="1"/>
                    </wps:wsp>
                  </a:graphicData>
                </a:graphic>
              </wp:anchor>
            </w:drawing>
          </mc:Choice>
          <mc:Fallback>
            <w:pict>
              <v:shape id="_x0000_s1026" o:spid="_x0000_s1026" o:spt="202" type="#_x0000_t202" style="position:absolute;left:0pt;margin-left:237.55pt;margin-top:10.2pt;height:54.6pt;width:72pt;z-index:251770880;mso-width-relative:page;mso-height-relative:page;" filled="f" stroked="f" coordsize="21600,21600" o:gfxdata="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v4Yz7WAAAACgEAAA8AAAAAAAAAAQAgAAAAIgAAAGRycy9kb3ducmV2LnhtbFBLAQIU&#10;ABQAAAAIAIdO4kAtB6aSvAEAAGgDAAAOAAAAAAAAAAEAIAAAACUBAABkcnMvZTJvRG9jLnhtbFBL&#10;BQYAAAAABgAGAFkBAABTBQAAAAA=&#10;">
                <v:fill on="f" focussize="0,0"/>
                <v:stroke on="f"/>
                <v:imagedata o:title=""/>
                <o:lock v:ext="edit" aspectratio="f"/>
                <v:textbox>
                  <w:txbxContent>
                    <w:p w14:paraId="3F1F78A9">
                      <w:r>
                        <w:rPr>
                          <w:rFonts w:hint="eastAsia"/>
                        </w:rPr>
                        <w:t>土球土表略高于地表面为宜</w:t>
                      </w:r>
                    </w:p>
                  </w:txbxContent>
                </v:textbox>
              </v:shape>
            </w:pict>
          </mc:Fallback>
        </mc:AlternateContent>
      </w:r>
    </w:p>
    <w:p w14:paraId="14A0B591">
      <w:pPr>
        <w:tabs>
          <w:tab w:val="left" w:pos="0"/>
        </w:tabs>
        <w:ind w:left="17" w:hanging="16" w:hangingChars="7"/>
        <w:jc w:val="left"/>
        <w:rPr>
          <w:rFonts w:ascii="宋体" w:hAnsi="宋体" w:eastAsia="宋体" w:cs="宋体"/>
          <w:color w:val="auto"/>
          <w:sz w:val="24"/>
          <w:highlight w:val="none"/>
        </w:rPr>
      </w:pPr>
    </w:p>
    <w:p w14:paraId="0ACE02E0">
      <w:pPr>
        <w:tabs>
          <w:tab w:val="left" w:pos="0"/>
        </w:tabs>
        <w:ind w:left="17" w:hanging="16" w:hangingChars="7"/>
        <w:jc w:val="left"/>
        <w:rPr>
          <w:rFonts w:ascii="宋体" w:hAnsi="宋体" w:eastAsia="宋体" w:cs="宋体"/>
          <w:color w:val="auto"/>
          <w:sz w:val="24"/>
          <w:highlight w:val="none"/>
        </w:rPr>
      </w:pPr>
    </w:p>
    <w:p w14:paraId="1F9616AD">
      <w:pPr>
        <w:tabs>
          <w:tab w:val="left" w:pos="0"/>
        </w:tabs>
        <w:ind w:left="17" w:hanging="16" w:hangingChars="7"/>
        <w:jc w:val="left"/>
        <w:rPr>
          <w:rFonts w:ascii="宋体" w:hAnsi="宋体" w:eastAsia="宋体" w:cs="宋体"/>
          <w:color w:val="auto"/>
          <w:sz w:val="24"/>
          <w:highlight w:val="none"/>
        </w:rPr>
      </w:pPr>
    </w:p>
    <w:p w14:paraId="1D5BEFB5">
      <w:pPr>
        <w:tabs>
          <w:tab w:val="left" w:pos="0"/>
        </w:tabs>
        <w:ind w:left="17" w:hanging="16" w:hangingChars="7"/>
        <w:jc w:val="left"/>
        <w:rPr>
          <w:rFonts w:ascii="宋体" w:hAnsi="宋体" w:eastAsia="宋体" w:cs="宋体"/>
          <w:color w:val="auto"/>
          <w:sz w:val="24"/>
          <w:highlight w:val="none"/>
        </w:rPr>
      </w:pPr>
    </w:p>
    <w:p w14:paraId="35D0E0CD">
      <w:pPr>
        <w:tabs>
          <w:tab w:val="left" w:pos="0"/>
        </w:tabs>
        <w:ind w:left="17" w:hanging="16" w:hangingChars="7"/>
        <w:jc w:val="left"/>
        <w:rPr>
          <w:rFonts w:ascii="宋体" w:hAnsi="宋体" w:eastAsia="宋体" w:cs="宋体"/>
          <w:color w:val="auto"/>
          <w:sz w:val="24"/>
          <w:highlight w:val="none"/>
        </w:rPr>
      </w:pPr>
    </w:p>
    <w:p w14:paraId="217C1556">
      <w:pPr>
        <w:tabs>
          <w:tab w:val="left" w:pos="0"/>
        </w:tabs>
        <w:ind w:left="17" w:hanging="16" w:hangingChars="7"/>
        <w:jc w:val="left"/>
        <w:rPr>
          <w:rFonts w:ascii="宋体" w:hAnsi="宋体" w:eastAsia="宋体" w:cs="宋体"/>
          <w:color w:val="auto"/>
          <w:sz w:val="24"/>
          <w:highlight w:val="none"/>
        </w:rPr>
      </w:pPr>
    </w:p>
    <w:p w14:paraId="679DA6A1">
      <w:pPr>
        <w:tabs>
          <w:tab w:val="left" w:pos="0"/>
        </w:tabs>
        <w:ind w:left="17" w:hanging="16" w:hangingChars="7"/>
        <w:jc w:val="left"/>
        <w:rPr>
          <w:rFonts w:ascii="宋体" w:hAnsi="宋体" w:eastAsia="宋体" w:cs="宋体"/>
          <w:color w:val="auto"/>
          <w:sz w:val="24"/>
          <w:highlight w:val="none"/>
        </w:rPr>
      </w:pPr>
    </w:p>
    <w:p w14:paraId="1698AD1D">
      <w:pPr>
        <w:tabs>
          <w:tab w:val="left" w:pos="0"/>
        </w:tabs>
        <w:ind w:left="17" w:hanging="16" w:hangingChars="7"/>
        <w:jc w:val="left"/>
        <w:rPr>
          <w:rFonts w:ascii="宋体" w:hAnsi="宋体" w:eastAsia="宋体" w:cs="宋体"/>
          <w:color w:val="auto"/>
          <w:sz w:val="24"/>
          <w:highlight w:val="none"/>
        </w:rPr>
      </w:pPr>
    </w:p>
    <w:p w14:paraId="03DF1812">
      <w:pPr>
        <w:tabs>
          <w:tab w:val="left" w:pos="0"/>
        </w:tabs>
        <w:ind w:left="17" w:hanging="16" w:hangingChars="7"/>
        <w:jc w:val="left"/>
        <w:rPr>
          <w:rFonts w:ascii="宋体" w:hAnsi="宋体" w:eastAsia="宋体" w:cs="宋体"/>
          <w:color w:val="auto"/>
          <w:sz w:val="24"/>
          <w:highlight w:val="none"/>
        </w:rPr>
      </w:pPr>
    </w:p>
    <w:p w14:paraId="6D9CB4FA">
      <w:pPr>
        <w:tabs>
          <w:tab w:val="left" w:pos="0"/>
        </w:tabs>
        <w:ind w:left="17" w:hanging="16" w:hangingChars="7"/>
        <w:jc w:val="left"/>
        <w:rPr>
          <w:rFonts w:ascii="宋体" w:hAnsi="宋体" w:eastAsia="宋体" w:cs="宋体"/>
          <w:color w:val="auto"/>
          <w:sz w:val="24"/>
          <w:highlight w:val="none"/>
        </w:rPr>
      </w:pPr>
    </w:p>
    <w:p w14:paraId="04923BFB">
      <w:pPr>
        <w:tabs>
          <w:tab w:val="left" w:pos="0"/>
        </w:tabs>
        <w:ind w:left="17" w:hanging="16" w:hangingChars="7"/>
        <w:jc w:val="left"/>
        <w:rPr>
          <w:rFonts w:ascii="宋体" w:hAnsi="宋体" w:eastAsia="宋体" w:cs="宋体"/>
          <w:color w:val="auto"/>
          <w:sz w:val="24"/>
          <w:highlight w:val="none"/>
        </w:rPr>
      </w:pPr>
    </w:p>
    <w:p w14:paraId="6DC55A77">
      <w:pPr>
        <w:tabs>
          <w:tab w:val="left" w:pos="0"/>
        </w:tabs>
        <w:ind w:left="17" w:hanging="16" w:hangingChars="7"/>
        <w:jc w:val="left"/>
        <w:rPr>
          <w:rFonts w:ascii="宋体" w:hAnsi="宋体" w:eastAsia="宋体" w:cs="宋体"/>
          <w:color w:val="auto"/>
          <w:sz w:val="24"/>
          <w:highlight w:val="none"/>
        </w:rPr>
      </w:pPr>
    </w:p>
    <w:p w14:paraId="5AFF1E67">
      <w:pPr>
        <w:tabs>
          <w:tab w:val="left" w:pos="0"/>
        </w:tabs>
        <w:ind w:left="17" w:hanging="16" w:hangingChars="7"/>
        <w:jc w:val="left"/>
        <w:rPr>
          <w:rFonts w:ascii="宋体" w:hAnsi="宋体" w:eastAsia="宋体" w:cs="宋体"/>
          <w:color w:val="auto"/>
          <w:sz w:val="24"/>
          <w:highlight w:val="none"/>
        </w:rPr>
      </w:pPr>
    </w:p>
    <w:p w14:paraId="0F39C8EF">
      <w:pPr>
        <w:tabs>
          <w:tab w:val="left" w:pos="0"/>
        </w:tabs>
        <w:ind w:left="17" w:hanging="16" w:hangingChars="7"/>
        <w:jc w:val="left"/>
        <w:rPr>
          <w:rFonts w:ascii="宋体" w:hAnsi="宋体" w:eastAsia="宋体" w:cs="宋体"/>
          <w:color w:val="auto"/>
          <w:sz w:val="24"/>
          <w:highlight w:val="none"/>
        </w:rPr>
        <w:sectPr>
          <w:footerReference r:id="rId5" w:type="default"/>
          <w:pgSz w:w="11906" w:h="16838"/>
          <w:pgMar w:top="1134" w:right="1800" w:bottom="1134" w:left="1800" w:header="851" w:footer="850" w:gutter="0"/>
          <w:cols w:space="0" w:num="1"/>
          <w:docGrid w:type="lines" w:linePitch="312" w:charSpace="0"/>
        </w:sectPr>
      </w:pPr>
    </w:p>
    <w:p w14:paraId="594593D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1、定点、放线</w:t>
      </w:r>
    </w:p>
    <w:p w14:paraId="510CEFC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 定点放线要以设计提供的标准点或固定建筑物、构筑物等为依据。</w:t>
      </w:r>
    </w:p>
    <w:p w14:paraId="1494632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1.2 定点放线应符合设计图纸要求，位置要准确，标记要明显。定点放线后应由监理及甲方设计人员验点，合格后方可施工。</w:t>
      </w:r>
    </w:p>
    <w:p w14:paraId="6FD2708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1.3 规则式种植，树穴位置必须排列整齐，横平竖直。行道树定点，行位必须准确，大约每50米钉一控制木桩，木桩位置应在株距之间。树位中心可用镐刨坑后放白灰。</w:t>
      </w:r>
    </w:p>
    <w:p w14:paraId="6AADFDF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1.4 孤立树定点时，应用木桩标志在树穴的中心位置上，木桩上写明树种和树穴的规格。</w:t>
      </w:r>
    </w:p>
    <w:p w14:paraId="3DB6104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 绿篱和色带、色块，应在沟槽边线处用白灰线标明。</w:t>
      </w:r>
    </w:p>
    <w:p w14:paraId="07DA08D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1.6 自然式种植，定点放线应按设计意图保持自然，自然式树丛用白灰线标明范围，其位置和形状应符合设计要求。树丛内的树木分布应有疏有密，不得成规则状，三点不得成行，不得成等腰三角形。树丛中应钉一木桩，标明所种的树种、数量、树穴规格。</w:t>
      </w:r>
    </w:p>
    <w:p w14:paraId="0A79C2A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2、挖种植穴、槽的质量标准 </w:t>
      </w:r>
    </w:p>
    <w:p w14:paraId="557E999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2.1 挖种植穴、槽的位置应准确，严格以定点放线的标记为依据。</w:t>
      </w:r>
    </w:p>
    <w:p w14:paraId="1AC0DE3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 穴、槽的规格，应视土质情况和树木根系大小而定。一般规定：树穴直径和深度，应较根系和土球直径加大15-20厘米，深度加10-15厘米。树槽：宽度应在土球外两侧各加10厘米，深度加10-15厘米，如遇土质不好，需进行客土或采取施肥措施的应适当加大穴槽规格。</w:t>
      </w:r>
    </w:p>
    <w:p w14:paraId="671144F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2.3 挖种植穴、槽应垂直下挖，穴槽壁要平滑，上下口径大小要一致，挖出的表土和底土、好土、坏土分别置放。穴、槽壁要平滑，底部应留一土堆或一层活土。挖穴槽应垂直下挖，上下口径大小应一致。</w:t>
      </w:r>
    </w:p>
    <w:p w14:paraId="5A5720F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2.4 在新垫土方地区挖树穴、槽，应将穴、槽底部踏实。在斜坡挖穴、槽应采取鱼鳞坑和水平条的方法。</w:t>
      </w:r>
    </w:p>
    <w:p w14:paraId="7A24CE7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2.5 挖植树穴、槽时遇障碍物，如市政设施、电讯、电缆等应先停止操作，请示有关部门解决。</w:t>
      </w:r>
    </w:p>
    <w:p w14:paraId="6FE63CDD">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3、客土、施肥</w:t>
      </w:r>
    </w:p>
    <w:p w14:paraId="7C6D5FA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3.1 树木生长、发育都离不开土壤，因此土壤好坏影响着树木的成活，具体要求如下：</w:t>
      </w:r>
    </w:p>
    <w:p w14:paraId="751665B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3.1.1 种植树木所必须的最低土层应视树木规格大小而定，一般较树木根系至少加深30-40厘米以上。</w:t>
      </w:r>
    </w:p>
    <w:p w14:paraId="2BB4B7E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3.1.2 种植前对土壤进行勘探，化验理化性质和测定土壤肥力。</w:t>
      </w:r>
    </w:p>
    <w:p w14:paraId="7EC4999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3.1.3 对不宜树木生长的建筑弃土，或含有害成份的土壤，必须进行换土，换上适宜树木生长的种植土。</w:t>
      </w:r>
    </w:p>
    <w:p w14:paraId="7516F7F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3.1.4 如设计规定或有特殊要求还可掺入部分腐殖土，以改良土壤结构和增加肥力，一般可掺入l／5或1／4的腐殖土。</w:t>
      </w:r>
    </w:p>
    <w:p w14:paraId="51B0827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3.2 为供给树木养分，促进发育生长．可采取施肥措施，一般要求如下：</w:t>
      </w:r>
    </w:p>
    <w:p w14:paraId="7F91CF3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3.2.1 施肥所需肥料应是经过充分腐熟的有机肥。</w:t>
      </w:r>
    </w:p>
    <w:p w14:paraId="3858D8B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3.2.2 施肥量应根据树木规格、土壤肥力、有机肥效高低等因素而定。</w:t>
      </w:r>
    </w:p>
    <w:p w14:paraId="549EDAF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3.2.3 施肥的方法：将有机肥搅碎、过筛与细土拌匀，平铺坑底，上面覆1 0厘米种植土。</w:t>
      </w:r>
    </w:p>
    <w:p w14:paraId="1B59D68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4、栽种</w:t>
      </w:r>
    </w:p>
    <w:p w14:paraId="4645C2D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4.1 种植的时间选择，一般应选择在蒸腾量小和有利根系及时恢复的时期，以阴天或小雨天气为佳。</w:t>
      </w:r>
    </w:p>
    <w:p w14:paraId="1FA618C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 种植的质量标准：</w:t>
      </w:r>
    </w:p>
    <w:p w14:paraId="1D1D9AE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4.2.1 种植的苗木品种、规格、位置、树种搭配应严格按设计施工。</w:t>
      </w:r>
    </w:p>
    <w:p w14:paraId="7942776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4.2.2 种植苗木的本身应保持与地面垂直，不得倾斜。</w:t>
      </w:r>
    </w:p>
    <w:p w14:paraId="7BF77311">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4.2.3 种植时注意苗木的丰满一面或主要观赏面应朝主要视线方面。</w:t>
      </w:r>
    </w:p>
    <w:p w14:paraId="7563CE8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4.2.4 种植规则式要横平竖直，树木应在一条直线上，不得相差半树干，遇有树弯时方向应一致，行道树一般顺路与路平行。树木高矮，相邻两株不得相差超过30cm。</w:t>
      </w:r>
    </w:p>
    <w:p w14:paraId="1D0AB15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4.2.5 原土痕栽深5-10cm，常绿树栽时土球应与地面平或略高于地面5cm。</w:t>
      </w:r>
    </w:p>
    <w:p w14:paraId="6ED9569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4.2.6 种植带包装的土球树木时，必须保持土球完好，包装物应取出。</w:t>
      </w:r>
    </w:p>
    <w:p w14:paraId="7F99F48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 种植的程序和方法：</w:t>
      </w:r>
    </w:p>
    <w:p w14:paraId="1060ECAB">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4.3.1 散苗：将苗木按定点的标记放至穴内或穴边，路树应与道路平行散放。散苗后再与设计图核对，无误后方可进行下道工序。</w:t>
      </w:r>
    </w:p>
    <w:p w14:paraId="34D8ADF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4.3.2 还土：核对根系、土球与种植穴的规格是否符合规范的标准。合格后向种植穴内还土至合适的高度并踏实。</w:t>
      </w:r>
    </w:p>
    <w:p w14:paraId="17FCC72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4.3.3 种植：</w:t>
      </w:r>
    </w:p>
    <w:p w14:paraId="25AAC33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1)裸根树木种植时，应将根部舒展、铺平，不得窝根，随后填土至1／2时，将树干向上提动，但不得错位，使根与土壤密接，沿穴壁踏实，再将土填至地平。</w:t>
      </w:r>
    </w:p>
    <w:p w14:paraId="31C9559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种植带土球苗木、树木入穴后，土球放稳，树干直立，随后拆除并取出包装物，如取出包装物确有困难时，应将包装物尽量压至穴的底部，随填土随踏实。种植绿篱时，土球完好的应在人槽前拆除包装物，再置于槽内。</w:t>
      </w:r>
    </w:p>
    <w:p w14:paraId="3EEBD48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4.3.4 开堰：种植后应在树木四周筑成高15-20 cm的灌水土堰，土堰内边应略大于树穴、槽10 cm左右。筑堰应用细土筑实，不得漏水。</w:t>
      </w:r>
    </w:p>
    <w:p w14:paraId="309FE56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4.3.5 立支柱：种植后需要支撑的树木，可采取双支柱法、三支柱法，支撑应牢固，采用光洁经清漆处理直径不小于10厘米的原木制作支柱，支柱立于土堰以外，深埋30 cm以上，将土夯实，支柱的方向一般均迎风。树木绑扎处应垫软物，严禁支柱与树干直接接触，以免磨坏树皮。捆扎采用深色棕绳，应尽量避免采用抓钉、捆钢丝等会损害苗木的捆扎手段。支柱立好后树木必须保持直立。</w:t>
      </w:r>
    </w:p>
    <w:p w14:paraId="7328C36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4.3.6 浇水：新植树木栽后24小时内浇第一遍水，此次水量不宜过大、过急，三日内浇第二遍水，十日内浇上第三遍水，此两次水量要大，应浇透，以后转入后期养护。每次浇水后均应整堰、堵漏、培土、扶直树干，第三遍水后可封堰。</w:t>
      </w:r>
    </w:p>
    <w:p w14:paraId="0DA81AE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4.3.7 非种植季节种植，应采取以下措施：</w:t>
      </w:r>
    </w:p>
    <w:p w14:paraId="50F5B985">
      <w:pPr>
        <w:numPr>
          <w:ilvl w:val="0"/>
          <w:numId w:val="2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苗木应提前采取修枝、断根或用容器假植处理。</w:t>
      </w:r>
    </w:p>
    <w:p w14:paraId="775D49DC">
      <w:pPr>
        <w:numPr>
          <w:ilvl w:val="0"/>
          <w:numId w:val="2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对移植的落叶树必须采取强修剪和摘叶措施。</w:t>
      </w:r>
    </w:p>
    <w:p w14:paraId="371BF14D">
      <w:pPr>
        <w:numPr>
          <w:ilvl w:val="0"/>
          <w:numId w:val="2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选择当日气温较低时或小阴雨天进行移植，一般可在下午五点以后移植。</w:t>
      </w:r>
    </w:p>
    <w:p w14:paraId="3501D0E1">
      <w:pPr>
        <w:numPr>
          <w:ilvl w:val="0"/>
          <w:numId w:val="2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应采取带土球移植。</w:t>
      </w:r>
    </w:p>
    <w:p w14:paraId="50E9172C">
      <w:pPr>
        <w:numPr>
          <w:ilvl w:val="0"/>
          <w:numId w:val="2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各工序必须紧凑，尽量缩短暴露时间，随掘、随运、随栽、随浇水。   </w:t>
      </w:r>
    </w:p>
    <w:p w14:paraId="2CB5D5A6">
      <w:pPr>
        <w:numPr>
          <w:ilvl w:val="0"/>
          <w:numId w:val="23"/>
        </w:numPr>
        <w:tabs>
          <w:tab w:val="left" w:pos="0"/>
          <w:tab w:val="clear" w:pos="1253"/>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夏季移植后可采取搭荫棚、喷雾、降温等措施。  </w:t>
      </w:r>
    </w:p>
    <w:p w14:paraId="479ACF3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 草坪和草花种植注意事项</w:t>
      </w:r>
    </w:p>
    <w:p w14:paraId="1C29C11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4.4.1 草坪种植前，须挖土深度为20-30厘米，捣碎土块，最大土块不能大于2厘米，并用细齿钉耙刨平。</w:t>
      </w:r>
    </w:p>
    <w:p w14:paraId="7B0FBAA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4.4.2 挖土翻地时，须将砖石、瓦块、碎玻璃渣、草根等杂物全部清除。</w:t>
      </w:r>
    </w:p>
    <w:p w14:paraId="342D3B7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4.4.3 整地按设计标高平整地形，整理出排水坡度。大面积草坪的排水坡度一般为千分之三至千分之四，不得有坑洼处。自然地形按自然起伏坡度整地，但是应注意不得有积水处。</w:t>
      </w:r>
    </w:p>
    <w:p w14:paraId="0AD520F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4.4.4 整地完毕后，须250-500千克铁滚碾压1-2次。低洼处用细土填平。</w:t>
      </w:r>
    </w:p>
    <w:p w14:paraId="3FBC921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4.4.5 草花种植前，须挖土整地，捣碎土块，拣净砖石、瓦块、碎玻璃渣、草根等杂物。挖土深度为30-40厘米，并施加适量有机肥做基肥混合翻耕。</w:t>
      </w:r>
    </w:p>
    <w:p w14:paraId="0A9A55F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346A958">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六、养护管理工作细则</w:t>
      </w:r>
    </w:p>
    <w:p w14:paraId="1B1E039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l、 草坪管养：草坪养护的标准是目的草种生长旺盛，草坪整齐雅观，四季常绿，覆盖率达9 8％以上，杂草率低于3％，无黄土裸露地。生长旺盛，叶片健壮，叶色浓绿，生机勃勃，无枯黄叶。根据草坪的生长需要适当浇水和施肥，特别在秋冬季注意结合浇水施肥，使草坪保持良好的长势，度过干旱季节；其它季节根据草坪的生长情况进行施肥。考虑季节特点和草种的生长发育特性，将草坪高度控制在5-6cm，6 cm以上即须安排剪草，并修边，使草坪整齐美观，边线流畅。经常除杂草，使草坪纯度达97％以上。保持草坪平整，对因施工、改造等其它原因遭受破坏的草坪，要及时恢复原状。及时对裸露地进行补种，使草坪覆盖率达98％以上。</w:t>
      </w:r>
    </w:p>
    <w:p w14:paraId="24BA562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 灌木和花卉管养：灌木和花卉养护的标准是生长旺盛，花繁叶茂，造型美观，修剪工艺精细，修剪造型与周围环境相协调。生长旺盛，枝叶健壮，枝多叶茂，无枯枝残叶，植株整齐一致：下部不光秃，常年开花植物一年四季花开不断，花坛轮廓清晰，无残缺，绿篱无断层。一般每年春季重剪1次，以促进侧枝发芽；造型植物的修剪标准是新梢长度不超出20cm(如因造型需要除外)，以后根据花坛生长情况、造型需要和养护标准进行修剪造型，修剪时同时将干枯和谢花枝条剪除。对于尚未郁闭的花坛，应经常松土除杂草，为防止草皮侵入花坛，影响植株生长，在松土同时须进行修边工作，修边方法一般以切边为主，修边宽度8-15cm，线条流畅。2-3月份重剪后，重施有机肥(撒施蘑菇肥或穴施花生麸)，以后根据生长情况结合雨天追施复合肥。晴天施肥后应保证浇足水。及时清理死苗，并补植。补植前要施足基肥，补植后加强养护管理工作，保证成活率达98％以上，以保持优良的景观效果。补植后的苗木的养护期从补植当日起算。</w:t>
      </w:r>
    </w:p>
    <w:p w14:paraId="7372A8E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 乔木管养：乔木管养的标准是生长旺盛，枝叶健壮，树形美观，无死树缺株，无枯枝残叶，景观效果优良。生长旺盛，枝叶健壮，枝条粗壮，叶色浓绿，无枯枝残叶。及时修剪荫枝：下垂枝、干枯枝、交错枝，侧缘线以外及下缘线以下的枝条，下缘线高1.8-2。5m，修剪时尽量减小伤口，剪口要平，不能留有树钉，整型修剪效果要与周围环境协调，以增强园林美化效果。施肥后要与土壤充分混合、回填、踏实、浇足水、找平，切忌肥料裸露。及时清理死树，并补植。补植前施足基肥，补植后加强浇水等保养措施。保证成活率达100％。补植后的乔木的养护期从补植当日起算。</w:t>
      </w:r>
    </w:p>
    <w:p w14:paraId="53E00286">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4、 垂直绿化管养：垂直绿化管养的标准是：攀缘植物生长良好，整齐雅观，生长期覆盖率达95％以上，四季常绿(落叶植物除外)，开花攀缘植物适时开花。生长旺盛，枝叶健壮，叶色浓绿，无枯枝残叶，开花的攀缘植物适时开花。及时修剪表面过厚多余的枝条以及病枝、枯枝，一般4-10月每月修剪2次，其它时间每月修剪1次。1-2月份重施基肥，以后每隔3个月施基肥1次，每个月追肥1次，施肥方法以沟施为主。施肥及补种时加强浇水，浇水时应注意水柱不能直射墙面以免造成攀缘植物脱落，也不能冲养护面以免水土流失。及时对缺株部分进行补植。补植后加强浇水等养护管理措施，保证成活率达98％以上。根据不同植物的攀缘特点，采用贴胶纸、插竹签等牵引措施或设置网架等辅助设施让其迅速、均匀地长满墙面。</w:t>
      </w:r>
    </w:p>
    <w:p w14:paraId="3185D6D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5、 病虫害防治：及时做好病虫害防治工作，以防为主，精心管养!使植物增强抗病虫能力，经常检查，早发现早处理。采用定期防治和即时防治相结合的防治方法，即在每月进行一次全面防治的基础上，对个别新发展的病虫害进行即时防治。采用化学防治时，药物、用量及对环境的影响，要符合环保的要求和标准。发生病虫危害，最严重的危害率不超过8％，单株受害程度不超过8％。</w:t>
      </w:r>
    </w:p>
    <w:p w14:paraId="0049BC4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 死亡苗木补植：在养护期内，因施工、苗木质量和管理不当以及其它非甲方原因造成的苗木死亡或苗木严重受损（注：乔木存活的认定，特别是主枝死亡但植株存活的情况，不认为该植物成活，所有在养护期间树叶非自然全部枯黄或掉光叶的乔木，均视为苗木不合格，必须及时更换至甲方认可）投标人对死亡或严重损毁的苗木必须自行移栽离场，甲方有权选择补植与否。</w:t>
      </w:r>
    </w:p>
    <w:p w14:paraId="00C54158">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6.1 如甲方选择补植，施工</w:t>
      </w:r>
      <w:r>
        <w:rPr>
          <w:rFonts w:hint="eastAsia" w:ascii="宋体" w:hAnsi="宋体" w:eastAsia="宋体" w:cs="宋体"/>
          <w:color w:val="auto"/>
          <w:sz w:val="24"/>
          <w:highlight w:val="none"/>
          <w:lang w:eastAsia="zh-CN"/>
        </w:rPr>
        <w:t>方</w:t>
      </w:r>
      <w:r>
        <w:rPr>
          <w:rFonts w:hint="eastAsia" w:ascii="宋体" w:hAnsi="宋体" w:eastAsia="宋体" w:cs="宋体"/>
          <w:color w:val="auto"/>
          <w:sz w:val="24"/>
          <w:highlight w:val="none"/>
        </w:rPr>
        <w:t>应自费在一个月内负责重新选择同品质规格的苗木(须经甲方认可)进行补植，如工作因施工单位原因未完成，甲方有权进行处罚。</w:t>
      </w:r>
    </w:p>
    <w:p w14:paraId="62B931C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6.2 如甲方选择不再补植，则甲方已支付乙方的该苗木的一切费用将在后期的进度款中扣回，不足部分由乙方补足。</w:t>
      </w:r>
    </w:p>
    <w:p w14:paraId="305ADC51">
      <w:pPr>
        <w:tabs>
          <w:tab w:val="left" w:pos="0"/>
        </w:tabs>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7、 绿地卫生管理</w:t>
      </w:r>
    </w:p>
    <w:p w14:paraId="3D55179F">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7.1 专人负责，苗木养护管理和环境卫生应明确分工。</w:t>
      </w:r>
    </w:p>
    <w:p w14:paraId="4F16F3D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7.2 绿化环境卫生：环境卫生的标准是绿地清洁，无垃圾杂物，无石砾砖块，无干枝枯叶。</w:t>
      </w:r>
    </w:p>
    <w:p w14:paraId="300F6AE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7.3 归堆后的绿化垃圾和垃圾袋等器具摆放在隐蔽的地方。垃圾做到日产日清，不过夜。</w:t>
      </w:r>
    </w:p>
    <w:p w14:paraId="03F5DF7D">
      <w:pPr>
        <w:tabs>
          <w:tab w:val="left" w:pos="0"/>
        </w:tabs>
        <w:spacing w:line="360" w:lineRule="auto"/>
        <w:ind w:left="17" w:hanging="17" w:hangingChars="7"/>
        <w:jc w:val="left"/>
        <w:rPr>
          <w:rFonts w:ascii="宋体" w:hAnsi="宋体" w:eastAsia="宋体" w:cs="宋体"/>
          <w:b/>
          <w:color w:val="auto"/>
          <w:sz w:val="24"/>
          <w:highlight w:val="none"/>
        </w:rPr>
      </w:pPr>
      <w:r>
        <w:rPr>
          <w:rFonts w:hint="eastAsia" w:ascii="宋体" w:hAnsi="宋体" w:eastAsia="宋体" w:cs="宋体"/>
          <w:b/>
          <w:color w:val="auto"/>
          <w:sz w:val="24"/>
          <w:highlight w:val="none"/>
        </w:rPr>
        <w:t>七、技术档案</w:t>
      </w:r>
    </w:p>
    <w:p w14:paraId="2A8DECFA">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1、绿化工程技术档案、施工资料应包括以下内容：</w:t>
      </w:r>
    </w:p>
    <w:p w14:paraId="31059B99">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1.1 有关工程任务的批示、设计文件、图纸、概算等有关资料。</w:t>
      </w:r>
    </w:p>
    <w:p w14:paraId="57618C1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1.2 设计变更、洽商记录等手续。</w:t>
      </w:r>
    </w:p>
    <w:p w14:paraId="4728047B">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1.3 竣工图纸。</w:t>
      </w:r>
    </w:p>
    <w:p w14:paraId="62F7AF9D">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1.4 施工方案和计划、统计资料。</w:t>
      </w:r>
    </w:p>
    <w:p w14:paraId="748525D7">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1.5 工程大事记。</w:t>
      </w:r>
    </w:p>
    <w:p w14:paraId="1BB703AC">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1.6 工程中使用推广新技术、新工艺或创新资料。</w:t>
      </w:r>
    </w:p>
    <w:p w14:paraId="0DCF4598">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1.7 竣工、验收和移交手续及资料。</w:t>
      </w:r>
    </w:p>
    <w:p w14:paraId="7694B6A3">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1.8 工程总结。</w:t>
      </w:r>
    </w:p>
    <w:p w14:paraId="67C0D30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2、苗木情况档案</w:t>
      </w:r>
    </w:p>
    <w:p w14:paraId="0E013DD5">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对工程单位所种植胸径大于10厘米(包括10厘米)或树冠高大于4米(包括4米)和甲方重点指定的乔木必须进行单株档案管理，包括内容如下：</w:t>
      </w:r>
    </w:p>
    <w:p w14:paraId="5B42EF74">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2.1 苗木选购阶段：记录所选定乔木树冠高度、胸径、冠径等性状数据，并至少从两个方向进行拍照制作图片档案。</w:t>
      </w:r>
    </w:p>
    <w:p w14:paraId="4F3D2022">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2.2 工程移栽阶段：记录所移栽乔木树冠高度、胸径、冠径、土球直径等性状数据和起挖、运输、种植等工程情况，并在种植工程完成当日至少从两个方向进行现场拍照存档。</w:t>
      </w:r>
    </w:p>
    <w:p w14:paraId="2E9F4670">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2.3 养护管理阶段：对养护乔木进行编号、制作金属铭牌等工作；每月一次记录所养护乔木树冠高度、胸径、冠径、枯叶量、病虫危害等性状数据；每周至少一次记录浇水、修剪、打药、施肥等养护工作情况；发生严重损伤、病虫害以及需要替换补植苗木时必须拍照登记。</w:t>
      </w:r>
    </w:p>
    <w:p w14:paraId="7398A7CE">
      <w:pPr>
        <w:tabs>
          <w:tab w:val="left" w:pos="0"/>
        </w:tabs>
        <w:spacing w:line="360" w:lineRule="auto"/>
        <w:ind w:left="17" w:hanging="16" w:hangingChars="7"/>
        <w:jc w:val="left"/>
        <w:rPr>
          <w:rFonts w:ascii="宋体" w:hAnsi="宋体" w:eastAsia="宋体" w:cs="宋体"/>
          <w:color w:val="auto"/>
          <w:sz w:val="24"/>
          <w:highlight w:val="none"/>
        </w:rPr>
      </w:pPr>
      <w:r>
        <w:rPr>
          <w:rFonts w:hint="eastAsia" w:ascii="宋体" w:hAnsi="宋体" w:eastAsia="宋体" w:cs="宋体"/>
          <w:color w:val="auto"/>
          <w:sz w:val="24"/>
          <w:highlight w:val="none"/>
        </w:rPr>
        <w:t>3、以上资料装订成册存入档案。</w:t>
      </w:r>
    </w:p>
    <w:p w14:paraId="084CCB29">
      <w:pPr>
        <w:pStyle w:val="17"/>
        <w:ind w:right="410" w:rightChars="171" w:firstLine="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附件三、《</w:t>
      </w:r>
      <w:r>
        <w:rPr>
          <w:rFonts w:hint="eastAsia" w:ascii="宋体" w:hAnsi="宋体" w:cs="宋体"/>
          <w:color w:val="auto"/>
          <w:sz w:val="24"/>
          <w:szCs w:val="24"/>
          <w:highlight w:val="none"/>
          <w:lang w:eastAsia="zh-CN"/>
        </w:rPr>
        <w:t>答疑及回复</w:t>
      </w:r>
      <w:r>
        <w:rPr>
          <w:rFonts w:hint="eastAsia" w:ascii="宋体" w:hAnsi="宋体" w:cs="宋体"/>
          <w:color w:val="auto"/>
          <w:sz w:val="24"/>
          <w:szCs w:val="24"/>
          <w:highlight w:val="none"/>
        </w:rPr>
        <w:t>》</w:t>
      </w:r>
    </w:p>
    <w:p w14:paraId="2FEAB569">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洛宁山水文苑一期大区景观工程</w:t>
      </w:r>
      <w:r>
        <w:rPr>
          <w:rFonts w:hint="eastAsia" w:ascii="宋体" w:hAnsi="宋体" w:eastAsia="宋体" w:cs="宋体"/>
          <w:color w:val="auto"/>
          <w:sz w:val="24"/>
          <w:szCs w:val="24"/>
          <w:highlight w:val="none"/>
          <w:lang w:val="en-US" w:eastAsia="zh-CN"/>
        </w:rPr>
        <w:t>答疑回复</w:t>
      </w:r>
    </w:p>
    <w:p w14:paraId="68A581F2">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一、</w:t>
      </w:r>
      <w:r>
        <w:rPr>
          <w:rFonts w:hint="eastAsia" w:ascii="宋体" w:hAnsi="宋体" w:eastAsia="宋体" w:cs="宋体"/>
          <w:color w:val="auto"/>
          <w:sz w:val="24"/>
          <w:szCs w:val="24"/>
          <w:highlight w:val="none"/>
          <w:lang w:val="en-US" w:eastAsia="zh-CN"/>
        </w:rPr>
        <w:t>地面铺装：总图中18厚浪淘沙仿石材未见其清单，是否漏项？</w:t>
      </w:r>
    </w:p>
    <w:p w14:paraId="05961BE9">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749800" cy="685800"/>
            <wp:effectExtent l="0" t="0" r="5080" b="0"/>
            <wp:docPr id="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
                    <pic:cNvPicPr>
                      <a:picLocks noChangeAspect="1"/>
                    </pic:cNvPicPr>
                  </pic:nvPicPr>
                  <pic:blipFill>
                    <a:blip r:embed="rId11"/>
                    <a:stretch>
                      <a:fillRect/>
                    </a:stretch>
                  </pic:blipFill>
                  <pic:spPr>
                    <a:xfrm>
                      <a:off x="0" y="0"/>
                      <a:ext cx="4749800" cy="685800"/>
                    </a:xfrm>
                    <a:prstGeom prst="rect">
                      <a:avLst/>
                    </a:prstGeom>
                    <a:noFill/>
                    <a:ln>
                      <a:noFill/>
                    </a:ln>
                  </pic:spPr>
                </pic:pic>
              </a:graphicData>
            </a:graphic>
          </wp:inline>
        </w:drawing>
      </w:r>
    </w:p>
    <w:p w14:paraId="61494DA5">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原</w:t>
      </w:r>
      <w:r>
        <w:rPr>
          <w:rFonts w:hint="eastAsia" w:ascii="宋体" w:hAnsi="宋体" w:eastAsia="宋体" w:cs="宋体"/>
          <w:color w:val="FF0000"/>
          <w:sz w:val="24"/>
          <w:szCs w:val="24"/>
          <w:highlight w:val="none"/>
          <w:lang w:val="en-US" w:eastAsia="zh-CN"/>
        </w:rPr>
        <w:t>清单按15mm厚计入，此部分修改增列项</w:t>
      </w:r>
      <w:r>
        <w:rPr>
          <w:rFonts w:hint="eastAsia" w:ascii="宋体" w:hAnsi="宋体" w:eastAsia="宋体" w:cs="宋体"/>
          <w:color w:val="FF0000"/>
          <w:sz w:val="24"/>
          <w:szCs w:val="24"/>
          <w:highlight w:val="none"/>
          <w:lang w:val="en-US" w:eastAsia="zh"/>
        </w:rPr>
        <w:t>6.85m2，扣除原15厚浪淘沙相应量</w:t>
      </w:r>
      <w:r>
        <w:rPr>
          <w:rFonts w:hint="eastAsia" w:ascii="宋体" w:hAnsi="宋体" w:eastAsia="宋体" w:cs="宋体"/>
          <w:color w:val="FF0000"/>
          <w:sz w:val="24"/>
          <w:szCs w:val="24"/>
          <w:highlight w:val="none"/>
          <w:lang w:val="en-US" w:eastAsia="zh-CN"/>
        </w:rPr>
        <w:t>。已调整清单项。</w:t>
      </w:r>
    </w:p>
    <w:p w14:paraId="420237A2">
      <w:pPr>
        <w:pStyle w:val="42"/>
        <w:keepNext w:val="0"/>
        <w:keepLines w:val="0"/>
        <w:widowControl/>
        <w:numPr>
          <w:ilvl w:val="0"/>
          <w:numId w:val="0"/>
        </w:numPr>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二、</w:t>
      </w:r>
      <w:r>
        <w:rPr>
          <w:rFonts w:hint="eastAsia" w:ascii="宋体" w:hAnsi="宋体" w:eastAsia="宋体" w:cs="宋体"/>
          <w:color w:val="auto"/>
          <w:sz w:val="24"/>
          <w:szCs w:val="24"/>
          <w:highlight w:val="none"/>
          <w:lang w:val="en-US" w:eastAsia="zh-CN"/>
        </w:rPr>
        <w:t>地面铺装：</w:t>
      </w:r>
      <w:r>
        <w:rPr>
          <w:rFonts w:hint="eastAsia" w:ascii="宋体" w:hAnsi="宋体" w:eastAsia="宋体" w:cs="宋体"/>
          <w:color w:val="auto"/>
          <w:sz w:val="24"/>
          <w:szCs w:val="24"/>
          <w:highlight w:val="none"/>
        </w:rPr>
        <w:drawing>
          <wp:inline distT="0" distB="0" distL="114300" distR="114300">
            <wp:extent cx="5271135" cy="436880"/>
            <wp:effectExtent l="0" t="0" r="1905" b="5080"/>
            <wp:docPr id="4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2"/>
                    <pic:cNvPicPr>
                      <a:picLocks noChangeAspect="1"/>
                    </pic:cNvPicPr>
                  </pic:nvPicPr>
                  <pic:blipFill>
                    <a:blip r:embed="rId12"/>
                    <a:stretch>
                      <a:fillRect/>
                    </a:stretch>
                  </pic:blipFill>
                  <pic:spPr>
                    <a:xfrm>
                      <a:off x="0" y="0"/>
                      <a:ext cx="5271135" cy="436880"/>
                    </a:xfrm>
                    <a:prstGeom prst="rect">
                      <a:avLst/>
                    </a:prstGeom>
                    <a:noFill/>
                    <a:ln>
                      <a:noFill/>
                    </a:ln>
                  </pic:spPr>
                </pic:pic>
              </a:graphicData>
            </a:graphic>
          </wp:inline>
        </w:drawing>
      </w:r>
      <w:r>
        <w:rPr>
          <w:rFonts w:hint="eastAsia" w:ascii="宋体" w:hAnsi="宋体" w:eastAsia="宋体" w:cs="宋体"/>
          <w:color w:val="auto"/>
          <w:sz w:val="24"/>
          <w:szCs w:val="24"/>
          <w:highlight w:val="none"/>
          <w:lang w:val="en-US" w:eastAsia="zh-CN"/>
        </w:rPr>
        <w:t>总图中50宽3厚咖色不锈钢拉丝面未见其清单，是否漏项？</w:t>
      </w:r>
    </w:p>
    <w:p w14:paraId="3C3C1D7D">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答复：此部分增列项</w:t>
      </w:r>
      <w:r>
        <w:rPr>
          <w:rFonts w:hint="eastAsia" w:ascii="宋体" w:hAnsi="宋体" w:eastAsia="宋体" w:cs="宋体"/>
          <w:color w:val="FF0000"/>
          <w:sz w:val="24"/>
          <w:szCs w:val="24"/>
          <w:highlight w:val="none"/>
          <w:lang w:val="en-US" w:eastAsia="zh"/>
        </w:rPr>
        <w:t>2.09m2</w:t>
      </w:r>
      <w:r>
        <w:rPr>
          <w:rFonts w:hint="eastAsia" w:ascii="宋体" w:hAnsi="宋体" w:eastAsia="宋体" w:cs="宋体"/>
          <w:color w:val="FF0000"/>
          <w:sz w:val="24"/>
          <w:szCs w:val="24"/>
          <w:highlight w:val="none"/>
          <w:lang w:val="en-US" w:eastAsia="zh-CN"/>
        </w:rPr>
        <w:t>，已调整清单项。</w:t>
      </w:r>
    </w:p>
    <w:p w14:paraId="34DFBE5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三：地面铺装中的50厚芝麻黑烧面花岗岩，未见其位置，是否与台阶清单中50厚芝麻黑烧面花岗岩重复？如果不重复请指明其位置。</w:t>
      </w:r>
    </w:p>
    <w:p w14:paraId="72F4D48C">
      <w:pPr>
        <w:numPr>
          <w:ilvl w:val="0"/>
          <w:numId w:val="0"/>
        </w:numPr>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FF0000"/>
          <w:sz w:val="24"/>
          <w:szCs w:val="24"/>
          <w:highlight w:val="none"/>
          <w:lang w:val="en-US" w:eastAsia="zh-CN"/>
        </w:rPr>
        <w:t>答复：不重复，见下图红色箭头所指部分。</w:t>
      </w:r>
      <w:r>
        <w:rPr>
          <w:rFonts w:hint="eastAsia" w:ascii="宋体" w:hAnsi="宋体" w:eastAsia="宋体" w:cs="宋体"/>
          <w:color w:val="auto"/>
          <w:sz w:val="24"/>
          <w:szCs w:val="24"/>
          <w:highlight w:val="none"/>
        </w:rPr>
        <w:drawing>
          <wp:inline distT="0" distB="0" distL="114300" distR="114300">
            <wp:extent cx="5270500" cy="1749425"/>
            <wp:effectExtent l="0" t="0" r="2540" b="3175"/>
            <wp:docPr id="4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
                    <pic:cNvPicPr>
                      <a:picLocks noChangeAspect="1"/>
                    </pic:cNvPicPr>
                  </pic:nvPicPr>
                  <pic:blipFill>
                    <a:blip r:embed="rId13"/>
                    <a:stretch>
                      <a:fillRect/>
                    </a:stretch>
                  </pic:blipFill>
                  <pic:spPr>
                    <a:xfrm>
                      <a:off x="0" y="0"/>
                      <a:ext cx="5270500" cy="174942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2962275" cy="3019425"/>
            <wp:effectExtent l="0" t="0" r="9525" b="13335"/>
            <wp:docPr id="4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
                    <pic:cNvPicPr>
                      <a:picLocks noChangeAspect="1"/>
                    </pic:cNvPicPr>
                  </pic:nvPicPr>
                  <pic:blipFill>
                    <a:blip r:embed="rId14"/>
                    <a:stretch>
                      <a:fillRect/>
                    </a:stretch>
                  </pic:blipFill>
                  <pic:spPr>
                    <a:xfrm>
                      <a:off x="0" y="0"/>
                      <a:ext cx="2962275" cy="3019425"/>
                    </a:xfrm>
                    <a:prstGeom prst="rect">
                      <a:avLst/>
                    </a:prstGeom>
                    <a:noFill/>
                    <a:ln>
                      <a:noFill/>
                    </a:ln>
                  </pic:spPr>
                </pic:pic>
              </a:graphicData>
            </a:graphic>
          </wp:inline>
        </w:drawing>
      </w:r>
    </w:p>
    <w:p w14:paraId="4F83280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四、</w:t>
      </w:r>
      <w:r>
        <w:rPr>
          <w:rFonts w:hint="eastAsia" w:ascii="宋体" w:hAnsi="宋体" w:eastAsia="宋体" w:cs="宋体"/>
          <w:color w:val="auto"/>
          <w:sz w:val="24"/>
          <w:szCs w:val="24"/>
          <w:highlight w:val="none"/>
          <w:lang w:val="en-US" w:eastAsia="zh-CN"/>
        </w:rPr>
        <w:t>彩色沥青混凝土：基础通用做法中，车行区域的600*200*100厚烧面福鼎黑花岗岩道牙收边，未见其清单，是否漏项？</w:t>
      </w:r>
    </w:p>
    <w:p w14:paraId="403C8F41">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3620770" cy="2120265"/>
            <wp:effectExtent l="0" t="0" r="6350" b="13335"/>
            <wp:docPr id="4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5"/>
                    <pic:cNvPicPr>
                      <a:picLocks noChangeAspect="1"/>
                    </pic:cNvPicPr>
                  </pic:nvPicPr>
                  <pic:blipFill>
                    <a:blip r:embed="rId15"/>
                    <a:stretch>
                      <a:fillRect/>
                    </a:stretch>
                  </pic:blipFill>
                  <pic:spPr>
                    <a:xfrm>
                      <a:off x="0" y="0"/>
                      <a:ext cx="3620770" cy="2120265"/>
                    </a:xfrm>
                    <a:prstGeom prst="rect">
                      <a:avLst/>
                    </a:prstGeom>
                    <a:noFill/>
                    <a:ln>
                      <a:noFill/>
                    </a:ln>
                  </pic:spPr>
                </pic:pic>
              </a:graphicData>
            </a:graphic>
          </wp:inline>
        </w:drawing>
      </w:r>
    </w:p>
    <w:p w14:paraId="035A13B2">
      <w:pPr>
        <w:numPr>
          <w:ilvl w:val="0"/>
          <w:numId w:val="0"/>
        </w:numPr>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详见第二十五条回复</w:t>
      </w:r>
    </w:p>
    <w:p w14:paraId="363D72DF">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5269865" cy="2069465"/>
            <wp:effectExtent l="0" t="0" r="3175" b="3175"/>
            <wp:docPr id="4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6"/>
                    <pic:cNvPicPr>
                      <a:picLocks noChangeAspect="1"/>
                    </pic:cNvPicPr>
                  </pic:nvPicPr>
                  <pic:blipFill>
                    <a:blip r:embed="rId16"/>
                    <a:stretch>
                      <a:fillRect/>
                    </a:stretch>
                  </pic:blipFill>
                  <pic:spPr>
                    <a:xfrm>
                      <a:off x="0" y="0"/>
                      <a:ext cx="5269865" cy="2069465"/>
                    </a:xfrm>
                    <a:prstGeom prst="rect">
                      <a:avLst/>
                    </a:prstGeom>
                    <a:noFill/>
                    <a:ln>
                      <a:noFill/>
                    </a:ln>
                  </pic:spPr>
                </pic:pic>
              </a:graphicData>
            </a:graphic>
          </wp:inline>
        </w:drawing>
      </w:r>
    </w:p>
    <w:p w14:paraId="7E9385F1">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五、13厚EPDM已可满足使用，15厚EPDM是否可修改成13厚？</w:t>
      </w:r>
    </w:p>
    <w:p w14:paraId="4FDBBE51">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答复：面层修改为5厚1~2mm粒径各色EPDM塑胶地垫，颜色可换，综合考虑；底层修改为8厚2~4mm粒径再生胶整体浇底层。清单已随之调整。</w:t>
      </w:r>
    </w:p>
    <w:p w14:paraId="20B76C71">
      <w:pPr>
        <w:pStyle w:val="42"/>
        <w:keepNext w:val="0"/>
        <w:keepLines w:val="0"/>
        <w:widowControl/>
        <w:suppressLineNumbers w:val="0"/>
        <w:spacing w:before="0" w:beforeAutospacing="0" w:after="0" w:afterAutospacing="0"/>
        <w:ind w:left="0" w:right="0" w:firstLine="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六、</w:t>
      </w:r>
      <w:r>
        <w:rPr>
          <w:rFonts w:hint="eastAsia" w:ascii="宋体" w:hAnsi="宋体" w:eastAsia="宋体" w:cs="宋体"/>
          <w:color w:val="auto"/>
          <w:sz w:val="24"/>
          <w:szCs w:val="24"/>
          <w:highlight w:val="none"/>
          <w:lang w:val="en-US" w:eastAsia="zh-CN"/>
        </w:rPr>
        <w:t>入口处景墙区域：索引为景墙一，清单描述中做法为景墙二，且看入口景墙效果图中，面层做法为景墙一做法，如果做法如截图2所示，未见80x30x2厚不锈钢矩管、2厚304#不锈钢拉丝面不锈钢、4厚云石板清单，请明确为哪种做法？</w:t>
      </w:r>
    </w:p>
    <w:p w14:paraId="45015556">
      <w:pPr>
        <w:pStyle w:val="42"/>
        <w:keepNext w:val="0"/>
        <w:keepLines w:val="0"/>
        <w:widowControl/>
        <w:numPr>
          <w:ilvl w:val="0"/>
          <w:numId w:val="0"/>
        </w:numPr>
        <w:suppressLineNumbers w:val="0"/>
        <w:spacing w:before="0" w:beforeAutospacing="0" w:after="0" w:afterAutospacing="0"/>
        <w:ind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3348355" cy="1504950"/>
            <wp:effectExtent l="0" t="0" r="4445" b="3810"/>
            <wp:docPr id="4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7"/>
                    <pic:cNvPicPr>
                      <a:picLocks noChangeAspect="1"/>
                    </pic:cNvPicPr>
                  </pic:nvPicPr>
                  <pic:blipFill>
                    <a:blip r:embed="rId17"/>
                    <a:stretch>
                      <a:fillRect/>
                    </a:stretch>
                  </pic:blipFill>
                  <pic:spPr>
                    <a:xfrm>
                      <a:off x="0" y="0"/>
                      <a:ext cx="3348355" cy="1504950"/>
                    </a:xfrm>
                    <a:prstGeom prst="rect">
                      <a:avLst/>
                    </a:prstGeom>
                    <a:noFill/>
                    <a:ln>
                      <a:noFill/>
                    </a:ln>
                  </pic:spPr>
                </pic:pic>
              </a:graphicData>
            </a:graphic>
          </wp:inline>
        </w:drawing>
      </w:r>
    </w:p>
    <w:p w14:paraId="216B4624">
      <w:pPr>
        <w:pStyle w:val="42"/>
        <w:keepNext w:val="0"/>
        <w:keepLines w:val="0"/>
        <w:widowControl/>
        <w:numPr>
          <w:ilvl w:val="0"/>
          <w:numId w:val="0"/>
        </w:numPr>
        <w:suppressLineNumbers w:val="0"/>
        <w:spacing w:before="0" w:beforeAutospacing="0" w:after="0" w:afterAutospacing="0"/>
        <w:ind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262880" cy="1812925"/>
            <wp:effectExtent l="0" t="0" r="10160" b="635"/>
            <wp:docPr id="4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8"/>
                    <pic:cNvPicPr>
                      <a:picLocks noChangeAspect="1"/>
                    </pic:cNvPicPr>
                  </pic:nvPicPr>
                  <pic:blipFill>
                    <a:blip r:embed="rId18"/>
                    <a:stretch>
                      <a:fillRect/>
                    </a:stretch>
                  </pic:blipFill>
                  <pic:spPr>
                    <a:xfrm>
                      <a:off x="0" y="0"/>
                      <a:ext cx="5262880" cy="1812925"/>
                    </a:xfrm>
                    <a:prstGeom prst="rect">
                      <a:avLst/>
                    </a:prstGeom>
                    <a:noFill/>
                    <a:ln>
                      <a:noFill/>
                    </a:ln>
                  </pic:spPr>
                </pic:pic>
              </a:graphicData>
            </a:graphic>
          </wp:inline>
        </w:drawing>
      </w:r>
    </w:p>
    <w:p w14:paraId="3C27A7C2">
      <w:pPr>
        <w:numPr>
          <w:ilvl w:val="0"/>
          <w:numId w:val="0"/>
        </w:numPr>
        <w:rPr>
          <w:rFonts w:hint="eastAsia" w:ascii="宋体" w:hAnsi="宋体" w:eastAsia="宋体" w:cs="宋体"/>
          <w:color w:val="FF0000"/>
          <w:sz w:val="24"/>
          <w:szCs w:val="24"/>
          <w:highlight w:val="none"/>
        </w:rPr>
      </w:pPr>
      <w:r>
        <w:rPr>
          <w:rFonts w:hint="eastAsia" w:ascii="宋体" w:hAnsi="宋体" w:eastAsia="宋体" w:cs="宋体"/>
          <w:color w:val="FF0000"/>
          <w:sz w:val="24"/>
          <w:szCs w:val="24"/>
          <w:highlight w:val="none"/>
          <w:lang w:val="en-US" w:eastAsia="zh-CN"/>
        </w:rPr>
        <w:t>答复：入口处两侧景墙为对称关系，做法及材质相同，补充细节大样图。清单已随之调整。</w:t>
      </w:r>
    </w:p>
    <w:p w14:paraId="10BD7BA2">
      <w:pPr>
        <w:pStyle w:val="42"/>
        <w:keepNext w:val="0"/>
        <w:keepLines w:val="0"/>
        <w:widowControl/>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七、</w:t>
      </w:r>
      <w:r>
        <w:rPr>
          <w:rFonts w:hint="eastAsia" w:ascii="宋体" w:hAnsi="宋体" w:eastAsia="宋体" w:cs="宋体"/>
          <w:color w:val="auto"/>
          <w:sz w:val="24"/>
          <w:szCs w:val="24"/>
          <w:highlight w:val="none"/>
          <w:lang w:val="en-US" w:eastAsia="zh-CN"/>
        </w:rPr>
        <w:t>围墙：图纸中防潮层为20mm厚，清单描述为15mm厚，是否有误？</w:t>
      </w:r>
    </w:p>
    <w:p w14:paraId="08F0318F">
      <w:pPr>
        <w:pStyle w:val="42"/>
        <w:keepNext w:val="0"/>
        <w:keepLines w:val="0"/>
        <w:widowControl/>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5269865" cy="681355"/>
            <wp:effectExtent l="0" t="0" r="3175" b="4445"/>
            <wp:docPr id="4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9"/>
                    <pic:cNvPicPr>
                      <a:picLocks noChangeAspect="1"/>
                    </pic:cNvPicPr>
                  </pic:nvPicPr>
                  <pic:blipFill>
                    <a:blip r:embed="rId19"/>
                    <a:stretch>
                      <a:fillRect/>
                    </a:stretch>
                  </pic:blipFill>
                  <pic:spPr>
                    <a:xfrm>
                      <a:off x="0" y="0"/>
                      <a:ext cx="5269865" cy="681355"/>
                    </a:xfrm>
                    <a:prstGeom prst="rect">
                      <a:avLst/>
                    </a:prstGeom>
                    <a:noFill/>
                    <a:ln>
                      <a:noFill/>
                    </a:ln>
                  </pic:spPr>
                </pic:pic>
              </a:graphicData>
            </a:graphic>
          </wp:inline>
        </w:drawing>
      </w:r>
    </w:p>
    <w:p w14:paraId="12C05AF1">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答复：已调整清单项。</w:t>
      </w:r>
    </w:p>
    <w:p w14:paraId="7A04A3EE">
      <w:pPr>
        <w:pStyle w:val="42"/>
        <w:keepNext w:val="0"/>
        <w:keepLines w:val="0"/>
        <w:widowControl/>
        <w:suppressLineNumbers w:val="0"/>
        <w:spacing w:before="0" w:beforeAutospacing="0" w:after="0" w:afterAutospacing="0"/>
        <w:ind w:left="0" w:right="0" w:firstLine="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八、景观亭:结构图中C20 素混凝土二次浇捣、预埋铁件，地铺图纸中1200x300x18厚烧面卡西奥中灰仿石砖未见其清单，是否漏项？</w:t>
      </w:r>
    </w:p>
    <w:p w14:paraId="1760B7BC">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3347085" cy="2374265"/>
            <wp:effectExtent l="0" t="0" r="5715" b="3175"/>
            <wp:docPr id="4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0"/>
                    <pic:cNvPicPr>
                      <a:picLocks noChangeAspect="1"/>
                    </pic:cNvPicPr>
                  </pic:nvPicPr>
                  <pic:blipFill>
                    <a:blip r:embed="rId20"/>
                    <a:stretch>
                      <a:fillRect/>
                    </a:stretch>
                  </pic:blipFill>
                  <pic:spPr>
                    <a:xfrm>
                      <a:off x="0" y="0"/>
                      <a:ext cx="3347085" cy="2374265"/>
                    </a:xfrm>
                    <a:prstGeom prst="rect">
                      <a:avLst/>
                    </a:prstGeom>
                    <a:noFill/>
                    <a:ln>
                      <a:noFill/>
                    </a:ln>
                  </pic:spPr>
                </pic:pic>
              </a:graphicData>
            </a:graphic>
          </wp:inline>
        </w:drawing>
      </w:r>
    </w:p>
    <w:p w14:paraId="630FFC50">
      <w:pPr>
        <w:numPr>
          <w:ilvl w:val="0"/>
          <w:numId w:val="0"/>
        </w:numPr>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按柱结构详图计入，卡西奥仿石砖</w:t>
      </w:r>
      <w:r>
        <w:rPr>
          <w:rFonts w:hint="eastAsia" w:ascii="宋体" w:hAnsi="宋体" w:eastAsia="宋体" w:cs="宋体"/>
          <w:color w:val="FF0000"/>
          <w:sz w:val="24"/>
          <w:szCs w:val="24"/>
          <w:highlight w:val="none"/>
          <w:lang w:val="en-US" w:eastAsia="zh-CN"/>
        </w:rPr>
        <w:t>已</w:t>
      </w:r>
      <w:r>
        <w:rPr>
          <w:rFonts w:hint="eastAsia" w:ascii="宋体" w:hAnsi="宋体" w:eastAsia="宋体" w:cs="宋体"/>
          <w:color w:val="FF0000"/>
          <w:sz w:val="24"/>
          <w:szCs w:val="24"/>
          <w:highlight w:val="none"/>
          <w:lang w:val="en-US" w:eastAsia="zh"/>
        </w:rPr>
        <w:t>修改计入。</w:t>
      </w:r>
    </w:p>
    <w:p w14:paraId="05469FB7">
      <w:pPr>
        <w:pStyle w:val="42"/>
        <w:keepNext w:val="0"/>
        <w:keepLines w:val="0"/>
        <w:widowControl/>
        <w:numPr>
          <w:ilvl w:val="0"/>
          <w:numId w:val="0"/>
        </w:numPr>
        <w:suppressLineNumbers w:val="0"/>
        <w:spacing w:before="0" w:beforeAutospacing="0" w:after="0" w:afterAutospacing="0"/>
        <w:ind w:left="0" w:leftChars="0" w:right="0" w:right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九、木平台：图纸中防潮层为20mm厚，清单描述为15mm厚，是否有误？</w:t>
      </w:r>
    </w:p>
    <w:p w14:paraId="2E9696C2">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997450" cy="628650"/>
            <wp:effectExtent l="0" t="0" r="1270" b="11430"/>
            <wp:docPr id="4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11"/>
                    <pic:cNvPicPr>
                      <a:picLocks noChangeAspect="1"/>
                    </pic:cNvPicPr>
                  </pic:nvPicPr>
                  <pic:blipFill>
                    <a:blip r:embed="rId21"/>
                    <a:stretch>
                      <a:fillRect/>
                    </a:stretch>
                  </pic:blipFill>
                  <pic:spPr>
                    <a:xfrm>
                      <a:off x="0" y="0"/>
                      <a:ext cx="4997450" cy="628650"/>
                    </a:xfrm>
                    <a:prstGeom prst="rect">
                      <a:avLst/>
                    </a:prstGeom>
                    <a:noFill/>
                    <a:ln>
                      <a:noFill/>
                    </a:ln>
                  </pic:spPr>
                </pic:pic>
              </a:graphicData>
            </a:graphic>
          </wp:inline>
        </w:drawing>
      </w:r>
    </w:p>
    <w:p w14:paraId="4C95D4BC">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答复：已调整清单项</w:t>
      </w:r>
    </w:p>
    <w:p w14:paraId="6F980300">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十、</w:t>
      </w:r>
      <w:r>
        <w:rPr>
          <w:rFonts w:hint="eastAsia" w:ascii="宋体" w:hAnsi="宋体" w:eastAsia="宋体" w:cs="宋体"/>
          <w:color w:val="auto"/>
          <w:sz w:val="24"/>
          <w:szCs w:val="24"/>
          <w:highlight w:val="none"/>
          <w:lang w:val="en-US" w:eastAsia="zh-CN"/>
        </w:rPr>
        <w:t>健身：字体及其做法清单与图纸中均未见，是否漏项？</w:t>
      </w:r>
    </w:p>
    <w:p w14:paraId="157C28F0">
      <w:pPr>
        <w:numPr>
          <w:ilvl w:val="0"/>
          <w:numId w:val="0"/>
        </w:num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drawing>
          <wp:inline distT="0" distB="0" distL="114300" distR="114300">
            <wp:extent cx="3244850" cy="1009650"/>
            <wp:effectExtent l="0" t="0" r="1270" b="11430"/>
            <wp:docPr id="4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2"/>
                    <pic:cNvPicPr>
                      <a:picLocks noChangeAspect="1"/>
                    </pic:cNvPicPr>
                  </pic:nvPicPr>
                  <pic:blipFill>
                    <a:blip r:embed="rId22"/>
                    <a:stretch>
                      <a:fillRect/>
                    </a:stretch>
                  </pic:blipFill>
                  <pic:spPr>
                    <a:xfrm>
                      <a:off x="0" y="0"/>
                      <a:ext cx="3244850" cy="1009650"/>
                    </a:xfrm>
                    <a:prstGeom prst="rect">
                      <a:avLst/>
                    </a:prstGeom>
                    <a:noFill/>
                    <a:ln>
                      <a:noFill/>
                    </a:ln>
                  </pic:spPr>
                </pic:pic>
              </a:graphicData>
            </a:graphic>
          </wp:inline>
        </w:drawing>
      </w:r>
    </w:p>
    <w:p w14:paraId="4506F331">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答复：详LD-6.02,做法为喷涂。</w:t>
      </w:r>
    </w:p>
    <w:p w14:paraId="5171AD52">
      <w:pPr>
        <w:numPr>
          <w:ilvl w:val="0"/>
          <w:numId w:val="0"/>
        </w:numPr>
        <w:ind w:firstLine="720" w:firstLineChars="300"/>
        <w:rPr>
          <w:rFonts w:hint="eastAsia" w:ascii="宋体" w:hAnsi="宋体" w:eastAsia="宋体" w:cs="宋体"/>
          <w:color w:val="auto"/>
          <w:sz w:val="24"/>
          <w:szCs w:val="24"/>
          <w:highlight w:val="none"/>
          <w:lang w:val="en-US" w:eastAsia="zh"/>
        </w:rPr>
      </w:pPr>
      <w:r>
        <w:rPr>
          <w:rFonts w:hint="eastAsia" w:ascii="宋体" w:hAnsi="宋体" w:eastAsia="宋体" w:cs="宋体"/>
          <w:color w:val="FF0000"/>
          <w:sz w:val="24"/>
          <w:szCs w:val="24"/>
          <w:highlight w:val="none"/>
          <w:lang w:val="en-US" w:eastAsia="zh-CN"/>
        </w:rPr>
        <w:t>此部分为真石漆做法，同墙面材质，综合考虑在</w:t>
      </w:r>
      <w:r>
        <w:rPr>
          <w:rFonts w:hint="eastAsia" w:ascii="宋体" w:hAnsi="宋体" w:eastAsia="宋体" w:cs="宋体"/>
          <w:color w:val="FF0000"/>
          <w:sz w:val="24"/>
          <w:szCs w:val="24"/>
          <w:highlight w:val="none"/>
          <w:lang w:val="en-US" w:eastAsia="zh"/>
        </w:rPr>
        <w:t>综合单价</w:t>
      </w:r>
      <w:r>
        <w:rPr>
          <w:rFonts w:hint="eastAsia" w:ascii="宋体" w:hAnsi="宋体" w:eastAsia="宋体" w:cs="宋体"/>
          <w:color w:val="FF0000"/>
          <w:sz w:val="24"/>
          <w:szCs w:val="24"/>
          <w:highlight w:val="none"/>
          <w:lang w:val="en-US" w:eastAsia="zh-CN"/>
        </w:rPr>
        <w:t>内。</w:t>
      </w:r>
    </w:p>
    <w:p w14:paraId="0D282E0C">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十一、</w:t>
      </w:r>
      <w:r>
        <w:rPr>
          <w:rFonts w:hint="eastAsia" w:ascii="宋体" w:hAnsi="宋体" w:eastAsia="宋体" w:cs="宋体"/>
          <w:color w:val="auto"/>
          <w:sz w:val="24"/>
          <w:szCs w:val="24"/>
          <w:highlight w:val="none"/>
          <w:lang w:val="en-US" w:eastAsia="zh-CN"/>
        </w:rPr>
        <w:t>水景:图纸中为不锈钢板，清单描述为镀锌钢板，请明确做法。</w:t>
      </w:r>
    </w:p>
    <w:p w14:paraId="2C23FE4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3321050" cy="659765"/>
            <wp:effectExtent l="0" t="0" r="1270" b="10795"/>
            <wp:docPr id="4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13"/>
                    <pic:cNvPicPr>
                      <a:picLocks noChangeAspect="1"/>
                    </pic:cNvPicPr>
                  </pic:nvPicPr>
                  <pic:blipFill>
                    <a:blip r:embed="rId23"/>
                    <a:stretch>
                      <a:fillRect/>
                    </a:stretch>
                  </pic:blipFill>
                  <pic:spPr>
                    <a:xfrm>
                      <a:off x="0" y="0"/>
                      <a:ext cx="3321050" cy="659765"/>
                    </a:xfrm>
                    <a:prstGeom prst="rect">
                      <a:avLst/>
                    </a:prstGeom>
                    <a:noFill/>
                    <a:ln>
                      <a:noFill/>
                    </a:ln>
                  </pic:spPr>
                </pic:pic>
              </a:graphicData>
            </a:graphic>
          </wp:inline>
        </w:drawing>
      </w:r>
    </w:p>
    <w:p w14:paraId="2A870C5E">
      <w:pPr>
        <w:numPr>
          <w:ilvl w:val="0"/>
          <w:numId w:val="0"/>
        </w:numPr>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答复：已调整清单项</w:t>
      </w:r>
    </w:p>
    <w:p w14:paraId="539F0C7E">
      <w:pPr>
        <w:pStyle w:val="42"/>
        <w:keepNext w:val="0"/>
        <w:keepLines w:val="0"/>
        <w:widowControl/>
        <w:suppressLineNumbers w:val="0"/>
        <w:spacing w:before="0" w:beforeAutospacing="0" w:after="0" w:afterAutospacing="0"/>
        <w:ind w:left="0" w:right="0" w:firstLine="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十二、迎宾景墙：</w:t>
      </w:r>
      <w:r>
        <w:rPr>
          <w:rFonts w:hint="eastAsia" w:ascii="宋体" w:hAnsi="宋体" w:eastAsia="宋体" w:cs="宋体"/>
          <w:color w:val="auto"/>
          <w:sz w:val="24"/>
          <w:szCs w:val="24"/>
          <w:highlight w:val="none"/>
          <w:lang w:val="en-US" w:eastAsia="zh-CN"/>
        </w:rPr>
        <w:t>2厚拉丝面304#不锈钢板未见其清单，是否漏项？</w:t>
      </w:r>
    </w:p>
    <w:p w14:paraId="40D4118A">
      <w:pPr>
        <w:numPr>
          <w:ilvl w:val="0"/>
          <w:numId w:val="0"/>
        </w:numPr>
        <w:ind w:lef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2470785" cy="2007870"/>
            <wp:effectExtent l="0" t="0" r="13335" b="3810"/>
            <wp:docPr id="4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14"/>
                    <pic:cNvPicPr>
                      <a:picLocks noChangeAspect="1"/>
                    </pic:cNvPicPr>
                  </pic:nvPicPr>
                  <pic:blipFill>
                    <a:blip r:embed="rId24"/>
                    <a:stretch>
                      <a:fillRect/>
                    </a:stretch>
                  </pic:blipFill>
                  <pic:spPr>
                    <a:xfrm>
                      <a:off x="0" y="0"/>
                      <a:ext cx="2470785" cy="2007870"/>
                    </a:xfrm>
                    <a:prstGeom prst="rect">
                      <a:avLst/>
                    </a:prstGeom>
                    <a:noFill/>
                    <a:ln>
                      <a:noFill/>
                    </a:ln>
                  </pic:spPr>
                </pic:pic>
              </a:graphicData>
            </a:graphic>
          </wp:inline>
        </w:drawing>
      </w:r>
    </w:p>
    <w:p w14:paraId="34F5FE0E">
      <w:pPr>
        <w:numPr>
          <w:ilvl w:val="0"/>
          <w:numId w:val="0"/>
        </w:numPr>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已增加清单项。</w:t>
      </w:r>
    </w:p>
    <w:p w14:paraId="021819E9">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主电缆配管图纸上为PC65，清单描述为pvc65，请明确做法。</w:t>
      </w:r>
    </w:p>
    <w:p w14:paraId="39D9D16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清单描述修改为PC65</w:t>
      </w:r>
    </w:p>
    <w:p w14:paraId="7F03FC4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入口处景墙区域 LD-9.01中第8项清单：请明确白木纹防石砖尺寸</w:t>
      </w:r>
    </w:p>
    <w:p w14:paraId="3E695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答复：图纸有标注尺寸</w:t>
      </w:r>
    </w:p>
    <w:p w14:paraId="281BF96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石凳 LD-10.01中请明确两项压顶清单的具体尺寸单位</w:t>
      </w:r>
    </w:p>
    <w:p w14:paraId="6BC871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清单描述修改为100mm厚C20混凝土。</w:t>
      </w:r>
    </w:p>
    <w:p w14:paraId="5BFEB03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围墙LD4.01-LD4.02中山水文图案制作安装是否为39套</w:t>
      </w:r>
    </w:p>
    <w:p w14:paraId="257A0A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
        </w:rPr>
      </w:pPr>
      <w:r>
        <w:rPr>
          <w:rFonts w:hint="eastAsia" w:ascii="宋体" w:hAnsi="宋体" w:eastAsia="宋体" w:cs="宋体"/>
          <w:color w:val="FF0000"/>
          <w:sz w:val="24"/>
          <w:szCs w:val="24"/>
          <w:highlight w:val="none"/>
          <w:lang w:val="en-US" w:eastAsia="zh-CN"/>
        </w:rPr>
        <w:t>答复：山水图案每间隔3段标准围墙设置一个</w:t>
      </w:r>
      <w:r>
        <w:rPr>
          <w:rFonts w:hint="eastAsia" w:ascii="宋体" w:hAnsi="宋体" w:cs="宋体"/>
          <w:color w:val="FF0000"/>
          <w:sz w:val="24"/>
          <w:szCs w:val="24"/>
          <w:highlight w:val="none"/>
          <w:lang w:val="en-US" w:eastAsia="zh-CN"/>
        </w:rPr>
        <w:t>，</w:t>
      </w:r>
      <w:r>
        <w:rPr>
          <w:rFonts w:hint="eastAsia" w:ascii="宋体" w:hAnsi="宋体" w:eastAsia="宋体" w:cs="宋体"/>
          <w:color w:val="FF0000"/>
          <w:sz w:val="24"/>
          <w:szCs w:val="24"/>
          <w:highlight w:val="none"/>
          <w:lang w:val="en-US" w:eastAsia="zh"/>
        </w:rPr>
        <w:t>围墙标准段立面图中，标准段长度7.2m，围墙一共长284.129m，需制作山水文案图案284.129/7.2</w:t>
      </w:r>
      <w:r>
        <w:rPr>
          <w:rFonts w:hint="eastAsia" w:ascii="宋体" w:hAnsi="宋体" w:eastAsia="宋体" w:cs="宋体"/>
          <w:color w:val="FF0000"/>
          <w:sz w:val="24"/>
          <w:szCs w:val="24"/>
          <w:highlight w:val="none"/>
          <w:lang w:val="en-US" w:eastAsia="zh-CN"/>
        </w:rPr>
        <w:t>/3</w:t>
      </w:r>
      <w:r>
        <w:rPr>
          <w:rFonts w:hint="eastAsia" w:ascii="宋体" w:hAnsi="宋体" w:eastAsia="宋体" w:cs="宋体"/>
          <w:color w:val="FF0000"/>
          <w:sz w:val="24"/>
          <w:szCs w:val="24"/>
          <w:highlight w:val="none"/>
          <w:lang w:val="en-US" w:eastAsia="zh"/>
        </w:rPr>
        <w:t>=</w:t>
      </w:r>
      <w:r>
        <w:rPr>
          <w:rFonts w:hint="eastAsia" w:ascii="宋体" w:hAnsi="宋体" w:eastAsia="宋体" w:cs="宋体"/>
          <w:color w:val="FF0000"/>
          <w:sz w:val="24"/>
          <w:szCs w:val="24"/>
          <w:highlight w:val="none"/>
          <w:lang w:val="en-US" w:eastAsia="zh-CN"/>
        </w:rPr>
        <w:t>13</w:t>
      </w:r>
      <w:r>
        <w:rPr>
          <w:rFonts w:hint="eastAsia" w:ascii="宋体" w:hAnsi="宋体" w:eastAsia="宋体" w:cs="宋体"/>
          <w:color w:val="FF0000"/>
          <w:sz w:val="24"/>
          <w:szCs w:val="24"/>
          <w:highlight w:val="none"/>
          <w:lang w:val="en-US" w:eastAsia="zh"/>
        </w:rPr>
        <w:t>套。</w:t>
      </w:r>
    </w:p>
    <w:p w14:paraId="5285E2B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成品电动门具体位置请明确</w:t>
      </w:r>
    </w:p>
    <w:p w14:paraId="0D5B437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与铁艺门重复计取，该项已删除。</w:t>
      </w:r>
    </w:p>
    <w:p w14:paraId="2D2580E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硬质铺装1.1挖土方漏项黑色沥青162.08m2</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rPr>
        <w:drawing>
          <wp:inline distT="0" distB="0" distL="114300" distR="114300">
            <wp:extent cx="3409950" cy="1423035"/>
            <wp:effectExtent l="0" t="0" r="3810" b="9525"/>
            <wp:docPr id="4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15"/>
                    <pic:cNvPicPr>
                      <a:picLocks noChangeAspect="1"/>
                    </pic:cNvPicPr>
                  </pic:nvPicPr>
                  <pic:blipFill>
                    <a:blip r:embed="rId25"/>
                    <a:stretch>
                      <a:fillRect/>
                    </a:stretch>
                  </pic:blipFill>
                  <pic:spPr>
                    <a:xfrm>
                      <a:off x="0" y="0"/>
                      <a:ext cx="3409950" cy="1423035"/>
                    </a:xfrm>
                    <a:prstGeom prst="rect">
                      <a:avLst/>
                    </a:prstGeom>
                    <a:noFill/>
                    <a:ln>
                      <a:noFill/>
                    </a:ln>
                  </pic:spPr>
                </pic:pic>
              </a:graphicData>
            </a:graphic>
          </wp:inline>
        </w:drawing>
      </w:r>
    </w:p>
    <w:p w14:paraId="0A95A24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增列黑色沥青162.43m2</w:t>
      </w:r>
    </w:p>
    <w:p w14:paraId="4EDD553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硬质铺装1.2素土夯实门厅下方铺装是否在本次招标范围内，如在，清单漏项，且需补充图纸，（工程、成本）</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08"/>
      </w:tblGrid>
      <w:tr w14:paraId="50E34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2" w:hRule="atLeast"/>
        </w:trPr>
        <w:tc>
          <w:tcPr>
            <w:tcW w:w="1845" w:type="dxa"/>
            <w:tcBorders>
              <w:top w:val="nil"/>
              <w:left w:val="nil"/>
              <w:bottom w:val="nil"/>
              <w:right w:val="nil"/>
            </w:tcBorders>
            <w:noWrap/>
            <w:vAlign w:val="center"/>
          </w:tcPr>
          <w:p w14:paraId="07B2047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544570" cy="933450"/>
                  <wp:effectExtent l="0" t="0" r="6350" b="11430"/>
                  <wp:docPr id="46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16" descr="IMG_256"/>
                          <pic:cNvPicPr>
                            <a:picLocks noChangeAspect="1"/>
                          </pic:cNvPicPr>
                        </pic:nvPicPr>
                        <pic:blipFill>
                          <a:blip r:embed="rId26"/>
                          <a:stretch>
                            <a:fillRect/>
                          </a:stretch>
                        </pic:blipFill>
                        <pic:spPr>
                          <a:xfrm>
                            <a:off x="0" y="0"/>
                            <a:ext cx="3544570" cy="93345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1C62FB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FF0000"/>
          <w:sz w:val="24"/>
          <w:szCs w:val="24"/>
          <w:highlight w:val="none"/>
          <w:lang w:val="en-US" w:eastAsia="zh-CN"/>
        </w:rPr>
        <w:t>答复：门厅下方铺装，未在本次招标范围，为精装修单位施工范围。</w:t>
      </w:r>
    </w:p>
    <w:p w14:paraId="75E6E8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二十、硬质铺装1.3碎石垫层门厅下方铺装基层植筋漏项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4"/>
      </w:tblGrid>
      <w:tr w14:paraId="301E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5" w:hRule="atLeast"/>
        </w:trPr>
        <w:tc>
          <w:tcPr>
            <w:tcW w:w="1845" w:type="dxa"/>
            <w:tcBorders>
              <w:top w:val="nil"/>
              <w:left w:val="nil"/>
              <w:bottom w:val="nil"/>
              <w:right w:val="nil"/>
            </w:tcBorders>
            <w:noWrap/>
            <w:vAlign w:val="center"/>
          </w:tcPr>
          <w:p w14:paraId="4B42535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"C:\\Users\\ADMINI~1\\AppData\\Local\\Temp\\ksohtml\\clip_cell_image6.png"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768600" cy="771525"/>
                  <wp:effectExtent l="0" t="0" r="5080" b="5715"/>
                  <wp:docPr id="46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17" descr="IMG_256"/>
                          <pic:cNvPicPr>
                            <a:picLocks noChangeAspect="1"/>
                          </pic:cNvPicPr>
                        </pic:nvPicPr>
                        <pic:blipFill>
                          <a:blip r:embed="rId27"/>
                          <a:stretch>
                            <a:fillRect/>
                          </a:stretch>
                        </pic:blipFill>
                        <pic:spPr>
                          <a:xfrm>
                            <a:off x="0" y="0"/>
                            <a:ext cx="2768600" cy="77152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64E0736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增列此项。植筋0.225t。</w:t>
      </w:r>
    </w:p>
    <w:p w14:paraId="576F7F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二十一、硬质铺装1.4砼垫层（人行区域）50宽3厚不锈钢漏项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44"/>
      </w:tblGrid>
      <w:tr w14:paraId="09EB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845" w:type="dxa"/>
            <w:tcBorders>
              <w:top w:val="nil"/>
              <w:left w:val="nil"/>
              <w:bottom w:val="nil"/>
              <w:right w:val="nil"/>
            </w:tcBorders>
            <w:noWrap/>
            <w:vAlign w:val="center"/>
          </w:tcPr>
          <w:p w14:paraId="57E532D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"C:\\Users\\ADMINI~1\\AppData\\Local\\Temp\\ksohtml\\clip_cell_image12.png"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750945" cy="1022985"/>
                  <wp:effectExtent l="0" t="0" r="13335" b="13335"/>
                  <wp:docPr id="46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18" descr="IMG_256"/>
                          <pic:cNvPicPr>
                            <a:picLocks noChangeAspect="1"/>
                          </pic:cNvPicPr>
                        </pic:nvPicPr>
                        <pic:blipFill>
                          <a:blip r:embed="rId28"/>
                          <a:stretch>
                            <a:fillRect/>
                          </a:stretch>
                        </pic:blipFill>
                        <pic:spPr>
                          <a:xfrm>
                            <a:off x="0" y="0"/>
                            <a:ext cx="3750945" cy="102298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0605BB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详见第二条回复，已修改</w:t>
      </w:r>
    </w:p>
    <w:p w14:paraId="2C9BA9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二十二、硬质铺装1.5砼垫层（车行区域）景观灯基础漏项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76"/>
      </w:tblGrid>
      <w:tr w14:paraId="6DC43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1845" w:type="dxa"/>
            <w:tcBorders>
              <w:top w:val="nil"/>
              <w:left w:val="nil"/>
              <w:bottom w:val="nil"/>
              <w:right w:val="nil"/>
            </w:tcBorders>
            <w:noWrap/>
            <w:vAlign w:val="center"/>
          </w:tcPr>
          <w:p w14:paraId="19B6886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"C:\\Users\\ADMINI~1\\AppData\\Local\\Temp\\ksohtml\\clip_cell_image31.png"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274060" cy="919480"/>
                  <wp:effectExtent l="0" t="0" r="2540" b="10160"/>
                  <wp:docPr id="46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9" descr="IMG_256"/>
                          <pic:cNvPicPr>
                            <a:picLocks noChangeAspect="1"/>
                          </pic:cNvPicPr>
                        </pic:nvPicPr>
                        <pic:blipFill>
                          <a:blip r:embed="rId29"/>
                          <a:stretch>
                            <a:fillRect/>
                          </a:stretch>
                        </pic:blipFill>
                        <pic:spPr>
                          <a:xfrm>
                            <a:off x="0" y="0"/>
                            <a:ext cx="3274060" cy="91948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3CF2B6D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详见景观水电中配套灯具的清单描述:“含灯县基础、预埋基础螺栓、接地、调试等</w:t>
      </w:r>
      <w:r>
        <w:rPr>
          <w:rFonts w:hint="eastAsia" w:ascii="宋体" w:hAnsi="宋体" w:eastAsia="宋体" w:cs="宋体"/>
          <w:color w:val="FF0000"/>
          <w:sz w:val="24"/>
          <w:szCs w:val="24"/>
          <w:highlight w:val="none"/>
          <w:lang w:val="en-US" w:eastAsia="zh-CN"/>
        </w:rPr>
        <w:t>”</w:t>
      </w:r>
    </w:p>
    <w:p w14:paraId="6120CE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二十三、硬质铺装1.14漏项18厚浪淘沙仿石砖，工程量为6.84平方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76"/>
      </w:tblGrid>
      <w:tr w14:paraId="67C90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845" w:type="dxa"/>
            <w:tcBorders>
              <w:top w:val="nil"/>
              <w:left w:val="nil"/>
              <w:bottom w:val="nil"/>
              <w:right w:val="nil"/>
            </w:tcBorders>
            <w:noWrap/>
            <w:vAlign w:val="center"/>
          </w:tcPr>
          <w:p w14:paraId="1194207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"C:\\Users\\ADMINI~1\\AppData\\Local\\Temp\\ksohtml\\clip_cell_image7.png"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647440" cy="925830"/>
                  <wp:effectExtent l="0" t="0" r="10160" b="3810"/>
                  <wp:docPr id="47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20" descr="IMG_256"/>
                          <pic:cNvPicPr>
                            <a:picLocks noChangeAspect="1"/>
                          </pic:cNvPicPr>
                        </pic:nvPicPr>
                        <pic:blipFill>
                          <a:blip r:embed="rId30"/>
                          <a:stretch>
                            <a:fillRect/>
                          </a:stretch>
                        </pic:blipFill>
                        <pic:spPr>
                          <a:xfrm>
                            <a:off x="0" y="0"/>
                            <a:ext cx="3647440" cy="92583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520FC5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详见第一条回复，已修改</w:t>
      </w:r>
    </w:p>
    <w:p w14:paraId="57CA40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二十四、硬质铺装第二项彩色沥青位置图案划线漏项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4"/>
      </w:tblGrid>
      <w:tr w14:paraId="0C096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1845" w:type="dxa"/>
            <w:tcBorders>
              <w:top w:val="nil"/>
              <w:left w:val="nil"/>
              <w:bottom w:val="nil"/>
              <w:right w:val="nil"/>
            </w:tcBorders>
            <w:noWrap/>
            <w:vAlign w:val="center"/>
          </w:tcPr>
          <w:p w14:paraId="4583181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"C:\\Users\\ADMINI~1\\AppData\\Local\\Temp\\ksohtml\\clip_cell_image8.png"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768600" cy="1372870"/>
                  <wp:effectExtent l="0" t="0" r="5080" b="13970"/>
                  <wp:docPr id="47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21" descr="IMG_256"/>
                          <pic:cNvPicPr>
                            <a:picLocks noChangeAspect="1"/>
                          </pic:cNvPicPr>
                        </pic:nvPicPr>
                        <pic:blipFill>
                          <a:blip r:embed="rId31"/>
                          <a:stretch>
                            <a:fillRect/>
                          </a:stretch>
                        </pic:blipFill>
                        <pic:spPr>
                          <a:xfrm>
                            <a:off x="0" y="0"/>
                            <a:ext cx="2768600" cy="137287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55D1F1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答复：参照第二十五条回复</w:t>
      </w:r>
    </w:p>
    <w:p w14:paraId="6D6C19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二十五、硬质铺装2.1混凝土道牙收边漏项</w:t>
      </w:r>
    </w:p>
    <w:p w14:paraId="5385F3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答复：经设计确认登高场地二外围采用600*200*18福鼎黑收边（12.39m2），内部白色部位采用丙烯酸划线（45.63m2），其余彩色沥青部分一次成活。登高场地一周边按600*200*18福鼎黑计入清单。</w:t>
      </w:r>
    </w:p>
    <w:p w14:paraId="15B21C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
        </w:rPr>
      </w:pPr>
      <w:r>
        <w:rPr>
          <w:rFonts w:hint="eastAsia" w:ascii="宋体" w:hAnsi="宋体" w:eastAsia="宋体" w:cs="宋体"/>
          <w:color w:val="auto"/>
          <w:sz w:val="24"/>
          <w:szCs w:val="24"/>
          <w:highlight w:val="none"/>
          <w:lang w:val="en-US" w:eastAsia="zh"/>
        </w:rPr>
        <w:drawing>
          <wp:inline distT="0" distB="0" distL="114300" distR="114300">
            <wp:extent cx="4750435" cy="3777615"/>
            <wp:effectExtent l="0" t="0" r="4445" b="1905"/>
            <wp:docPr id="4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22"/>
                    <pic:cNvPicPr>
                      <a:picLocks noChangeAspect="1"/>
                    </pic:cNvPicPr>
                  </pic:nvPicPr>
                  <pic:blipFill>
                    <a:blip r:embed="rId32"/>
                    <a:stretch>
                      <a:fillRect/>
                    </a:stretch>
                  </pic:blipFill>
                  <pic:spPr>
                    <a:xfrm>
                      <a:off x="0" y="0"/>
                      <a:ext cx="4750435" cy="3777615"/>
                    </a:xfrm>
                    <a:prstGeom prst="rect">
                      <a:avLst/>
                    </a:prstGeom>
                    <a:noFill/>
                    <a:ln>
                      <a:noFill/>
                    </a:ln>
                  </pic:spPr>
                </pic:pic>
              </a:graphicData>
            </a:graphic>
          </wp:inline>
        </w:drawing>
      </w:r>
      <w:r>
        <w:rPr>
          <w:rFonts w:hint="eastAsia" w:ascii="宋体" w:hAnsi="宋体" w:eastAsia="宋体" w:cs="宋体"/>
          <w:color w:val="auto"/>
          <w:sz w:val="24"/>
          <w:szCs w:val="24"/>
          <w:highlight w:val="none"/>
          <w:lang w:val="en-US" w:eastAsia="zh"/>
        </w:rPr>
        <w:drawing>
          <wp:inline distT="0" distB="0" distL="114300" distR="114300">
            <wp:extent cx="5271135" cy="4158615"/>
            <wp:effectExtent l="0" t="0" r="1905" b="1905"/>
            <wp:docPr id="4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23"/>
                    <pic:cNvPicPr>
                      <a:picLocks noChangeAspect="1"/>
                    </pic:cNvPicPr>
                  </pic:nvPicPr>
                  <pic:blipFill>
                    <a:blip r:embed="rId33"/>
                    <a:stretch>
                      <a:fillRect/>
                    </a:stretch>
                  </pic:blipFill>
                  <pic:spPr>
                    <a:xfrm>
                      <a:off x="0" y="0"/>
                      <a:ext cx="5271135" cy="4158615"/>
                    </a:xfrm>
                    <a:prstGeom prst="rect">
                      <a:avLst/>
                    </a:prstGeom>
                    <a:noFill/>
                    <a:ln>
                      <a:noFill/>
                    </a:ln>
                  </pic:spPr>
                </pic:pic>
              </a:graphicData>
            </a:graphic>
          </wp:inline>
        </w:drawing>
      </w:r>
    </w:p>
    <w:p w14:paraId="650419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二十六、硬质铺装车库顶板交接处做法漏项</w:t>
      </w:r>
    </w:p>
    <w:p w14:paraId="44FE7A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答复：参照TY-01节点6，硬质铺装与车库边线交接长度共计111.37m，</w:t>
      </w:r>
      <w:r>
        <w:rPr>
          <w:rFonts w:hint="eastAsia" w:ascii="宋体" w:hAnsi="宋体" w:eastAsia="宋体" w:cs="宋体"/>
          <w:color w:val="FF0000"/>
          <w:sz w:val="24"/>
          <w:szCs w:val="24"/>
          <w:highlight w:val="none"/>
          <w:lang w:val="en-US" w:eastAsia="zh"/>
        </w:rPr>
        <w:t>增列</w:t>
      </w:r>
      <w:r>
        <w:rPr>
          <w:rFonts w:hint="eastAsia" w:ascii="宋体" w:hAnsi="宋体" w:eastAsia="宋体" w:cs="宋体"/>
          <w:color w:val="FF0000"/>
          <w:sz w:val="24"/>
          <w:szCs w:val="24"/>
          <w:highlight w:val="none"/>
          <w:lang w:val="en-US" w:eastAsia="zh-CN"/>
        </w:rPr>
        <w:t>C10@200双层双向钢筋网8.588t，详见硬质铺装1.6</w:t>
      </w:r>
      <w:r>
        <w:rPr>
          <w:rFonts w:hint="eastAsia" w:ascii="宋体" w:hAnsi="宋体" w:eastAsia="宋体" w:cs="宋体"/>
          <w:color w:val="FF0000"/>
          <w:sz w:val="24"/>
          <w:szCs w:val="24"/>
          <w:highlight w:val="none"/>
          <w:lang w:val="en-US" w:eastAsia="zh"/>
        </w:rPr>
        <w:t>。</w:t>
      </w:r>
    </w:p>
    <w:p w14:paraId="05E874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二十七、硬质铺装EPDM塑胶地垫图案及划线漏项</w:t>
      </w:r>
    </w:p>
    <w:p w14:paraId="2B28C7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720" w:leftChars="0" w:hanging="720" w:hangingChars="30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答复：白色的划线部位采用丙烯酸划线。已增列项，详见清单3.5</w:t>
      </w:r>
      <w:r>
        <w:rPr>
          <w:rFonts w:hint="eastAsia" w:ascii="宋体" w:hAnsi="宋体" w:eastAsia="宋体" w:cs="宋体"/>
          <w:color w:val="FF0000"/>
          <w:sz w:val="24"/>
          <w:szCs w:val="24"/>
          <w:highlight w:val="none"/>
          <w:lang w:val="en-US" w:eastAsia="zh"/>
        </w:rPr>
        <w:t>。</w:t>
      </w:r>
    </w:p>
    <w:p w14:paraId="3655E6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二十八、硬质铺装4.1挖土方处5厚不锈钢分割条漏项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40"/>
      </w:tblGrid>
      <w:tr w14:paraId="63946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1845" w:type="dxa"/>
            <w:tcBorders>
              <w:top w:val="nil"/>
              <w:left w:val="nil"/>
              <w:bottom w:val="nil"/>
              <w:right w:val="nil"/>
            </w:tcBorders>
            <w:noWrap/>
            <w:vAlign w:val="center"/>
          </w:tcPr>
          <w:p w14:paraId="7A04DE2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"C:\\Users\\ADMINI~1\\AppData\\Local\\Temp\\ksohtml\\clip_cell_image11.png"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680970" cy="1285875"/>
                  <wp:effectExtent l="0" t="0" r="1270" b="9525"/>
                  <wp:docPr id="47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24" descr="IMG_256"/>
                          <pic:cNvPicPr>
                            <a:picLocks noChangeAspect="1"/>
                          </pic:cNvPicPr>
                        </pic:nvPicPr>
                        <pic:blipFill>
                          <a:blip r:embed="rId34"/>
                          <a:stretch>
                            <a:fillRect/>
                          </a:stretch>
                        </pic:blipFill>
                        <pic:spPr>
                          <a:xfrm>
                            <a:off x="0" y="0"/>
                            <a:ext cx="2680970" cy="12858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426CB6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4.5清单描述已包含此项。</w:t>
      </w:r>
    </w:p>
    <w:p w14:paraId="7F05EA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二十九、硬质铺装4.2处、L30*30*2.5角钢漏项</w:t>
      </w:r>
    </w:p>
    <w:p w14:paraId="1E65E7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4.5清单描述已包含此项。</w:t>
      </w:r>
    </w:p>
    <w:p w14:paraId="589B5B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三十、硬质铺装5.7处4厚云石板漏项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52"/>
      </w:tblGrid>
      <w:tr w14:paraId="5100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1845" w:type="dxa"/>
            <w:tcBorders>
              <w:top w:val="nil"/>
              <w:left w:val="nil"/>
              <w:bottom w:val="nil"/>
              <w:right w:val="nil"/>
            </w:tcBorders>
            <w:noWrap/>
            <w:vAlign w:val="center"/>
          </w:tcPr>
          <w:p w14:paraId="09FB4CD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"C:\\Users\\ADMINI~1\\AppData\\Local\\Temp\\ksohtml\\clip_cell_image41.png"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490470" cy="1095375"/>
                  <wp:effectExtent l="0" t="0" r="8890" b="1905"/>
                  <wp:docPr id="47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25" descr="IMG_256"/>
                          <pic:cNvPicPr>
                            <a:picLocks noChangeAspect="1"/>
                          </pic:cNvPicPr>
                        </pic:nvPicPr>
                        <pic:blipFill>
                          <a:blip r:embed="rId35"/>
                          <a:stretch>
                            <a:fillRect/>
                          </a:stretch>
                        </pic:blipFill>
                        <pic:spPr>
                          <a:xfrm>
                            <a:off x="0" y="0"/>
                            <a:ext cx="2490470" cy="10953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61B8BA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回复：灯带已计入水电工程，云石板新增单独列项，详见清单5.8</w:t>
      </w:r>
    </w:p>
    <w:p w14:paraId="68252C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三十一、硬质铺装5.8处不锈钢漏项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72"/>
      </w:tblGrid>
      <w:tr w14:paraId="0BD79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845" w:type="dxa"/>
            <w:tcBorders>
              <w:top w:val="nil"/>
              <w:left w:val="nil"/>
              <w:bottom w:val="nil"/>
              <w:right w:val="nil"/>
            </w:tcBorders>
            <w:noWrap/>
            <w:vAlign w:val="center"/>
          </w:tcPr>
          <w:p w14:paraId="096C855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"C:\\Users\\ADMINI~1\\AppData\\Local\\Temp\\ksohtml\\clip_cell_image40.png"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190115" cy="979170"/>
                  <wp:effectExtent l="0" t="0" r="4445" b="11430"/>
                  <wp:docPr id="47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26" descr="IMG_256"/>
                          <pic:cNvPicPr>
                            <a:picLocks noChangeAspect="1"/>
                          </pic:cNvPicPr>
                        </pic:nvPicPr>
                        <pic:blipFill>
                          <a:blip r:embed="rId36"/>
                          <a:stretch>
                            <a:fillRect/>
                          </a:stretch>
                        </pic:blipFill>
                        <pic:spPr>
                          <a:xfrm>
                            <a:off x="0" y="0"/>
                            <a:ext cx="2190115" cy="97917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157D60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增列此项5.9、5.10</w:t>
      </w:r>
    </w:p>
    <w:p w14:paraId="6A799F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三十二、硬质铺装7.12处图纸为30厚水泥砂浆</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48"/>
      </w:tblGrid>
      <w:tr w14:paraId="5126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1845" w:type="dxa"/>
            <w:tcBorders>
              <w:top w:val="nil"/>
              <w:left w:val="nil"/>
              <w:bottom w:val="nil"/>
              <w:right w:val="nil"/>
            </w:tcBorders>
            <w:noWrap/>
            <w:vAlign w:val="bottom"/>
          </w:tcPr>
          <w:p w14:paraId="048FCCF2">
            <w:pPr>
              <w:keepNext w:val="0"/>
              <w:keepLines w:val="0"/>
              <w:widowControl/>
              <w:suppressLineNumbers w:val="0"/>
              <w:jc w:val="left"/>
              <w:textAlignment w:val="bottom"/>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"C:\\Users\\ADMINI~1\\AppData\\Local\\Temp\\ksohtml\\clip_cell_image30.png"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555875" cy="847725"/>
                  <wp:effectExtent l="0" t="0" r="4445" b="5715"/>
                  <wp:docPr id="47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27" descr="IMG_256"/>
                          <pic:cNvPicPr>
                            <a:picLocks noChangeAspect="1"/>
                          </pic:cNvPicPr>
                        </pic:nvPicPr>
                        <pic:blipFill>
                          <a:blip r:embed="rId37"/>
                          <a:stretch>
                            <a:fillRect/>
                          </a:stretch>
                        </pic:blipFill>
                        <pic:spPr>
                          <a:xfrm>
                            <a:off x="0" y="0"/>
                            <a:ext cx="2555875" cy="84772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7E4262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修改为30厚1:2.5水泥砂浆</w:t>
      </w:r>
    </w:p>
    <w:p w14:paraId="119C02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三十三、硬质铺装7.13处芝麻灰烧面石材图纸为80厚</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0"/>
      </w:tblGrid>
      <w:tr w14:paraId="3558F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1845" w:type="dxa"/>
            <w:tcBorders>
              <w:top w:val="single" w:color="000000" w:sz="4" w:space="0"/>
              <w:left w:val="single" w:color="000000" w:sz="4" w:space="0"/>
              <w:bottom w:val="single" w:color="000000" w:sz="4" w:space="0"/>
              <w:right w:val="single" w:color="000000" w:sz="4" w:space="0"/>
            </w:tcBorders>
            <w:noWrap/>
            <w:vAlign w:val="center"/>
          </w:tcPr>
          <w:p w14:paraId="2534E86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"C:\\Users\\ADMINI~1\\AppData\\Local\\Temp\\ksohtml\\clip_cell_image29.png"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fldChar w:fldCharType="end"/>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745740" cy="676275"/>
                  <wp:effectExtent l="0" t="0" r="12700" b="9525"/>
                  <wp:docPr id="47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28" descr="IMG_256"/>
                          <pic:cNvPicPr>
                            <a:picLocks noChangeAspect="1"/>
                          </pic:cNvPicPr>
                        </pic:nvPicPr>
                        <pic:blipFill>
                          <a:blip r:embed="rId38"/>
                          <a:stretch>
                            <a:fillRect/>
                          </a:stretch>
                        </pic:blipFill>
                        <pic:spPr>
                          <a:xfrm>
                            <a:off x="0" y="0"/>
                            <a:ext cx="2745740" cy="676275"/>
                          </a:xfrm>
                          <a:prstGeom prst="rect">
                            <a:avLst/>
                          </a:prstGeom>
                          <a:noFill/>
                          <a:ln>
                            <a:noFill/>
                          </a:ln>
                        </pic:spPr>
                      </pic:pic>
                    </a:graphicData>
                  </a:graphic>
                </wp:inline>
              </w:drawing>
            </w:r>
          </w:p>
        </w:tc>
      </w:tr>
    </w:tbl>
    <w:p w14:paraId="5B67FD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
        </w:rPr>
        <w:t>回复：修改为80厚</w:t>
      </w:r>
    </w:p>
    <w:p w14:paraId="38E724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三十四、硬质铺装清单中景观亭8.6、8.7处钢筋制作安装漏项</w:t>
      </w:r>
    </w:p>
    <w:p w14:paraId="1584AF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已修改加入清单项</w:t>
      </w:r>
    </w:p>
    <w:p w14:paraId="56794B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三十五、硬质铺装清单中景观亭结构做法1钢柱规格与图纸不一致</w:t>
      </w:r>
    </w:p>
    <w:p w14:paraId="2B28E4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w:t>
      </w:r>
    </w:p>
    <w:p w14:paraId="60A2DC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三十六、硬质铺装清单中景观亭结构做法2钢屋架规格与图纸不一致</w:t>
      </w:r>
    </w:p>
    <w:p w14:paraId="0E6007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天沟挑檐部分综合考虑，主骨架已在清单描述中列出。</w:t>
      </w:r>
    </w:p>
    <w:p w14:paraId="4F0CFD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三十七、硬质铺装清单中景观亭结构做法5图纸为铝方管</w:t>
      </w:r>
    </w:p>
    <w:p w14:paraId="12C556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已修改项目特征为铝方管。</w:t>
      </w:r>
    </w:p>
    <w:p w14:paraId="2EFA1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三十八、硬质铺装清单中景观亭地面装饰5图纸厚度为15厚，工程量为78.62m2</w:t>
      </w:r>
    </w:p>
    <w:p w14:paraId="55543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未在图纸中找到15厚地面装饰，请明确。</w:t>
      </w:r>
    </w:p>
    <w:p w14:paraId="20FE68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三十九、硬质铺装清单中景观亭地面装饰6图纸为50厚芝麻黑</w:t>
      </w:r>
    </w:p>
    <w:p w14:paraId="1FB8CD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答复：LD-2.01 景观亭详图”，图纸</w:t>
      </w:r>
      <w:r>
        <w:rPr>
          <w:rFonts w:hint="eastAsia" w:ascii="宋体" w:hAnsi="宋体" w:eastAsia="宋体" w:cs="宋体"/>
          <w:color w:val="FF0000"/>
          <w:sz w:val="24"/>
          <w:szCs w:val="24"/>
          <w:highlight w:val="none"/>
          <w:lang w:val="en-US" w:eastAsia="zh"/>
        </w:rPr>
        <w:t>中显示为70厚芝麻黑，</w:t>
      </w:r>
      <w:r>
        <w:rPr>
          <w:rFonts w:hint="eastAsia" w:ascii="宋体" w:hAnsi="宋体" w:eastAsia="宋体" w:cs="宋体"/>
          <w:color w:val="FF0000"/>
          <w:sz w:val="24"/>
          <w:szCs w:val="24"/>
          <w:highlight w:val="none"/>
          <w:lang w:val="en-US" w:eastAsia="zh-CN"/>
        </w:rPr>
        <w:t>清单无误（详见下图）</w:t>
      </w:r>
      <w:r>
        <w:rPr>
          <w:rFonts w:hint="eastAsia" w:ascii="宋体" w:hAnsi="宋体" w:eastAsia="宋体" w:cs="宋体"/>
          <w:color w:val="FF0000"/>
          <w:sz w:val="24"/>
          <w:szCs w:val="24"/>
          <w:highlight w:val="none"/>
          <w:lang w:val="en-US" w:eastAsia="zh"/>
        </w:rPr>
        <w:t>。</w:t>
      </w:r>
    </w:p>
    <w:p w14:paraId="3B8F00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
        </w:rPr>
      </w:pPr>
      <w:r>
        <w:rPr>
          <w:rFonts w:hint="eastAsia" w:ascii="宋体" w:hAnsi="宋体" w:eastAsia="宋体" w:cs="宋体"/>
          <w:color w:val="auto"/>
          <w:sz w:val="24"/>
          <w:szCs w:val="24"/>
          <w:highlight w:val="none"/>
        </w:rPr>
        <w:drawing>
          <wp:inline distT="0" distB="0" distL="114300" distR="114300">
            <wp:extent cx="3302635" cy="2776855"/>
            <wp:effectExtent l="0" t="0" r="4445" b="12065"/>
            <wp:docPr id="4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29"/>
                    <pic:cNvPicPr>
                      <a:picLocks noChangeAspect="1"/>
                    </pic:cNvPicPr>
                  </pic:nvPicPr>
                  <pic:blipFill>
                    <a:blip r:embed="rId39"/>
                    <a:stretch>
                      <a:fillRect/>
                    </a:stretch>
                  </pic:blipFill>
                  <pic:spPr>
                    <a:xfrm>
                      <a:off x="0" y="0"/>
                      <a:ext cx="3302635" cy="2776855"/>
                    </a:xfrm>
                    <a:prstGeom prst="rect">
                      <a:avLst/>
                    </a:prstGeom>
                    <a:noFill/>
                    <a:ln>
                      <a:noFill/>
                    </a:ln>
                  </pic:spPr>
                </pic:pic>
              </a:graphicData>
            </a:graphic>
          </wp:inline>
        </w:drawing>
      </w:r>
    </w:p>
    <w:p w14:paraId="001302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四十、硬质铺装清单中木平台9.7图纸、清单冲突</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44"/>
      </w:tblGrid>
      <w:tr w14:paraId="52F58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1845" w:type="dxa"/>
            <w:tcBorders>
              <w:top w:val="nil"/>
              <w:left w:val="nil"/>
              <w:bottom w:val="nil"/>
              <w:right w:val="nil"/>
            </w:tcBorders>
            <w:noWrap/>
            <w:vAlign w:val="bottom"/>
          </w:tcPr>
          <w:p w14:paraId="0105F572">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"C:\\Users\\ADMINI~1\\AppData\\Local\\Temp\\ksohtml\\clip_cell_image39.png"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988310" cy="648970"/>
                  <wp:effectExtent l="0" t="0" r="13970" b="6350"/>
                  <wp:docPr id="48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30" descr="IMG_256"/>
                          <pic:cNvPicPr>
                            <a:picLocks noChangeAspect="1"/>
                          </pic:cNvPicPr>
                        </pic:nvPicPr>
                        <pic:blipFill>
                          <a:blip r:embed="rId40"/>
                          <a:stretch>
                            <a:fillRect/>
                          </a:stretch>
                        </pic:blipFill>
                        <pic:spPr>
                          <a:xfrm>
                            <a:off x="0" y="0"/>
                            <a:ext cx="2988310" cy="64897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773CF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答复：参照总图铺装做法</w:t>
      </w:r>
    </w:p>
    <w:p w14:paraId="52F0A0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四十一、硬质铺装清单中健身墙图案漏项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8"/>
      </w:tblGrid>
      <w:tr w14:paraId="5226D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trPr>
        <w:tc>
          <w:tcPr>
            <w:tcW w:w="1845" w:type="dxa"/>
            <w:tcBorders>
              <w:top w:val="nil"/>
              <w:left w:val="nil"/>
              <w:bottom w:val="nil"/>
              <w:right w:val="nil"/>
            </w:tcBorders>
            <w:noWrap/>
            <w:vAlign w:val="bottom"/>
          </w:tcPr>
          <w:p w14:paraId="5F972EBC">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"C:\\Users\\ADMINI~1\\AppData\\Local\\Temp\\ksohtml\\clip_cell_image35.png"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629535" cy="1026160"/>
                  <wp:effectExtent l="0" t="0" r="6985" b="10160"/>
                  <wp:docPr id="48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31" descr="IMG_256"/>
                          <pic:cNvPicPr>
                            <a:picLocks noChangeAspect="1"/>
                          </pic:cNvPicPr>
                        </pic:nvPicPr>
                        <pic:blipFill>
                          <a:blip r:embed="rId41"/>
                          <a:stretch>
                            <a:fillRect/>
                          </a:stretch>
                        </pic:blipFill>
                        <pic:spPr>
                          <a:xfrm>
                            <a:off x="0" y="0"/>
                            <a:ext cx="2629535" cy="102616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0620D8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详见第十条回复</w:t>
      </w:r>
    </w:p>
    <w:p w14:paraId="27F875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四十二、硬质铺装清单中健身墙10.1中2厚不锈钢漏项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2"/>
      </w:tblGrid>
      <w:tr w14:paraId="48574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1845" w:type="dxa"/>
            <w:tcBorders>
              <w:top w:val="nil"/>
              <w:left w:val="nil"/>
              <w:bottom w:val="nil"/>
              <w:right w:val="nil"/>
            </w:tcBorders>
            <w:noWrap/>
            <w:vAlign w:val="bottom"/>
          </w:tcPr>
          <w:p w14:paraId="0BDDFB40">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"C:\\Users\\ADMINI~1\\AppData\\Local\\Temp\\ksohtml\\clip_cell_image32.png"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560955" cy="1076325"/>
                  <wp:effectExtent l="0" t="0" r="14605" b="5715"/>
                  <wp:docPr id="48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32" descr="IMG_256"/>
                          <pic:cNvPicPr>
                            <a:picLocks noChangeAspect="1"/>
                          </pic:cNvPicPr>
                        </pic:nvPicPr>
                        <pic:blipFill>
                          <a:blip r:embed="rId42"/>
                          <a:stretch>
                            <a:fillRect/>
                          </a:stretch>
                        </pic:blipFill>
                        <pic:spPr>
                          <a:xfrm>
                            <a:off x="0" y="0"/>
                            <a:ext cx="2560955" cy="107632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169B49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在健身墙第13条盖板，未漏项，已重新更改项目名称。</w:t>
      </w:r>
    </w:p>
    <w:p w14:paraId="6E6F65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四十三、硬质铺装清单中健身墙10.2中回填土漏项</w:t>
      </w:r>
    </w:p>
    <w:p w14:paraId="27D569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已增加清单项。</w:t>
      </w:r>
    </w:p>
    <w:p w14:paraId="65172C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四十四、硬质铺装清单中健身墙10.12中水泥砂浆漏项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2"/>
      </w:tblGrid>
      <w:tr w14:paraId="114FA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1845" w:type="dxa"/>
            <w:tcBorders>
              <w:top w:val="nil"/>
              <w:left w:val="nil"/>
              <w:bottom w:val="nil"/>
              <w:right w:val="nil"/>
            </w:tcBorders>
            <w:noWrap/>
            <w:vAlign w:val="bottom"/>
          </w:tcPr>
          <w:p w14:paraId="55D7ACB0">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"C:\\Users\\ADMINI~1\\AppData\\Local\\Temp\\ksohtml\\clip_cell_image33.png"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637155" cy="790575"/>
                  <wp:effectExtent l="0" t="0" r="14605" b="1905"/>
                  <wp:docPr id="48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33" descr="IMG_256"/>
                          <pic:cNvPicPr>
                            <a:picLocks noChangeAspect="1"/>
                          </pic:cNvPicPr>
                        </pic:nvPicPr>
                        <pic:blipFill>
                          <a:blip r:embed="rId43"/>
                          <a:stretch>
                            <a:fillRect/>
                          </a:stretch>
                        </pic:blipFill>
                        <pic:spPr>
                          <a:xfrm>
                            <a:off x="0" y="0"/>
                            <a:ext cx="2637155" cy="7905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2601D8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在健身墙第9条挡墙装饰中，未漏项，已修改项目名称未为防水水泥砂浆找平层。</w:t>
      </w:r>
    </w:p>
    <w:p w14:paraId="5D95F0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四十五、硬质铺装清单中种植池11.3中卡西奥中灰仿石砖图纸为15厚</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20"/>
      </w:tblGrid>
      <w:tr w14:paraId="3ABE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7" w:hRule="atLeast"/>
        </w:trPr>
        <w:tc>
          <w:tcPr>
            <w:tcW w:w="1845" w:type="dxa"/>
            <w:tcBorders>
              <w:top w:val="nil"/>
              <w:left w:val="nil"/>
              <w:bottom w:val="nil"/>
              <w:right w:val="nil"/>
            </w:tcBorders>
            <w:noWrap/>
            <w:vAlign w:val="bottom"/>
          </w:tcPr>
          <w:p w14:paraId="7BCACE4E">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"C:\\Users\\ADMINI~1\\AppData\\Local\\Temp\\ksohtml\\clip_cell_image36.png"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4123690" cy="952500"/>
                  <wp:effectExtent l="0" t="0" r="6350" b="7620"/>
                  <wp:docPr id="48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34" descr="IMG_256"/>
                          <pic:cNvPicPr>
                            <a:picLocks noChangeAspect="1"/>
                          </pic:cNvPicPr>
                        </pic:nvPicPr>
                        <pic:blipFill>
                          <a:blip r:embed="rId44"/>
                          <a:stretch>
                            <a:fillRect/>
                          </a:stretch>
                        </pic:blipFill>
                        <pic:spPr>
                          <a:xfrm>
                            <a:off x="0" y="0"/>
                            <a:ext cx="4123690" cy="95250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551142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已修改项目特征。</w:t>
      </w:r>
    </w:p>
    <w:p w14:paraId="3433E9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四十六、硬质铺装清单中种植池11.4中镀锌钢板止水带1.5厚不锈钢漏项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84"/>
      </w:tblGrid>
      <w:tr w14:paraId="5F11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1845" w:type="dxa"/>
            <w:tcBorders>
              <w:top w:val="nil"/>
              <w:left w:val="nil"/>
              <w:bottom w:val="nil"/>
              <w:right w:val="nil"/>
            </w:tcBorders>
            <w:noWrap/>
            <w:vAlign w:val="bottom"/>
          </w:tcPr>
          <w:p w14:paraId="3BD1CBD3">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"C:\\Users\\ADMINI~1\\AppData\\Local\\Temp\\ksohtml\\clip_cell_image38.png"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148965" cy="781050"/>
                  <wp:effectExtent l="0" t="0" r="5715" b="11430"/>
                  <wp:docPr id="48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35" descr="IMG_256"/>
                          <pic:cNvPicPr>
                            <a:picLocks noChangeAspect="1"/>
                          </pic:cNvPicPr>
                        </pic:nvPicPr>
                        <pic:blipFill>
                          <a:blip r:embed="rId45"/>
                          <a:stretch>
                            <a:fillRect/>
                          </a:stretch>
                        </pic:blipFill>
                        <pic:spPr>
                          <a:xfrm>
                            <a:off x="0" y="0"/>
                            <a:ext cx="3148965" cy="78105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312ACA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此处已在种植时第4项钢板止水带中综合考虑。</w:t>
      </w:r>
    </w:p>
    <w:p w14:paraId="091D66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四十七、硬质铺装清单中水景景墙12.16中跌水石材-平面与图纸规格不一致</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32"/>
      </w:tblGrid>
      <w:tr w14:paraId="1E156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7" w:hRule="atLeast"/>
        </w:trPr>
        <w:tc>
          <w:tcPr>
            <w:tcW w:w="1845" w:type="dxa"/>
            <w:tcBorders>
              <w:top w:val="nil"/>
              <w:left w:val="nil"/>
              <w:bottom w:val="nil"/>
              <w:right w:val="nil"/>
            </w:tcBorders>
            <w:noWrap/>
            <w:vAlign w:val="bottom"/>
          </w:tcPr>
          <w:p w14:paraId="72886913">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"C:\\Users\\ADMINI~1\\AppData\\Local\\Temp\\ksohtml\\clip_cell_image28.png"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559810" cy="885825"/>
                  <wp:effectExtent l="0" t="0" r="6350" b="13335"/>
                  <wp:docPr id="48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36" descr="IMG_256"/>
                          <pic:cNvPicPr>
                            <a:picLocks noChangeAspect="1"/>
                          </pic:cNvPicPr>
                        </pic:nvPicPr>
                        <pic:blipFill>
                          <a:blip r:embed="rId46"/>
                          <a:stretch>
                            <a:fillRect/>
                          </a:stretch>
                        </pic:blipFill>
                        <pic:spPr>
                          <a:xfrm>
                            <a:off x="0" y="0"/>
                            <a:ext cx="3559810" cy="88582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60EC86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已修改项目特征。</w:t>
      </w:r>
    </w:p>
    <w:p w14:paraId="75E60E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四十八、硬质铺装清单中迎宾景墙中1石材墙面图纸为干挂，2厚拉丝不锈钢漏项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56"/>
      </w:tblGrid>
      <w:tr w14:paraId="06CE7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2" w:hRule="atLeast"/>
        </w:trPr>
        <w:tc>
          <w:tcPr>
            <w:tcW w:w="1845" w:type="dxa"/>
            <w:tcBorders>
              <w:top w:val="nil"/>
              <w:left w:val="nil"/>
              <w:bottom w:val="nil"/>
              <w:right w:val="nil"/>
            </w:tcBorders>
            <w:noWrap/>
            <w:vAlign w:val="bottom"/>
          </w:tcPr>
          <w:p w14:paraId="1A3D2000">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"C:\\Users\\ADMINI~1\\AppData\\Local\\Temp\\ksohtml\\clip_cell_image27.png"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fldChar w:fldCharType="end"/>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192780" cy="933450"/>
                  <wp:effectExtent l="0" t="0" r="7620" b="11430"/>
                  <wp:docPr id="48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37" descr="IMG_256"/>
                          <pic:cNvPicPr>
                            <a:picLocks noChangeAspect="1"/>
                          </pic:cNvPicPr>
                        </pic:nvPicPr>
                        <pic:blipFill>
                          <a:blip r:embed="rId47"/>
                          <a:stretch>
                            <a:fillRect/>
                          </a:stretch>
                        </pic:blipFill>
                        <pic:spPr>
                          <a:xfrm>
                            <a:off x="0" y="0"/>
                            <a:ext cx="3192780" cy="933450"/>
                          </a:xfrm>
                          <a:prstGeom prst="rect">
                            <a:avLst/>
                          </a:prstGeom>
                          <a:noFill/>
                          <a:ln>
                            <a:noFill/>
                          </a:ln>
                        </pic:spPr>
                      </pic:pic>
                    </a:graphicData>
                  </a:graphic>
                </wp:inline>
              </w:drawing>
            </w:r>
          </w:p>
        </w:tc>
      </w:tr>
    </w:tbl>
    <w:p w14:paraId="6B20B4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2厚拉丝不锈钢已在迎宾景墙第4项304不锈钢封边中列项。</w:t>
      </w:r>
    </w:p>
    <w:p w14:paraId="516FCD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四十九、硬质铺装清单中拖把池13.6中荔枝面花岗岩收边漏项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4"/>
      </w:tblGrid>
      <w:tr w14:paraId="60FB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1845" w:type="dxa"/>
            <w:tcBorders>
              <w:top w:val="nil"/>
              <w:left w:val="nil"/>
              <w:bottom w:val="nil"/>
              <w:right w:val="nil"/>
            </w:tcBorders>
            <w:noWrap/>
            <w:vAlign w:val="bottom"/>
          </w:tcPr>
          <w:p w14:paraId="1EB5B89E">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"C:\\Users\\ADMINI~1\\AppData\\Local\\Temp\\ksohtml\\clip_cell_image43.png"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171575" cy="561975"/>
                  <wp:effectExtent l="0" t="0" r="1905" b="1905"/>
                  <wp:docPr id="48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38" descr="IMG_256"/>
                          <pic:cNvPicPr>
                            <a:picLocks noChangeAspect="1"/>
                          </pic:cNvPicPr>
                        </pic:nvPicPr>
                        <pic:blipFill>
                          <a:blip r:embed="rId48"/>
                          <a:stretch>
                            <a:fillRect/>
                          </a:stretch>
                        </pic:blipFill>
                        <pic:spPr>
                          <a:xfrm>
                            <a:off x="0" y="0"/>
                            <a:ext cx="1171575" cy="5619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3041B5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FF0000"/>
          <w:sz w:val="24"/>
          <w:szCs w:val="24"/>
          <w:highlight w:val="none"/>
          <w:lang w:val="en-US" w:eastAsia="zh-CN"/>
        </w:rPr>
      </w:pPr>
      <w:r>
        <w:rPr>
          <w:rFonts w:hint="eastAsia" w:ascii="宋体" w:hAnsi="宋体" w:eastAsia="宋体" w:cs="宋体"/>
          <w:b/>
          <w:bCs/>
          <w:color w:val="FF0000"/>
          <w:sz w:val="24"/>
          <w:szCs w:val="24"/>
          <w:highlight w:val="none"/>
          <w:lang w:val="en-US" w:eastAsia="zh-CN"/>
        </w:rPr>
        <w:t>答复：</w:t>
      </w:r>
      <w:r>
        <w:rPr>
          <w:rFonts w:hint="eastAsia" w:ascii="宋体" w:hAnsi="宋体" w:eastAsia="宋体" w:cs="宋体"/>
          <w:color w:val="FF0000"/>
          <w:sz w:val="24"/>
          <w:szCs w:val="24"/>
          <w:highlight w:val="none"/>
          <w:lang w:eastAsia="zh-CN"/>
        </w:rPr>
        <w:t>清单中按</w:t>
      </w:r>
      <w:r>
        <w:rPr>
          <w:rFonts w:hint="eastAsia" w:ascii="宋体" w:hAnsi="宋体" w:eastAsia="宋体" w:cs="宋体"/>
          <w:color w:val="FF0000"/>
          <w:sz w:val="24"/>
          <w:szCs w:val="24"/>
          <w:highlight w:val="none"/>
          <w:lang w:val="en-US" w:eastAsia="zh-CN"/>
        </w:rPr>
        <w:t>600*300*18烧面福鼎黑考虑，现扣除此部分1.50m2，增列200*600*100芝麻灰荔枝面收边</w:t>
      </w:r>
    </w:p>
    <w:p w14:paraId="4E6F04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五十、</w:t>
      </w:r>
      <w:r>
        <w:rPr>
          <w:rFonts w:hint="eastAsia" w:ascii="宋体" w:hAnsi="宋体" w:eastAsia="宋体" w:cs="宋体"/>
          <w:color w:val="auto"/>
          <w:sz w:val="24"/>
          <w:szCs w:val="24"/>
          <w:highlight w:val="none"/>
          <w:lang w:val="en-US" w:eastAsia="zh-CN"/>
        </w:rPr>
        <w:t>硬质铺装清单中14西大门钢筋混凝土结构是否在本次招标范围内，如在需补充图纸，且清单漏项</w:t>
      </w:r>
    </w:p>
    <w:p w14:paraId="421359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不在本次招标范围内，需二次深化</w:t>
      </w:r>
    </w:p>
    <w:p w14:paraId="335033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五十一、硬质铺装清单中14.1装饰柱整体漏项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520"/>
      </w:tblGrid>
      <w:tr w14:paraId="365BA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4" w:hRule="atLeast"/>
        </w:trPr>
        <w:tc>
          <w:tcPr>
            <w:tcW w:w="1845" w:type="dxa"/>
            <w:tcBorders>
              <w:top w:val="nil"/>
              <w:left w:val="nil"/>
              <w:bottom w:val="nil"/>
              <w:right w:val="nil"/>
            </w:tcBorders>
            <w:noWrap/>
            <w:vAlign w:val="bottom"/>
          </w:tcPr>
          <w:p w14:paraId="343B12FD">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"C:\\Users\\ADMINI~1\\AppData\\Local\\Temp\\ksohtml\\clip_cell_image16.png"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355340" cy="1038225"/>
                  <wp:effectExtent l="0" t="0" r="12700" b="13335"/>
                  <wp:docPr id="48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39" descr="IMG_256"/>
                          <pic:cNvPicPr>
                            <a:picLocks noChangeAspect="1"/>
                          </pic:cNvPicPr>
                        </pic:nvPicPr>
                        <pic:blipFill>
                          <a:blip r:embed="rId49"/>
                          <a:stretch>
                            <a:fillRect/>
                          </a:stretch>
                        </pic:blipFill>
                        <pic:spPr>
                          <a:xfrm>
                            <a:off x="0" y="0"/>
                            <a:ext cx="3355340" cy="103822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00B42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已增加列项</w:t>
      </w:r>
    </w:p>
    <w:p w14:paraId="0B2C4F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五十二、硬质铺装清单中14.9黄金麻干挂石材漏项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92"/>
      </w:tblGrid>
      <w:tr w14:paraId="24DC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845" w:type="dxa"/>
            <w:tcBorders>
              <w:top w:val="nil"/>
              <w:left w:val="nil"/>
              <w:bottom w:val="nil"/>
              <w:right w:val="nil"/>
            </w:tcBorders>
            <w:noWrap/>
            <w:vAlign w:val="bottom"/>
          </w:tcPr>
          <w:p w14:paraId="7298DC6D">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"C:\\Users\\ADMINI~1\\AppData\\Local\\Temp\\ksohtml\\clip_cell_image21.png"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640330" cy="723900"/>
                  <wp:effectExtent l="0" t="0" r="11430" b="7620"/>
                  <wp:docPr id="49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0" descr="IMG_256"/>
                          <pic:cNvPicPr>
                            <a:picLocks noChangeAspect="1"/>
                          </pic:cNvPicPr>
                        </pic:nvPicPr>
                        <pic:blipFill>
                          <a:blip r:embed="rId50"/>
                          <a:stretch>
                            <a:fillRect/>
                          </a:stretch>
                        </pic:blipFill>
                        <pic:spPr>
                          <a:xfrm>
                            <a:off x="0" y="0"/>
                            <a:ext cx="2640330" cy="72390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100470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已增加列项</w:t>
      </w:r>
    </w:p>
    <w:p w14:paraId="74B531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五十三、硬质铺装清单中14.15吊顶图纸为3厚铝板</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16"/>
      </w:tblGrid>
      <w:tr w14:paraId="42F6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1845" w:type="dxa"/>
            <w:tcBorders>
              <w:top w:val="nil"/>
              <w:left w:val="nil"/>
              <w:bottom w:val="nil"/>
              <w:right w:val="nil"/>
            </w:tcBorders>
            <w:noWrap/>
            <w:vAlign w:val="bottom"/>
          </w:tcPr>
          <w:p w14:paraId="2DFBB312">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"C:\\Users\\ADMINI~1\\AppData\\Local\\Temp\\ksohtml\\clip_cell_image18.png"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3040380" cy="852805"/>
                  <wp:effectExtent l="0" t="0" r="7620" b="635"/>
                  <wp:docPr id="49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1" descr="IMG_256"/>
                          <pic:cNvPicPr>
                            <a:picLocks noChangeAspect="1"/>
                          </pic:cNvPicPr>
                        </pic:nvPicPr>
                        <pic:blipFill>
                          <a:blip r:embed="rId51"/>
                          <a:stretch>
                            <a:fillRect/>
                          </a:stretch>
                        </pic:blipFill>
                        <pic:spPr>
                          <a:xfrm>
                            <a:off x="0" y="0"/>
                            <a:ext cx="3040380" cy="85280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76AB50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已修改项目特征</w:t>
      </w:r>
    </w:p>
    <w:p w14:paraId="64B107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五十四、硬质铺装清单中14.16工程量为285.58m2</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4"/>
      </w:tblGrid>
      <w:tr w14:paraId="650F5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3" w:hRule="atLeast"/>
        </w:trPr>
        <w:tc>
          <w:tcPr>
            <w:tcW w:w="1845" w:type="dxa"/>
            <w:tcBorders>
              <w:top w:val="nil"/>
              <w:left w:val="nil"/>
              <w:bottom w:val="nil"/>
              <w:right w:val="nil"/>
            </w:tcBorders>
            <w:noWrap/>
            <w:vAlign w:val="bottom"/>
          </w:tcPr>
          <w:p w14:paraId="295B8E5A">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"C:\\Users\\ADMINI~1\\AppData\\Local\\Temp\\ksohtml\\clip_cell_image19.png"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171575" cy="952500"/>
                  <wp:effectExtent l="0" t="0" r="1905" b="7620"/>
                  <wp:docPr id="49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2" descr="IMG_256"/>
                          <pic:cNvPicPr>
                            <a:picLocks noChangeAspect="1"/>
                          </pic:cNvPicPr>
                        </pic:nvPicPr>
                        <pic:blipFill>
                          <a:blip r:embed="rId52"/>
                          <a:stretch>
                            <a:fillRect/>
                          </a:stretch>
                        </pic:blipFill>
                        <pic:spPr>
                          <a:xfrm>
                            <a:off x="0" y="0"/>
                            <a:ext cx="1171575" cy="952500"/>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47142F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已修改工程量</w:t>
      </w:r>
    </w:p>
    <w:p w14:paraId="7E953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五十五、硬质铺装清单中14.18图纸为3厚铝板</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4"/>
      </w:tblGrid>
      <w:tr w14:paraId="71A67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1845" w:type="dxa"/>
            <w:tcBorders>
              <w:top w:val="nil"/>
              <w:left w:val="nil"/>
              <w:bottom w:val="nil"/>
              <w:right w:val="nil"/>
            </w:tcBorders>
            <w:noWrap/>
            <w:vAlign w:val="bottom"/>
          </w:tcPr>
          <w:p w14:paraId="751F6D1E">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"C:\\Users\\ADMINI~1\\AppData\\Local\\Temp\\ksohtml\\clip_cell_image17.png"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171575" cy="714375"/>
                  <wp:effectExtent l="0" t="0" r="1905" b="1905"/>
                  <wp:docPr id="49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3" descr="IMG_256"/>
                          <pic:cNvPicPr>
                            <a:picLocks noChangeAspect="1"/>
                          </pic:cNvPicPr>
                        </pic:nvPicPr>
                        <pic:blipFill>
                          <a:blip r:embed="rId53"/>
                          <a:stretch>
                            <a:fillRect/>
                          </a:stretch>
                        </pic:blipFill>
                        <pic:spPr>
                          <a:xfrm>
                            <a:off x="0" y="0"/>
                            <a:ext cx="1171575" cy="7143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282783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已修改项目特征</w:t>
      </w:r>
    </w:p>
    <w:p w14:paraId="6D25DE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五十六、硬质铺装清单中14.22中图纸为6+6及8+8夹胶玻璃</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4"/>
      </w:tblGrid>
      <w:tr w14:paraId="6E66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1845" w:type="dxa"/>
            <w:tcBorders>
              <w:top w:val="nil"/>
              <w:left w:val="nil"/>
              <w:bottom w:val="nil"/>
              <w:right w:val="nil"/>
            </w:tcBorders>
            <w:noWrap/>
            <w:vAlign w:val="bottom"/>
          </w:tcPr>
          <w:p w14:paraId="06CF7508">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"C:\\Users\\ADMINI~1\\AppData\\Local\\Temp\\ksohtml\\clip_cell_image20.png"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171575" cy="809625"/>
                  <wp:effectExtent l="0" t="0" r="1905" b="13335"/>
                  <wp:docPr id="49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4" descr="IMG_256"/>
                          <pic:cNvPicPr>
                            <a:picLocks noChangeAspect="1"/>
                          </pic:cNvPicPr>
                        </pic:nvPicPr>
                        <pic:blipFill>
                          <a:blip r:embed="rId54"/>
                          <a:stretch>
                            <a:fillRect/>
                          </a:stretch>
                        </pic:blipFill>
                        <pic:spPr>
                          <a:xfrm>
                            <a:off x="0" y="0"/>
                            <a:ext cx="1171575" cy="80962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5EDC87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color w:val="FF0000"/>
          <w:sz w:val="24"/>
          <w:szCs w:val="24"/>
          <w:highlight w:val="none"/>
          <w:lang w:val="en-US" w:eastAsia="zh"/>
        </w:rPr>
        <w:t>已修改项目特征</w:t>
      </w:r>
    </w:p>
    <w:p w14:paraId="2B092E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五十七、硬质铺装清单中14.24中大门基础漏项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4"/>
      </w:tblGrid>
      <w:tr w14:paraId="42840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5" w:hRule="atLeast"/>
        </w:trPr>
        <w:tc>
          <w:tcPr>
            <w:tcW w:w="1845" w:type="dxa"/>
            <w:tcBorders>
              <w:top w:val="nil"/>
              <w:left w:val="nil"/>
              <w:bottom w:val="nil"/>
              <w:right w:val="nil"/>
            </w:tcBorders>
            <w:noWrap/>
            <w:vAlign w:val="bottom"/>
          </w:tcPr>
          <w:p w14:paraId="147264E1">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"C:\\Users\\ADMINI~1\\AppData\\Local\\Temp\\ksohtml\\clip_cell_image22.png"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162050" cy="904875"/>
                  <wp:effectExtent l="0" t="0" r="11430" b="9525"/>
                  <wp:docPr id="49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5" descr="IMG_256"/>
                          <pic:cNvPicPr>
                            <a:picLocks noChangeAspect="1"/>
                          </pic:cNvPicPr>
                        </pic:nvPicPr>
                        <pic:blipFill>
                          <a:blip r:embed="rId55"/>
                          <a:stretch>
                            <a:fillRect/>
                          </a:stretch>
                        </pic:blipFill>
                        <pic:spPr>
                          <a:xfrm>
                            <a:off x="0" y="0"/>
                            <a:ext cx="1162050" cy="9048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620901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答复：</w:t>
      </w:r>
      <w:r>
        <w:rPr>
          <w:rFonts w:hint="eastAsia" w:ascii="宋体" w:hAnsi="宋体" w:eastAsia="宋体" w:cs="宋体"/>
          <w:b w:val="0"/>
          <w:bCs w:val="0"/>
          <w:color w:val="FF0000"/>
          <w:sz w:val="24"/>
          <w:szCs w:val="24"/>
          <w:highlight w:val="none"/>
          <w:lang w:val="en-US" w:eastAsia="zh"/>
        </w:rPr>
        <w:t>已增加列项</w:t>
      </w:r>
    </w:p>
    <w:p w14:paraId="204457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五十八、硬质铺装清单中14.25大门基础漏项</w:t>
      </w:r>
    </w:p>
    <w:tbl>
      <w:tblPr>
        <w:tblStyle w:val="45"/>
        <w:tblW w:w="18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56"/>
      </w:tblGrid>
      <w:tr w14:paraId="1493B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1845" w:type="dxa"/>
            <w:tcBorders>
              <w:top w:val="nil"/>
              <w:left w:val="nil"/>
              <w:bottom w:val="nil"/>
              <w:right w:val="nil"/>
            </w:tcBorders>
            <w:noWrap/>
            <w:vAlign w:val="bottom"/>
          </w:tcPr>
          <w:p w14:paraId="5400C617">
            <w:pPr>
              <w:keepNext w:val="0"/>
              <w:keepLines w:val="0"/>
              <w:widowControl/>
              <w:suppressLineNumbers w:val="0"/>
              <w:jc w:val="left"/>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fldChar w:fldCharType="begin"/>
            </w:r>
            <w:r>
              <w:rPr>
                <w:rFonts w:hint="eastAsia" w:ascii="宋体" w:hAnsi="宋体" w:eastAsia="宋体" w:cs="宋体"/>
                <w:i w:val="0"/>
                <w:iCs w:val="0"/>
                <w:color w:val="auto"/>
                <w:kern w:val="0"/>
                <w:sz w:val="24"/>
                <w:szCs w:val="24"/>
                <w:highlight w:val="none"/>
                <w:u w:val="none"/>
                <w:lang w:val="en-US" w:eastAsia="zh-CN" w:bidi="ar"/>
              </w:rPr>
              <w:instrText xml:space="preserve">INCLUDEPICTURE \d "C:\\Users\\ADMINI~1\\AppData\\Local\\Temp\\ksohtml\\clip_cell_image23.png" \* MERGEFORMATINET </w:instrText>
            </w:r>
            <w:r>
              <w:rPr>
                <w:rFonts w:hint="eastAsia" w:ascii="宋体" w:hAnsi="宋体" w:eastAsia="宋体" w:cs="宋体"/>
                <w:i w:val="0"/>
                <w:iCs w:val="0"/>
                <w:color w:val="auto"/>
                <w:kern w:val="0"/>
                <w:sz w:val="24"/>
                <w:szCs w:val="24"/>
                <w:highlight w:val="none"/>
                <w:u w:val="none"/>
                <w:lang w:val="en-US" w:eastAsia="zh-CN" w:bidi="ar"/>
              </w:rPr>
              <w:fldChar w:fldCharType="separate"/>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2432050" cy="1108075"/>
                  <wp:effectExtent l="0" t="0" r="6350" b="4445"/>
                  <wp:docPr id="49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6" descr="IMG_256"/>
                          <pic:cNvPicPr>
                            <a:picLocks noChangeAspect="1"/>
                          </pic:cNvPicPr>
                        </pic:nvPicPr>
                        <pic:blipFill>
                          <a:blip r:embed="rId56"/>
                          <a:stretch>
                            <a:fillRect/>
                          </a:stretch>
                        </pic:blipFill>
                        <pic:spPr>
                          <a:xfrm>
                            <a:off x="0" y="0"/>
                            <a:ext cx="2432050" cy="1108075"/>
                          </a:xfrm>
                          <a:prstGeom prst="rect">
                            <a:avLst/>
                          </a:prstGeom>
                          <a:noFill/>
                          <a:ln>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fldChar w:fldCharType="end"/>
            </w:r>
          </w:p>
        </w:tc>
      </w:tr>
    </w:tbl>
    <w:p w14:paraId="643086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FF0000"/>
          <w:sz w:val="24"/>
          <w:szCs w:val="24"/>
          <w:highlight w:val="none"/>
          <w:lang w:val="en-US" w:eastAsia="zh"/>
        </w:rPr>
      </w:pPr>
      <w:r>
        <w:rPr>
          <w:rFonts w:hint="eastAsia" w:ascii="宋体" w:hAnsi="宋体" w:eastAsia="宋体" w:cs="宋体"/>
          <w:b w:val="0"/>
          <w:bCs w:val="0"/>
          <w:color w:val="FF0000"/>
          <w:sz w:val="24"/>
          <w:szCs w:val="24"/>
          <w:highlight w:val="none"/>
          <w:lang w:val="en-US" w:eastAsia="zh-CN"/>
        </w:rPr>
        <w:t>答复：</w:t>
      </w:r>
      <w:r>
        <w:rPr>
          <w:rFonts w:hint="eastAsia" w:ascii="宋体" w:hAnsi="宋体" w:eastAsia="宋体" w:cs="宋体"/>
          <w:b w:val="0"/>
          <w:bCs w:val="0"/>
          <w:color w:val="FF0000"/>
          <w:sz w:val="24"/>
          <w:szCs w:val="24"/>
          <w:highlight w:val="none"/>
          <w:lang w:val="en-US" w:eastAsia="zh"/>
        </w:rPr>
        <w:t>已增加列项</w:t>
      </w:r>
    </w:p>
    <w:p w14:paraId="658E81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4"/>
          <w:szCs w:val="24"/>
          <w:highlight w:val="none"/>
          <w:lang w:val="en-US" w:eastAsia="zh-CN"/>
        </w:rPr>
      </w:pPr>
    </w:p>
    <w:p w14:paraId="4DCCA4D5">
      <w:pPr>
        <w:tabs>
          <w:tab w:val="left" w:pos="0"/>
        </w:tabs>
        <w:ind w:left="15" w:hanging="16" w:hangingChars="7"/>
        <w:rPr>
          <w:rFonts w:ascii="宋体" w:hAnsi="宋体" w:eastAsia="宋体" w:cs="宋体"/>
          <w:color w:val="auto"/>
          <w:highlight w:val="none"/>
        </w:rPr>
      </w:pPr>
    </w:p>
    <w:p w14:paraId="126568FB">
      <w:pPr>
        <w:pStyle w:val="2"/>
        <w:rPr>
          <w:rFonts w:hAnsi="宋体" w:cs="宋体"/>
          <w:bCs/>
          <w:color w:val="auto"/>
          <w:szCs w:val="24"/>
          <w:highlight w:val="none"/>
        </w:rPr>
      </w:pPr>
    </w:p>
    <w:p w14:paraId="22807C62">
      <w:pPr>
        <w:pStyle w:val="2"/>
        <w:rPr>
          <w:rFonts w:hAnsi="宋体" w:cs="宋体"/>
          <w:bCs/>
          <w:color w:val="auto"/>
          <w:szCs w:val="24"/>
          <w:highlight w:val="none"/>
        </w:rPr>
      </w:pPr>
    </w:p>
    <w:p w14:paraId="287458F6">
      <w:pPr>
        <w:pStyle w:val="2"/>
        <w:rPr>
          <w:rFonts w:hAnsi="宋体" w:cs="宋体"/>
          <w:bCs/>
          <w:color w:val="auto"/>
          <w:szCs w:val="24"/>
          <w:highlight w:val="none"/>
        </w:rPr>
      </w:pPr>
    </w:p>
    <w:p w14:paraId="71242699">
      <w:pPr>
        <w:pStyle w:val="2"/>
        <w:rPr>
          <w:rFonts w:hAnsi="宋体" w:cs="宋体"/>
          <w:bCs/>
          <w:color w:val="auto"/>
          <w:szCs w:val="24"/>
          <w:highlight w:val="none"/>
        </w:rPr>
      </w:pPr>
    </w:p>
    <w:p w14:paraId="45F49C6E">
      <w:pPr>
        <w:pStyle w:val="2"/>
        <w:rPr>
          <w:rFonts w:hAnsi="宋体" w:cs="宋体"/>
          <w:bCs/>
          <w:color w:val="auto"/>
          <w:szCs w:val="24"/>
          <w:highlight w:val="none"/>
        </w:rPr>
      </w:pPr>
    </w:p>
    <w:p w14:paraId="78BAFF92">
      <w:pPr>
        <w:pStyle w:val="2"/>
        <w:rPr>
          <w:rFonts w:hAnsi="宋体" w:cs="宋体"/>
          <w:bCs/>
          <w:color w:val="auto"/>
          <w:szCs w:val="24"/>
          <w:highlight w:val="none"/>
        </w:rPr>
      </w:pPr>
    </w:p>
    <w:p w14:paraId="4A23A6EB">
      <w:pPr>
        <w:pStyle w:val="2"/>
        <w:rPr>
          <w:rFonts w:hAnsi="宋体" w:cs="宋体"/>
          <w:bCs/>
          <w:color w:val="auto"/>
          <w:szCs w:val="24"/>
          <w:highlight w:val="none"/>
        </w:rPr>
      </w:pPr>
    </w:p>
    <w:p w14:paraId="40256F12">
      <w:pPr>
        <w:pStyle w:val="2"/>
        <w:rPr>
          <w:rFonts w:hAnsi="宋体" w:cs="宋体"/>
          <w:bCs/>
          <w:color w:val="auto"/>
          <w:szCs w:val="24"/>
          <w:highlight w:val="none"/>
        </w:rPr>
      </w:pPr>
    </w:p>
    <w:p w14:paraId="23981A23">
      <w:pPr>
        <w:pStyle w:val="2"/>
        <w:rPr>
          <w:rFonts w:hAnsi="宋体" w:cs="宋体"/>
          <w:bCs/>
          <w:color w:val="auto"/>
          <w:szCs w:val="24"/>
          <w:highlight w:val="none"/>
        </w:rPr>
      </w:pPr>
    </w:p>
    <w:p w14:paraId="0985F890">
      <w:pPr>
        <w:pStyle w:val="2"/>
        <w:rPr>
          <w:rFonts w:hAnsi="宋体" w:cs="宋体"/>
          <w:bCs/>
          <w:color w:val="auto"/>
          <w:szCs w:val="24"/>
          <w:highlight w:val="none"/>
        </w:rPr>
      </w:pPr>
    </w:p>
    <w:p w14:paraId="4BF4BF49">
      <w:pPr>
        <w:pStyle w:val="2"/>
        <w:rPr>
          <w:rFonts w:hAnsi="宋体" w:cs="宋体"/>
          <w:bCs/>
          <w:color w:val="auto"/>
          <w:szCs w:val="24"/>
          <w:highlight w:val="none"/>
        </w:rPr>
      </w:pPr>
    </w:p>
    <w:p w14:paraId="4440E41D">
      <w:pPr>
        <w:pStyle w:val="2"/>
        <w:rPr>
          <w:rFonts w:hAnsi="宋体" w:cs="宋体"/>
          <w:bCs/>
          <w:color w:val="auto"/>
          <w:szCs w:val="24"/>
          <w:highlight w:val="none"/>
        </w:rPr>
      </w:pPr>
    </w:p>
    <w:p w14:paraId="3B68E15A">
      <w:pPr>
        <w:pStyle w:val="17"/>
        <w:numPr>
          <w:ilvl w:val="-1"/>
          <w:numId w:val="0"/>
        </w:numPr>
        <w:ind w:right="410" w:rightChars="171" w:firstLine="0" w:firstLineChars="0"/>
        <w:rPr>
          <w:rFonts w:hAnsi="宋体" w:cs="宋体"/>
          <w:bCs/>
          <w:color w:val="auto"/>
          <w:szCs w:val="24"/>
          <w:highlight w:val="none"/>
        </w:rPr>
      </w:pPr>
      <w:r>
        <w:rPr>
          <w:rFonts w:hint="eastAsia" w:ascii="宋体" w:hAnsi="宋体" w:cs="宋体"/>
          <w:color w:val="auto"/>
          <w:sz w:val="24"/>
          <w:szCs w:val="24"/>
          <w:highlight w:val="none"/>
        </w:rPr>
        <w:t>附件</w:t>
      </w:r>
      <w:r>
        <w:rPr>
          <w:rFonts w:hint="eastAsia" w:ascii="宋体" w:hAnsi="宋体" w:cs="宋体"/>
          <w:color w:val="auto"/>
          <w:sz w:val="24"/>
          <w:szCs w:val="24"/>
          <w:highlight w:val="none"/>
          <w:lang w:eastAsia="zh-CN"/>
        </w:rPr>
        <w:t>四</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lang w:eastAsia="zh-CN"/>
        </w:rPr>
        <w:t>现场管理人员名单</w:t>
      </w:r>
    </w:p>
    <w:p w14:paraId="150EDB75">
      <w:pPr>
        <w:pStyle w:val="2"/>
        <w:rPr>
          <w:rFonts w:hAnsi="宋体" w:cs="宋体"/>
          <w:bCs/>
          <w:color w:val="auto"/>
          <w:szCs w:val="24"/>
          <w:highlight w:val="none"/>
        </w:rPr>
      </w:pPr>
    </w:p>
    <w:p w14:paraId="49DAEF3E">
      <w:pPr>
        <w:pStyle w:val="2"/>
        <w:rPr>
          <w:rFonts w:hAnsi="宋体" w:cs="宋体"/>
          <w:bCs/>
          <w:color w:val="auto"/>
          <w:szCs w:val="24"/>
          <w:highlight w:val="none"/>
        </w:rPr>
      </w:pPr>
    </w:p>
    <w:p w14:paraId="535D06A5">
      <w:pPr>
        <w:pStyle w:val="2"/>
        <w:rPr>
          <w:rFonts w:hAnsi="宋体" w:cs="宋体"/>
          <w:bCs/>
          <w:color w:val="auto"/>
          <w:szCs w:val="24"/>
          <w:highlight w:val="none"/>
        </w:rPr>
      </w:pPr>
    </w:p>
    <w:p w14:paraId="645A47CE">
      <w:pPr>
        <w:pStyle w:val="2"/>
        <w:rPr>
          <w:rFonts w:hAnsi="宋体" w:cs="宋体"/>
          <w:bCs/>
          <w:color w:val="auto"/>
          <w:szCs w:val="24"/>
          <w:highlight w:val="none"/>
        </w:rPr>
      </w:pPr>
    </w:p>
    <w:p w14:paraId="47033A27">
      <w:pPr>
        <w:pStyle w:val="2"/>
        <w:rPr>
          <w:rFonts w:hAnsi="宋体" w:cs="宋体"/>
          <w:bCs/>
          <w:color w:val="auto"/>
          <w:szCs w:val="24"/>
          <w:highlight w:val="none"/>
        </w:rPr>
      </w:pPr>
    </w:p>
    <w:tbl>
      <w:tblPr>
        <w:tblStyle w:val="45"/>
        <w:tblpPr w:leftFromText="180" w:rightFromText="180" w:vertAnchor="page" w:horzAnchor="page" w:tblpX="1282" w:tblpY="2313"/>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76"/>
        <w:gridCol w:w="1204"/>
        <w:gridCol w:w="1470"/>
        <w:gridCol w:w="1200"/>
        <w:gridCol w:w="1574"/>
        <w:gridCol w:w="1923"/>
      </w:tblGrid>
      <w:tr w14:paraId="62B7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07264110">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1AAEBF71">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专业</w:t>
            </w:r>
          </w:p>
        </w:tc>
        <w:tc>
          <w:tcPr>
            <w:tcW w:w="1204" w:type="dxa"/>
            <w:tcBorders>
              <w:top w:val="single" w:color="auto" w:sz="4" w:space="0"/>
              <w:left w:val="single" w:color="auto" w:sz="4" w:space="0"/>
              <w:bottom w:val="single" w:color="auto" w:sz="4" w:space="0"/>
              <w:right w:val="single" w:color="auto" w:sz="4" w:space="0"/>
            </w:tcBorders>
            <w:vAlign w:val="center"/>
          </w:tcPr>
          <w:p w14:paraId="199F168A">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姓名</w:t>
            </w:r>
          </w:p>
        </w:tc>
        <w:tc>
          <w:tcPr>
            <w:tcW w:w="1470" w:type="dxa"/>
            <w:tcBorders>
              <w:top w:val="single" w:color="auto" w:sz="4" w:space="0"/>
              <w:left w:val="single" w:color="auto" w:sz="4" w:space="0"/>
              <w:bottom w:val="single" w:color="auto" w:sz="4" w:space="0"/>
              <w:right w:val="single" w:color="auto" w:sz="4" w:space="0"/>
            </w:tcBorders>
            <w:vAlign w:val="center"/>
          </w:tcPr>
          <w:p w14:paraId="109AD814">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职称</w:t>
            </w:r>
          </w:p>
        </w:tc>
        <w:tc>
          <w:tcPr>
            <w:tcW w:w="1200" w:type="dxa"/>
            <w:tcBorders>
              <w:top w:val="single" w:color="auto" w:sz="4" w:space="0"/>
              <w:left w:val="single" w:color="auto" w:sz="4" w:space="0"/>
              <w:bottom w:val="single" w:color="auto" w:sz="4" w:space="0"/>
              <w:right w:val="single" w:color="auto" w:sz="4" w:space="0"/>
            </w:tcBorders>
            <w:vAlign w:val="center"/>
          </w:tcPr>
          <w:p w14:paraId="3A7D350F">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学历</w:t>
            </w:r>
          </w:p>
        </w:tc>
        <w:tc>
          <w:tcPr>
            <w:tcW w:w="1574" w:type="dxa"/>
            <w:tcBorders>
              <w:top w:val="single" w:color="auto" w:sz="4" w:space="0"/>
              <w:left w:val="single" w:color="auto" w:sz="4" w:space="0"/>
              <w:bottom w:val="single" w:color="auto" w:sz="4" w:space="0"/>
              <w:right w:val="single" w:color="auto" w:sz="4" w:space="0"/>
            </w:tcBorders>
            <w:vAlign w:val="center"/>
          </w:tcPr>
          <w:p w14:paraId="7ED29DA1">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工作年限</w:t>
            </w:r>
          </w:p>
        </w:tc>
        <w:tc>
          <w:tcPr>
            <w:tcW w:w="1923" w:type="dxa"/>
            <w:tcBorders>
              <w:top w:val="single" w:color="auto" w:sz="4" w:space="0"/>
              <w:left w:val="single" w:color="auto" w:sz="4" w:space="0"/>
              <w:bottom w:val="single" w:color="auto" w:sz="4" w:space="0"/>
              <w:right w:val="single" w:color="auto" w:sz="4" w:space="0"/>
            </w:tcBorders>
            <w:vAlign w:val="center"/>
          </w:tcPr>
          <w:p w14:paraId="079FD0B6">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拟担任本</w:t>
            </w:r>
          </w:p>
          <w:p w14:paraId="04990605">
            <w:pPr>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工程的职务</w:t>
            </w:r>
          </w:p>
        </w:tc>
      </w:tr>
      <w:tr w14:paraId="5B12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6572BA0A">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1</w:t>
            </w:r>
          </w:p>
        </w:tc>
        <w:tc>
          <w:tcPr>
            <w:tcW w:w="1276" w:type="dxa"/>
            <w:tcBorders>
              <w:top w:val="single" w:color="auto" w:sz="4" w:space="0"/>
              <w:left w:val="single" w:color="auto" w:sz="4" w:space="0"/>
              <w:bottom w:val="single" w:color="auto" w:sz="4" w:space="0"/>
              <w:right w:val="single" w:color="auto" w:sz="4" w:space="0"/>
            </w:tcBorders>
            <w:vAlign w:val="center"/>
          </w:tcPr>
          <w:p w14:paraId="6CD17A64">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市政工程</w:t>
            </w:r>
          </w:p>
        </w:tc>
        <w:tc>
          <w:tcPr>
            <w:tcW w:w="1204" w:type="dxa"/>
            <w:tcBorders>
              <w:top w:val="single" w:color="auto" w:sz="4" w:space="0"/>
              <w:left w:val="single" w:color="auto" w:sz="4" w:space="0"/>
              <w:bottom w:val="single" w:color="auto" w:sz="4" w:space="0"/>
              <w:right w:val="single" w:color="auto" w:sz="4" w:space="0"/>
            </w:tcBorders>
            <w:vAlign w:val="center"/>
          </w:tcPr>
          <w:p w14:paraId="3F8EF3E8">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张昆</w:t>
            </w:r>
          </w:p>
        </w:tc>
        <w:tc>
          <w:tcPr>
            <w:tcW w:w="1470" w:type="dxa"/>
            <w:tcBorders>
              <w:top w:val="single" w:color="auto" w:sz="4" w:space="0"/>
              <w:left w:val="single" w:color="auto" w:sz="4" w:space="0"/>
              <w:bottom w:val="single" w:color="auto" w:sz="4" w:space="0"/>
              <w:right w:val="single" w:color="auto" w:sz="4" w:space="0"/>
            </w:tcBorders>
            <w:vAlign w:val="center"/>
          </w:tcPr>
          <w:p w14:paraId="725227CD">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工程师</w:t>
            </w:r>
          </w:p>
        </w:tc>
        <w:tc>
          <w:tcPr>
            <w:tcW w:w="1200" w:type="dxa"/>
            <w:tcBorders>
              <w:top w:val="single" w:color="auto" w:sz="4" w:space="0"/>
              <w:left w:val="single" w:color="auto" w:sz="4" w:space="0"/>
              <w:bottom w:val="single" w:color="auto" w:sz="4" w:space="0"/>
              <w:right w:val="single" w:color="auto" w:sz="4" w:space="0"/>
            </w:tcBorders>
            <w:vAlign w:val="center"/>
          </w:tcPr>
          <w:p w14:paraId="43EA4135">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本科</w:t>
            </w:r>
          </w:p>
        </w:tc>
        <w:tc>
          <w:tcPr>
            <w:tcW w:w="1574" w:type="dxa"/>
            <w:tcBorders>
              <w:top w:val="single" w:color="auto" w:sz="4" w:space="0"/>
              <w:left w:val="single" w:color="auto" w:sz="4" w:space="0"/>
              <w:bottom w:val="single" w:color="auto" w:sz="4" w:space="0"/>
              <w:right w:val="single" w:color="auto" w:sz="4" w:space="0"/>
            </w:tcBorders>
            <w:vAlign w:val="center"/>
          </w:tcPr>
          <w:p w14:paraId="32A0FD51">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15年</w:t>
            </w:r>
          </w:p>
        </w:tc>
        <w:tc>
          <w:tcPr>
            <w:tcW w:w="1923" w:type="dxa"/>
            <w:tcBorders>
              <w:top w:val="single" w:color="auto" w:sz="4" w:space="0"/>
              <w:left w:val="single" w:color="auto" w:sz="4" w:space="0"/>
              <w:bottom w:val="single" w:color="auto" w:sz="4" w:space="0"/>
              <w:right w:val="single" w:color="auto" w:sz="4" w:space="0"/>
            </w:tcBorders>
            <w:vAlign w:val="center"/>
          </w:tcPr>
          <w:p w14:paraId="01F0EBD6">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项目经理</w:t>
            </w:r>
          </w:p>
        </w:tc>
      </w:tr>
      <w:tr w14:paraId="4DA1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7DADEF00">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2</w:t>
            </w:r>
          </w:p>
        </w:tc>
        <w:tc>
          <w:tcPr>
            <w:tcW w:w="1276" w:type="dxa"/>
            <w:tcBorders>
              <w:top w:val="single" w:color="auto" w:sz="4" w:space="0"/>
              <w:left w:val="single" w:color="auto" w:sz="4" w:space="0"/>
              <w:bottom w:val="single" w:color="auto" w:sz="4" w:space="0"/>
              <w:right w:val="single" w:color="auto" w:sz="4" w:space="0"/>
            </w:tcBorders>
            <w:vAlign w:val="center"/>
          </w:tcPr>
          <w:p w14:paraId="5B13FADB">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园林</w:t>
            </w:r>
          </w:p>
        </w:tc>
        <w:tc>
          <w:tcPr>
            <w:tcW w:w="1204" w:type="dxa"/>
            <w:tcBorders>
              <w:top w:val="single" w:color="auto" w:sz="4" w:space="0"/>
              <w:left w:val="single" w:color="auto" w:sz="4" w:space="0"/>
              <w:bottom w:val="single" w:color="auto" w:sz="4" w:space="0"/>
              <w:right w:val="single" w:color="auto" w:sz="4" w:space="0"/>
            </w:tcBorders>
            <w:vAlign w:val="center"/>
          </w:tcPr>
          <w:p w14:paraId="4AB54A9F">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周军锋</w:t>
            </w:r>
          </w:p>
        </w:tc>
        <w:tc>
          <w:tcPr>
            <w:tcW w:w="1470" w:type="dxa"/>
            <w:tcBorders>
              <w:top w:val="single" w:color="auto" w:sz="4" w:space="0"/>
              <w:left w:val="single" w:color="auto" w:sz="4" w:space="0"/>
              <w:bottom w:val="single" w:color="auto" w:sz="4" w:space="0"/>
              <w:right w:val="single" w:color="auto" w:sz="4" w:space="0"/>
            </w:tcBorders>
            <w:vAlign w:val="center"/>
          </w:tcPr>
          <w:p w14:paraId="356DD536">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助理工程师</w:t>
            </w:r>
          </w:p>
        </w:tc>
        <w:tc>
          <w:tcPr>
            <w:tcW w:w="1200" w:type="dxa"/>
            <w:tcBorders>
              <w:top w:val="single" w:color="auto" w:sz="4" w:space="0"/>
              <w:left w:val="single" w:color="auto" w:sz="4" w:space="0"/>
              <w:bottom w:val="single" w:color="auto" w:sz="4" w:space="0"/>
              <w:right w:val="single" w:color="auto" w:sz="4" w:space="0"/>
            </w:tcBorders>
            <w:vAlign w:val="center"/>
          </w:tcPr>
          <w:p w14:paraId="00F254B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本科</w:t>
            </w:r>
          </w:p>
        </w:tc>
        <w:tc>
          <w:tcPr>
            <w:tcW w:w="1574" w:type="dxa"/>
            <w:tcBorders>
              <w:top w:val="single" w:color="auto" w:sz="4" w:space="0"/>
              <w:left w:val="single" w:color="auto" w:sz="4" w:space="0"/>
              <w:bottom w:val="single" w:color="auto" w:sz="4" w:space="0"/>
              <w:right w:val="single" w:color="auto" w:sz="4" w:space="0"/>
            </w:tcBorders>
            <w:vAlign w:val="center"/>
          </w:tcPr>
          <w:p w14:paraId="368AB55B">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13年</w:t>
            </w:r>
          </w:p>
        </w:tc>
        <w:tc>
          <w:tcPr>
            <w:tcW w:w="1923" w:type="dxa"/>
            <w:tcBorders>
              <w:top w:val="single" w:color="auto" w:sz="4" w:space="0"/>
              <w:left w:val="single" w:color="auto" w:sz="4" w:space="0"/>
              <w:bottom w:val="single" w:color="auto" w:sz="4" w:space="0"/>
              <w:right w:val="single" w:color="auto" w:sz="4" w:space="0"/>
            </w:tcBorders>
            <w:vAlign w:val="center"/>
          </w:tcPr>
          <w:p w14:paraId="73577EC5">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技术负责人</w:t>
            </w:r>
          </w:p>
        </w:tc>
      </w:tr>
      <w:tr w14:paraId="53B3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6F8F1E75">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3</w:t>
            </w:r>
          </w:p>
        </w:tc>
        <w:tc>
          <w:tcPr>
            <w:tcW w:w="1276" w:type="dxa"/>
            <w:tcBorders>
              <w:top w:val="single" w:color="auto" w:sz="4" w:space="0"/>
              <w:left w:val="single" w:color="auto" w:sz="4" w:space="0"/>
              <w:bottom w:val="single" w:color="auto" w:sz="4" w:space="0"/>
              <w:right w:val="single" w:color="auto" w:sz="4" w:space="0"/>
            </w:tcBorders>
            <w:vAlign w:val="center"/>
          </w:tcPr>
          <w:p w14:paraId="4EEEFDF6">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园林技术</w:t>
            </w:r>
          </w:p>
        </w:tc>
        <w:tc>
          <w:tcPr>
            <w:tcW w:w="1204" w:type="dxa"/>
            <w:tcBorders>
              <w:top w:val="single" w:color="auto" w:sz="4" w:space="0"/>
              <w:left w:val="single" w:color="auto" w:sz="4" w:space="0"/>
              <w:bottom w:val="single" w:color="auto" w:sz="4" w:space="0"/>
              <w:right w:val="single" w:color="auto" w:sz="4" w:space="0"/>
            </w:tcBorders>
            <w:vAlign w:val="center"/>
          </w:tcPr>
          <w:p w14:paraId="7CC51C20">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张江伟</w:t>
            </w:r>
          </w:p>
        </w:tc>
        <w:tc>
          <w:tcPr>
            <w:tcW w:w="1470" w:type="dxa"/>
            <w:tcBorders>
              <w:top w:val="single" w:color="auto" w:sz="4" w:space="0"/>
              <w:left w:val="single" w:color="auto" w:sz="4" w:space="0"/>
              <w:bottom w:val="single" w:color="auto" w:sz="4" w:space="0"/>
              <w:right w:val="single" w:color="auto" w:sz="4" w:space="0"/>
            </w:tcBorders>
            <w:vAlign w:val="center"/>
          </w:tcPr>
          <w:p w14:paraId="7D34A358">
            <w:pPr>
              <w:spacing w:line="360" w:lineRule="auto"/>
              <w:jc w:val="center"/>
              <w:rPr>
                <w:rFonts w:hint="eastAsia" w:ascii="宋体" w:hAnsi="宋体" w:eastAsia="宋体" w:cs="宋体"/>
                <w:color w:val="auto"/>
                <w:sz w:val="24"/>
                <w:szCs w:val="24"/>
                <w:highlight w:val="none"/>
              </w:rPr>
            </w:pPr>
            <w:r>
              <w:rPr>
                <w:rFonts w:hint="eastAsia" w:asciiTheme="minorEastAsia" w:hAnsiTheme="minorEastAsia" w:cstheme="minorEastAsia"/>
                <w:color w:val="auto"/>
                <w:sz w:val="24"/>
                <w:szCs w:val="24"/>
                <w:highlight w:val="none"/>
                <w:lang w:val="en-US" w:eastAsia="zh-CN"/>
              </w:rPr>
              <w:t>助理工程师</w:t>
            </w:r>
          </w:p>
        </w:tc>
        <w:tc>
          <w:tcPr>
            <w:tcW w:w="1200" w:type="dxa"/>
            <w:tcBorders>
              <w:top w:val="single" w:color="auto" w:sz="4" w:space="0"/>
              <w:left w:val="single" w:color="auto" w:sz="4" w:space="0"/>
              <w:bottom w:val="single" w:color="auto" w:sz="4" w:space="0"/>
              <w:right w:val="single" w:color="auto" w:sz="4" w:space="0"/>
            </w:tcBorders>
            <w:vAlign w:val="center"/>
          </w:tcPr>
          <w:p w14:paraId="04A0A4F3">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专科</w:t>
            </w:r>
          </w:p>
        </w:tc>
        <w:tc>
          <w:tcPr>
            <w:tcW w:w="1574" w:type="dxa"/>
            <w:tcBorders>
              <w:top w:val="single" w:color="auto" w:sz="4" w:space="0"/>
              <w:left w:val="single" w:color="auto" w:sz="4" w:space="0"/>
              <w:bottom w:val="single" w:color="auto" w:sz="4" w:space="0"/>
              <w:right w:val="single" w:color="auto" w:sz="4" w:space="0"/>
            </w:tcBorders>
            <w:vAlign w:val="center"/>
          </w:tcPr>
          <w:p w14:paraId="6E4FB61A">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16年</w:t>
            </w:r>
          </w:p>
        </w:tc>
        <w:tc>
          <w:tcPr>
            <w:tcW w:w="1923" w:type="dxa"/>
            <w:tcBorders>
              <w:top w:val="single" w:color="auto" w:sz="4" w:space="0"/>
              <w:left w:val="single" w:color="auto" w:sz="4" w:space="0"/>
              <w:bottom w:val="single" w:color="auto" w:sz="4" w:space="0"/>
              <w:right w:val="single" w:color="auto" w:sz="4" w:space="0"/>
            </w:tcBorders>
            <w:vAlign w:val="center"/>
          </w:tcPr>
          <w:p w14:paraId="1884A171">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园建施工员</w:t>
            </w:r>
          </w:p>
        </w:tc>
      </w:tr>
      <w:tr w14:paraId="4286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40BA2BDF">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4</w:t>
            </w:r>
          </w:p>
        </w:tc>
        <w:tc>
          <w:tcPr>
            <w:tcW w:w="1276" w:type="dxa"/>
            <w:tcBorders>
              <w:top w:val="single" w:color="auto" w:sz="4" w:space="0"/>
              <w:left w:val="single" w:color="auto" w:sz="4" w:space="0"/>
              <w:bottom w:val="single" w:color="auto" w:sz="4" w:space="0"/>
              <w:right w:val="single" w:color="auto" w:sz="4" w:space="0"/>
            </w:tcBorders>
            <w:vAlign w:val="center"/>
          </w:tcPr>
          <w:p w14:paraId="07836F15">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园林技术</w:t>
            </w:r>
          </w:p>
        </w:tc>
        <w:tc>
          <w:tcPr>
            <w:tcW w:w="1204" w:type="dxa"/>
            <w:tcBorders>
              <w:top w:val="single" w:color="auto" w:sz="4" w:space="0"/>
              <w:left w:val="single" w:color="auto" w:sz="4" w:space="0"/>
              <w:bottom w:val="single" w:color="auto" w:sz="4" w:space="0"/>
              <w:right w:val="single" w:color="auto" w:sz="4" w:space="0"/>
            </w:tcBorders>
            <w:vAlign w:val="center"/>
          </w:tcPr>
          <w:p w14:paraId="5F4570F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张鑫鑫</w:t>
            </w:r>
          </w:p>
        </w:tc>
        <w:tc>
          <w:tcPr>
            <w:tcW w:w="1470" w:type="dxa"/>
            <w:tcBorders>
              <w:top w:val="single" w:color="auto" w:sz="4" w:space="0"/>
              <w:left w:val="single" w:color="auto" w:sz="4" w:space="0"/>
              <w:bottom w:val="single" w:color="auto" w:sz="4" w:space="0"/>
              <w:right w:val="single" w:color="auto" w:sz="4" w:space="0"/>
            </w:tcBorders>
            <w:vAlign w:val="center"/>
          </w:tcPr>
          <w:p w14:paraId="22F563B7">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485E3B08">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专科</w:t>
            </w:r>
          </w:p>
        </w:tc>
        <w:tc>
          <w:tcPr>
            <w:tcW w:w="1574" w:type="dxa"/>
            <w:tcBorders>
              <w:top w:val="single" w:color="auto" w:sz="4" w:space="0"/>
              <w:left w:val="single" w:color="auto" w:sz="4" w:space="0"/>
              <w:bottom w:val="single" w:color="auto" w:sz="4" w:space="0"/>
              <w:right w:val="single" w:color="auto" w:sz="4" w:space="0"/>
            </w:tcBorders>
            <w:vAlign w:val="center"/>
          </w:tcPr>
          <w:p w14:paraId="3495F4E7">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4年</w:t>
            </w:r>
          </w:p>
        </w:tc>
        <w:tc>
          <w:tcPr>
            <w:tcW w:w="1923" w:type="dxa"/>
            <w:tcBorders>
              <w:top w:val="single" w:color="auto" w:sz="4" w:space="0"/>
              <w:left w:val="single" w:color="auto" w:sz="4" w:space="0"/>
              <w:bottom w:val="single" w:color="auto" w:sz="4" w:space="0"/>
              <w:right w:val="single" w:color="auto" w:sz="4" w:space="0"/>
            </w:tcBorders>
            <w:vAlign w:val="center"/>
          </w:tcPr>
          <w:p w14:paraId="13E3266C">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绿化施工员</w:t>
            </w:r>
          </w:p>
        </w:tc>
      </w:tr>
      <w:tr w14:paraId="463D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64B905FE">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5</w:t>
            </w:r>
          </w:p>
        </w:tc>
        <w:tc>
          <w:tcPr>
            <w:tcW w:w="1276" w:type="dxa"/>
            <w:tcBorders>
              <w:top w:val="single" w:color="auto" w:sz="4" w:space="0"/>
              <w:left w:val="single" w:color="auto" w:sz="4" w:space="0"/>
              <w:bottom w:val="single" w:color="auto" w:sz="4" w:space="0"/>
              <w:right w:val="single" w:color="auto" w:sz="4" w:space="0"/>
            </w:tcBorders>
            <w:vAlign w:val="center"/>
          </w:tcPr>
          <w:p w14:paraId="673E4D1D">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园林</w:t>
            </w:r>
          </w:p>
        </w:tc>
        <w:tc>
          <w:tcPr>
            <w:tcW w:w="1204" w:type="dxa"/>
            <w:tcBorders>
              <w:top w:val="single" w:color="auto" w:sz="4" w:space="0"/>
              <w:left w:val="single" w:color="auto" w:sz="4" w:space="0"/>
              <w:bottom w:val="single" w:color="auto" w:sz="4" w:space="0"/>
              <w:right w:val="single" w:color="auto" w:sz="4" w:space="0"/>
            </w:tcBorders>
            <w:vAlign w:val="center"/>
          </w:tcPr>
          <w:p w14:paraId="5C75125A">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黄锦华</w:t>
            </w:r>
          </w:p>
        </w:tc>
        <w:tc>
          <w:tcPr>
            <w:tcW w:w="1470" w:type="dxa"/>
            <w:tcBorders>
              <w:top w:val="single" w:color="auto" w:sz="4" w:space="0"/>
              <w:left w:val="single" w:color="auto" w:sz="4" w:space="0"/>
              <w:bottom w:val="single" w:color="auto" w:sz="4" w:space="0"/>
              <w:right w:val="single" w:color="auto" w:sz="4" w:space="0"/>
            </w:tcBorders>
            <w:vAlign w:val="center"/>
          </w:tcPr>
          <w:p w14:paraId="3F4BD53E">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67475F5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574" w:type="dxa"/>
            <w:tcBorders>
              <w:top w:val="single" w:color="auto" w:sz="4" w:space="0"/>
              <w:left w:val="single" w:color="auto" w:sz="4" w:space="0"/>
              <w:bottom w:val="single" w:color="auto" w:sz="4" w:space="0"/>
              <w:right w:val="single" w:color="auto" w:sz="4" w:space="0"/>
            </w:tcBorders>
            <w:vAlign w:val="center"/>
          </w:tcPr>
          <w:p w14:paraId="5135DD14">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15年</w:t>
            </w:r>
          </w:p>
        </w:tc>
        <w:tc>
          <w:tcPr>
            <w:tcW w:w="1923" w:type="dxa"/>
            <w:tcBorders>
              <w:top w:val="single" w:color="auto" w:sz="4" w:space="0"/>
              <w:left w:val="single" w:color="auto" w:sz="4" w:space="0"/>
              <w:bottom w:val="single" w:color="auto" w:sz="4" w:space="0"/>
              <w:right w:val="single" w:color="auto" w:sz="4" w:space="0"/>
            </w:tcBorders>
            <w:vAlign w:val="center"/>
          </w:tcPr>
          <w:p w14:paraId="03E5AACC">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水电施工员</w:t>
            </w:r>
          </w:p>
        </w:tc>
      </w:tr>
      <w:tr w14:paraId="531C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58FE1535">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6</w:t>
            </w:r>
          </w:p>
        </w:tc>
        <w:tc>
          <w:tcPr>
            <w:tcW w:w="1276" w:type="dxa"/>
            <w:tcBorders>
              <w:top w:val="single" w:color="auto" w:sz="4" w:space="0"/>
              <w:left w:val="single" w:color="auto" w:sz="4" w:space="0"/>
              <w:bottom w:val="single" w:color="auto" w:sz="4" w:space="0"/>
              <w:right w:val="single" w:color="auto" w:sz="4" w:space="0"/>
            </w:tcBorders>
            <w:vAlign w:val="center"/>
          </w:tcPr>
          <w:p w14:paraId="73575E7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园林</w:t>
            </w:r>
          </w:p>
        </w:tc>
        <w:tc>
          <w:tcPr>
            <w:tcW w:w="1204" w:type="dxa"/>
            <w:tcBorders>
              <w:top w:val="single" w:color="auto" w:sz="4" w:space="0"/>
              <w:left w:val="single" w:color="auto" w:sz="4" w:space="0"/>
              <w:bottom w:val="single" w:color="auto" w:sz="4" w:space="0"/>
              <w:right w:val="single" w:color="auto" w:sz="4" w:space="0"/>
            </w:tcBorders>
            <w:vAlign w:val="center"/>
          </w:tcPr>
          <w:p w14:paraId="6F301FE0">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魏水年</w:t>
            </w:r>
          </w:p>
        </w:tc>
        <w:tc>
          <w:tcPr>
            <w:tcW w:w="1470" w:type="dxa"/>
            <w:tcBorders>
              <w:top w:val="single" w:color="auto" w:sz="4" w:space="0"/>
              <w:left w:val="single" w:color="auto" w:sz="4" w:space="0"/>
              <w:bottom w:val="single" w:color="auto" w:sz="4" w:space="0"/>
              <w:right w:val="single" w:color="auto" w:sz="4" w:space="0"/>
            </w:tcBorders>
            <w:vAlign w:val="center"/>
          </w:tcPr>
          <w:p w14:paraId="006FCEB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4FD120DD">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专科</w:t>
            </w:r>
          </w:p>
        </w:tc>
        <w:tc>
          <w:tcPr>
            <w:tcW w:w="1574" w:type="dxa"/>
            <w:tcBorders>
              <w:top w:val="single" w:color="auto" w:sz="4" w:space="0"/>
              <w:left w:val="single" w:color="auto" w:sz="4" w:space="0"/>
              <w:bottom w:val="single" w:color="auto" w:sz="4" w:space="0"/>
              <w:right w:val="single" w:color="auto" w:sz="4" w:space="0"/>
            </w:tcBorders>
            <w:vAlign w:val="center"/>
          </w:tcPr>
          <w:p w14:paraId="62332BF3">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11年</w:t>
            </w:r>
          </w:p>
        </w:tc>
        <w:tc>
          <w:tcPr>
            <w:tcW w:w="1923" w:type="dxa"/>
            <w:tcBorders>
              <w:top w:val="single" w:color="auto" w:sz="4" w:space="0"/>
              <w:left w:val="single" w:color="auto" w:sz="4" w:space="0"/>
              <w:bottom w:val="single" w:color="auto" w:sz="4" w:space="0"/>
              <w:right w:val="single" w:color="auto" w:sz="4" w:space="0"/>
            </w:tcBorders>
            <w:vAlign w:val="center"/>
          </w:tcPr>
          <w:p w14:paraId="41813EBC">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安全员</w:t>
            </w:r>
          </w:p>
        </w:tc>
      </w:tr>
      <w:tr w14:paraId="67DB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07DE5204">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7</w:t>
            </w:r>
          </w:p>
        </w:tc>
        <w:tc>
          <w:tcPr>
            <w:tcW w:w="1276" w:type="dxa"/>
            <w:tcBorders>
              <w:top w:val="single" w:color="auto" w:sz="4" w:space="0"/>
              <w:left w:val="single" w:color="auto" w:sz="4" w:space="0"/>
              <w:bottom w:val="single" w:color="auto" w:sz="4" w:space="0"/>
              <w:right w:val="single" w:color="auto" w:sz="4" w:space="0"/>
            </w:tcBorders>
            <w:vAlign w:val="center"/>
          </w:tcPr>
          <w:p w14:paraId="778C91F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市政</w:t>
            </w:r>
          </w:p>
        </w:tc>
        <w:tc>
          <w:tcPr>
            <w:tcW w:w="1204" w:type="dxa"/>
            <w:tcBorders>
              <w:top w:val="single" w:color="auto" w:sz="4" w:space="0"/>
              <w:left w:val="single" w:color="auto" w:sz="4" w:space="0"/>
              <w:bottom w:val="single" w:color="auto" w:sz="4" w:space="0"/>
              <w:right w:val="single" w:color="auto" w:sz="4" w:space="0"/>
            </w:tcBorders>
            <w:vAlign w:val="center"/>
          </w:tcPr>
          <w:p w14:paraId="25146E6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罗瑞</w:t>
            </w:r>
          </w:p>
        </w:tc>
        <w:tc>
          <w:tcPr>
            <w:tcW w:w="1470" w:type="dxa"/>
            <w:tcBorders>
              <w:top w:val="single" w:color="auto" w:sz="4" w:space="0"/>
              <w:left w:val="single" w:color="auto" w:sz="4" w:space="0"/>
              <w:bottom w:val="single" w:color="auto" w:sz="4" w:space="0"/>
              <w:right w:val="single" w:color="auto" w:sz="4" w:space="0"/>
            </w:tcBorders>
            <w:vAlign w:val="center"/>
          </w:tcPr>
          <w:p w14:paraId="34F1D63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081F827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专科</w:t>
            </w:r>
          </w:p>
        </w:tc>
        <w:tc>
          <w:tcPr>
            <w:tcW w:w="1574" w:type="dxa"/>
            <w:tcBorders>
              <w:top w:val="single" w:color="auto" w:sz="4" w:space="0"/>
              <w:left w:val="single" w:color="auto" w:sz="4" w:space="0"/>
              <w:bottom w:val="single" w:color="auto" w:sz="4" w:space="0"/>
              <w:right w:val="single" w:color="auto" w:sz="4" w:space="0"/>
            </w:tcBorders>
            <w:vAlign w:val="center"/>
          </w:tcPr>
          <w:p w14:paraId="35E8C9D8">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6年</w:t>
            </w:r>
          </w:p>
        </w:tc>
        <w:tc>
          <w:tcPr>
            <w:tcW w:w="1923" w:type="dxa"/>
            <w:tcBorders>
              <w:top w:val="single" w:color="auto" w:sz="4" w:space="0"/>
              <w:left w:val="single" w:color="auto" w:sz="4" w:space="0"/>
              <w:bottom w:val="single" w:color="auto" w:sz="4" w:space="0"/>
              <w:right w:val="single" w:color="auto" w:sz="4" w:space="0"/>
            </w:tcBorders>
            <w:vAlign w:val="center"/>
          </w:tcPr>
          <w:p w14:paraId="0BD98DB6">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质量员</w:t>
            </w:r>
          </w:p>
        </w:tc>
      </w:tr>
      <w:tr w14:paraId="3F31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7D1794DA">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8</w:t>
            </w:r>
          </w:p>
        </w:tc>
        <w:tc>
          <w:tcPr>
            <w:tcW w:w="1276" w:type="dxa"/>
            <w:tcBorders>
              <w:top w:val="single" w:color="auto" w:sz="4" w:space="0"/>
              <w:left w:val="single" w:color="auto" w:sz="4" w:space="0"/>
              <w:bottom w:val="single" w:color="auto" w:sz="4" w:space="0"/>
              <w:right w:val="single" w:color="auto" w:sz="4" w:space="0"/>
            </w:tcBorders>
            <w:vAlign w:val="center"/>
          </w:tcPr>
          <w:p w14:paraId="5747B01C">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土木工程</w:t>
            </w:r>
          </w:p>
        </w:tc>
        <w:tc>
          <w:tcPr>
            <w:tcW w:w="1204" w:type="dxa"/>
            <w:tcBorders>
              <w:top w:val="single" w:color="auto" w:sz="4" w:space="0"/>
              <w:left w:val="single" w:color="auto" w:sz="4" w:space="0"/>
              <w:bottom w:val="single" w:color="auto" w:sz="4" w:space="0"/>
              <w:right w:val="single" w:color="auto" w:sz="4" w:space="0"/>
            </w:tcBorders>
            <w:vAlign w:val="center"/>
          </w:tcPr>
          <w:p w14:paraId="564CDFF1">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贾彬</w:t>
            </w:r>
          </w:p>
        </w:tc>
        <w:tc>
          <w:tcPr>
            <w:tcW w:w="1470" w:type="dxa"/>
            <w:tcBorders>
              <w:top w:val="single" w:color="auto" w:sz="4" w:space="0"/>
              <w:left w:val="single" w:color="auto" w:sz="4" w:space="0"/>
              <w:bottom w:val="single" w:color="auto" w:sz="4" w:space="0"/>
              <w:right w:val="single" w:color="auto" w:sz="4" w:space="0"/>
            </w:tcBorders>
            <w:vAlign w:val="center"/>
          </w:tcPr>
          <w:p w14:paraId="7F6CF8E0">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32E49B38">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本科</w:t>
            </w:r>
          </w:p>
        </w:tc>
        <w:tc>
          <w:tcPr>
            <w:tcW w:w="1574" w:type="dxa"/>
            <w:tcBorders>
              <w:top w:val="single" w:color="auto" w:sz="4" w:space="0"/>
              <w:left w:val="single" w:color="auto" w:sz="4" w:space="0"/>
              <w:bottom w:val="single" w:color="auto" w:sz="4" w:space="0"/>
              <w:right w:val="single" w:color="auto" w:sz="4" w:space="0"/>
            </w:tcBorders>
            <w:vAlign w:val="center"/>
          </w:tcPr>
          <w:p w14:paraId="3AD75FEE">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8年</w:t>
            </w:r>
          </w:p>
        </w:tc>
        <w:tc>
          <w:tcPr>
            <w:tcW w:w="1923" w:type="dxa"/>
            <w:tcBorders>
              <w:top w:val="single" w:color="auto" w:sz="4" w:space="0"/>
              <w:left w:val="single" w:color="auto" w:sz="4" w:space="0"/>
              <w:bottom w:val="single" w:color="auto" w:sz="4" w:space="0"/>
              <w:right w:val="single" w:color="auto" w:sz="4" w:space="0"/>
            </w:tcBorders>
            <w:vAlign w:val="center"/>
          </w:tcPr>
          <w:p w14:paraId="58588F40">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材料员</w:t>
            </w:r>
          </w:p>
        </w:tc>
      </w:tr>
      <w:tr w14:paraId="4661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4D602115">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9</w:t>
            </w:r>
          </w:p>
        </w:tc>
        <w:tc>
          <w:tcPr>
            <w:tcW w:w="1276" w:type="dxa"/>
            <w:tcBorders>
              <w:top w:val="single" w:color="auto" w:sz="4" w:space="0"/>
              <w:left w:val="single" w:color="auto" w:sz="4" w:space="0"/>
              <w:bottom w:val="single" w:color="auto" w:sz="4" w:space="0"/>
              <w:right w:val="single" w:color="auto" w:sz="4" w:space="0"/>
            </w:tcBorders>
            <w:vAlign w:val="center"/>
          </w:tcPr>
          <w:p w14:paraId="2001B991">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建筑工程技术</w:t>
            </w:r>
          </w:p>
        </w:tc>
        <w:tc>
          <w:tcPr>
            <w:tcW w:w="1204" w:type="dxa"/>
            <w:tcBorders>
              <w:top w:val="single" w:color="auto" w:sz="4" w:space="0"/>
              <w:left w:val="single" w:color="auto" w:sz="4" w:space="0"/>
              <w:bottom w:val="single" w:color="auto" w:sz="4" w:space="0"/>
              <w:right w:val="single" w:color="auto" w:sz="4" w:space="0"/>
            </w:tcBorders>
            <w:vAlign w:val="center"/>
          </w:tcPr>
          <w:p w14:paraId="6A2432B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丁朋朋</w:t>
            </w:r>
          </w:p>
        </w:tc>
        <w:tc>
          <w:tcPr>
            <w:tcW w:w="1470" w:type="dxa"/>
            <w:tcBorders>
              <w:top w:val="single" w:color="auto" w:sz="4" w:space="0"/>
              <w:left w:val="single" w:color="auto" w:sz="4" w:space="0"/>
              <w:bottom w:val="single" w:color="auto" w:sz="4" w:space="0"/>
              <w:right w:val="single" w:color="auto" w:sz="4" w:space="0"/>
            </w:tcBorders>
            <w:vAlign w:val="center"/>
          </w:tcPr>
          <w:p w14:paraId="2F0D53BF">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122F110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专科</w:t>
            </w:r>
          </w:p>
        </w:tc>
        <w:tc>
          <w:tcPr>
            <w:tcW w:w="1574" w:type="dxa"/>
            <w:tcBorders>
              <w:top w:val="single" w:color="auto" w:sz="4" w:space="0"/>
              <w:left w:val="single" w:color="auto" w:sz="4" w:space="0"/>
              <w:bottom w:val="single" w:color="auto" w:sz="4" w:space="0"/>
              <w:right w:val="single" w:color="auto" w:sz="4" w:space="0"/>
            </w:tcBorders>
            <w:vAlign w:val="center"/>
          </w:tcPr>
          <w:p w14:paraId="4FB5BCE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8年</w:t>
            </w:r>
          </w:p>
        </w:tc>
        <w:tc>
          <w:tcPr>
            <w:tcW w:w="1923" w:type="dxa"/>
            <w:tcBorders>
              <w:top w:val="single" w:color="auto" w:sz="4" w:space="0"/>
              <w:left w:val="single" w:color="auto" w:sz="4" w:space="0"/>
              <w:bottom w:val="single" w:color="auto" w:sz="4" w:space="0"/>
              <w:right w:val="single" w:color="auto" w:sz="4" w:space="0"/>
            </w:tcBorders>
            <w:vAlign w:val="center"/>
          </w:tcPr>
          <w:p w14:paraId="5CC6AD2D">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资料员</w:t>
            </w:r>
          </w:p>
        </w:tc>
      </w:tr>
      <w:tr w14:paraId="532B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79" w:type="dxa"/>
            <w:tcBorders>
              <w:top w:val="single" w:color="auto" w:sz="4" w:space="0"/>
              <w:left w:val="single" w:color="auto" w:sz="4" w:space="0"/>
              <w:bottom w:val="single" w:color="auto" w:sz="4" w:space="0"/>
              <w:right w:val="single" w:color="auto" w:sz="4" w:space="0"/>
            </w:tcBorders>
            <w:vAlign w:val="center"/>
          </w:tcPr>
          <w:p w14:paraId="48FFCDCB">
            <w:pPr>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4"/>
                <w:highlight w:val="none"/>
              </w:rPr>
              <w:t>10</w:t>
            </w:r>
          </w:p>
        </w:tc>
        <w:tc>
          <w:tcPr>
            <w:tcW w:w="1276" w:type="dxa"/>
            <w:tcBorders>
              <w:top w:val="single" w:color="auto" w:sz="4" w:space="0"/>
              <w:left w:val="single" w:color="auto" w:sz="4" w:space="0"/>
              <w:bottom w:val="single" w:color="auto" w:sz="4" w:space="0"/>
              <w:right w:val="single" w:color="auto" w:sz="4" w:space="0"/>
            </w:tcBorders>
            <w:vAlign w:val="center"/>
          </w:tcPr>
          <w:p w14:paraId="1A4D1008">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工程造价</w:t>
            </w:r>
          </w:p>
        </w:tc>
        <w:tc>
          <w:tcPr>
            <w:tcW w:w="1204" w:type="dxa"/>
            <w:tcBorders>
              <w:top w:val="single" w:color="auto" w:sz="4" w:space="0"/>
              <w:left w:val="single" w:color="auto" w:sz="4" w:space="0"/>
              <w:bottom w:val="single" w:color="auto" w:sz="4" w:space="0"/>
              <w:right w:val="single" w:color="auto" w:sz="4" w:space="0"/>
            </w:tcBorders>
            <w:vAlign w:val="center"/>
          </w:tcPr>
          <w:p w14:paraId="55D1E38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代本飞</w:t>
            </w:r>
          </w:p>
        </w:tc>
        <w:tc>
          <w:tcPr>
            <w:tcW w:w="1470" w:type="dxa"/>
            <w:tcBorders>
              <w:top w:val="single" w:color="auto" w:sz="4" w:space="0"/>
              <w:left w:val="single" w:color="auto" w:sz="4" w:space="0"/>
              <w:bottom w:val="single" w:color="auto" w:sz="4" w:space="0"/>
              <w:right w:val="single" w:color="auto" w:sz="4" w:space="0"/>
            </w:tcBorders>
            <w:vAlign w:val="center"/>
          </w:tcPr>
          <w:p w14:paraId="3D108902">
            <w:pP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w:t>
            </w:r>
          </w:p>
        </w:tc>
        <w:tc>
          <w:tcPr>
            <w:tcW w:w="1200" w:type="dxa"/>
            <w:tcBorders>
              <w:top w:val="single" w:color="auto" w:sz="4" w:space="0"/>
              <w:left w:val="single" w:color="auto" w:sz="4" w:space="0"/>
              <w:bottom w:val="single" w:color="auto" w:sz="4" w:space="0"/>
              <w:right w:val="single" w:color="auto" w:sz="4" w:space="0"/>
            </w:tcBorders>
            <w:vAlign w:val="center"/>
          </w:tcPr>
          <w:p w14:paraId="4965E3F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专科</w:t>
            </w:r>
          </w:p>
        </w:tc>
        <w:tc>
          <w:tcPr>
            <w:tcW w:w="1574" w:type="dxa"/>
            <w:tcBorders>
              <w:top w:val="single" w:color="auto" w:sz="4" w:space="0"/>
              <w:left w:val="single" w:color="auto" w:sz="4" w:space="0"/>
              <w:bottom w:val="single" w:color="auto" w:sz="4" w:space="0"/>
              <w:right w:val="single" w:color="auto" w:sz="4" w:space="0"/>
            </w:tcBorders>
            <w:vAlign w:val="center"/>
          </w:tcPr>
          <w:p w14:paraId="42C1A09E">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7年</w:t>
            </w:r>
          </w:p>
        </w:tc>
        <w:tc>
          <w:tcPr>
            <w:tcW w:w="1923" w:type="dxa"/>
            <w:tcBorders>
              <w:top w:val="single" w:color="auto" w:sz="4" w:space="0"/>
              <w:left w:val="single" w:color="auto" w:sz="4" w:space="0"/>
              <w:bottom w:val="single" w:color="auto" w:sz="4" w:space="0"/>
              <w:right w:val="single" w:color="auto" w:sz="4" w:space="0"/>
            </w:tcBorders>
            <w:vAlign w:val="center"/>
          </w:tcPr>
          <w:p w14:paraId="76E7ED48">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预算员</w:t>
            </w:r>
          </w:p>
        </w:tc>
      </w:tr>
    </w:tbl>
    <w:p w14:paraId="3C7945B3">
      <w:pPr>
        <w:pStyle w:val="2"/>
        <w:rPr>
          <w:rFonts w:hint="eastAsia" w:hAnsi="宋体" w:cs="宋体"/>
          <w:color w:val="auto"/>
          <w:szCs w:val="24"/>
          <w:highlight w:val="none"/>
        </w:rPr>
      </w:pPr>
    </w:p>
    <w:p w14:paraId="0882B47F">
      <w:pPr>
        <w:pStyle w:val="2"/>
        <w:rPr>
          <w:rFonts w:hint="eastAsia" w:hAnsi="宋体" w:cs="宋体"/>
          <w:color w:val="auto"/>
          <w:szCs w:val="24"/>
          <w:highlight w:val="none"/>
        </w:rPr>
      </w:pPr>
    </w:p>
    <w:p w14:paraId="64BED766">
      <w:pPr>
        <w:pStyle w:val="2"/>
        <w:rPr>
          <w:rFonts w:hint="eastAsia" w:hAnsi="宋体" w:cs="宋体"/>
          <w:color w:val="auto"/>
          <w:szCs w:val="24"/>
          <w:highlight w:val="none"/>
        </w:rPr>
      </w:pPr>
      <w:r>
        <w:rPr>
          <w:rFonts w:hint="eastAsia" w:hAnsi="宋体" w:cs="宋体"/>
          <w:color w:val="auto"/>
          <w:szCs w:val="24"/>
          <w:highlight w:val="none"/>
        </w:rPr>
        <w:t>附件</w:t>
      </w:r>
      <w:r>
        <w:rPr>
          <w:rFonts w:hint="eastAsia" w:hAnsi="宋体" w:cs="宋体"/>
          <w:color w:val="auto"/>
          <w:szCs w:val="24"/>
          <w:highlight w:val="none"/>
          <w:lang w:eastAsia="zh-CN"/>
        </w:rPr>
        <w:t>五</w:t>
      </w:r>
      <w:r>
        <w:rPr>
          <w:rFonts w:hint="eastAsia" w:hAnsi="宋体" w:cs="宋体"/>
          <w:color w:val="auto"/>
          <w:szCs w:val="24"/>
          <w:highlight w:val="none"/>
        </w:rPr>
        <w:t>、《价格清单》（</w:t>
      </w:r>
      <w:r>
        <w:rPr>
          <w:rFonts w:hint="eastAsia" w:hAnsi="宋体" w:cs="宋体"/>
          <w:color w:val="auto"/>
          <w:szCs w:val="24"/>
          <w:highlight w:val="none"/>
          <w:lang w:eastAsia="zh-CN"/>
        </w:rPr>
        <w:t>详细清单</w:t>
      </w:r>
      <w:r>
        <w:rPr>
          <w:rFonts w:hint="eastAsia" w:hAnsi="宋体" w:cs="宋体"/>
          <w:color w:val="auto"/>
          <w:szCs w:val="24"/>
          <w:highlight w:val="none"/>
        </w:rPr>
        <w:t>单独打印后附装订）</w:t>
      </w:r>
    </w:p>
    <w:p w14:paraId="3EFC9292">
      <w:pPr>
        <w:pStyle w:val="2"/>
        <w:rPr>
          <w:rFonts w:hint="eastAsia" w:hAnsi="宋体" w:cs="宋体"/>
          <w:color w:val="auto"/>
          <w:szCs w:val="24"/>
          <w:highlight w:val="none"/>
        </w:rPr>
      </w:pPr>
    </w:p>
    <w:tbl>
      <w:tblPr>
        <w:tblStyle w:val="45"/>
        <w:tblW w:w="102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40"/>
      </w:tblGrid>
      <w:tr w14:paraId="00D67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240" w:type="dxa"/>
            <w:tcBorders>
              <w:top w:val="nil"/>
              <w:left w:val="nil"/>
              <w:bottom w:val="nil"/>
              <w:right w:val="nil"/>
            </w:tcBorders>
            <w:shd w:val="clear" w:color="auto" w:fill="auto"/>
            <w:noWrap/>
            <w:vAlign w:val="center"/>
          </w:tcPr>
          <w:p w14:paraId="14C99B7B">
            <w:pPr>
              <w:keepNext w:val="0"/>
              <w:keepLines w:val="0"/>
              <w:widowControl/>
              <w:suppressLineNumbers w:val="0"/>
              <w:jc w:val="center"/>
              <w:textAlignment w:val="center"/>
              <w:rPr>
                <w:rFonts w:ascii="楷体_GB2312" w:hAnsi="Arial" w:eastAsia="楷体_GB2312" w:cs="楷体_GB2312"/>
                <w:b/>
                <w:bCs/>
                <w:i w:val="0"/>
                <w:iCs w:val="0"/>
                <w:color w:val="000000"/>
                <w:sz w:val="32"/>
                <w:szCs w:val="32"/>
                <w:u w:val="none"/>
              </w:rPr>
            </w:pPr>
            <w:r>
              <w:rPr>
                <w:rFonts w:hint="default" w:ascii="楷体_GB2312" w:hAnsi="Arial" w:eastAsia="楷体_GB2312" w:cs="楷体_GB2312"/>
                <w:b/>
                <w:bCs/>
                <w:i w:val="0"/>
                <w:iCs w:val="0"/>
                <w:color w:val="000000"/>
                <w:kern w:val="0"/>
                <w:sz w:val="32"/>
                <w:szCs w:val="32"/>
                <w:u w:val="none"/>
                <w:lang w:val="en-US" w:eastAsia="zh-CN" w:bidi="ar"/>
              </w:rPr>
              <w:t>工程量清单说明</w:t>
            </w:r>
          </w:p>
        </w:tc>
      </w:tr>
      <w:tr w14:paraId="2EC62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D02D">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1、工程量清单及其计价格式中必须有符合规定的单位和人员签字、盖章。</w:t>
            </w:r>
          </w:p>
        </w:tc>
      </w:tr>
      <w:tr w14:paraId="2E046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337B">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2、工程量清单计价格式中工程量由投标单位自行复核，列明的所有需要填报的单价和合价，投标单位均应填报，未填报的单价和合价，视为此项费用已包含在工程量清单的其他的单价和合价之中。</w:t>
            </w:r>
          </w:p>
        </w:tc>
      </w:tr>
      <w:tr w14:paraId="79FBC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F734">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3、投标人应根据招标人提供的招标文件、图纸和现场情况，在满足招标图纸和相应规范要求的前提下自行复核工程量。不管投标工程量是否表明，投标人没有填入单价或合价的项目，招标人将不予认可，均视为投标人已将该项目的单价或合价包括在工程量清单其它项目的单价或合价中。</w:t>
            </w:r>
          </w:p>
        </w:tc>
      </w:tr>
      <w:tr w14:paraId="2B3FC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BE24">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4、报价汇总表及其工程量清单相关表格中的数据必须保证前后一致,报价合理,否则招标人有权按有利于招标人的意思进行修正或作废标处理。</w:t>
            </w:r>
          </w:p>
        </w:tc>
      </w:tr>
      <w:tr w14:paraId="508FA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0340">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5、工程量清单按照后附分类的格式分别进行填报，投标人应根据招标文件要求将全部费用包括在综合单价内，投标人未列项内容视为已将费用综合考虑在其它项目内；中标单位不能以工程量清单中不包括某项为由要求调整价格或不承担招标文件中要求投标单位考虑的费用，也不能以承揽范围变动要求调整综合单价。</w:t>
            </w:r>
          </w:p>
        </w:tc>
      </w:tr>
      <w:tr w14:paraId="2C6BE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9"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3CA0">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6、含税固定综合单价包括但不限于人工费、材料费（包括材料损耗、材料加工费、材料检验试验费）、甲供材保管费、设备费、机械使用费、合同工期内的赶工费、施工水电费、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等其他费用。此费用不随材料市场价格波动、工资、物价、费率的变动或的政府颁发的任何调价文件而发生变化；材料风险费不再调整。。综合单价包含了招标文件反映的所有内容和一个有经验的承包商应该预测到的其他常规必须要发生的费用，并考虑风险因素。</w:t>
            </w:r>
          </w:p>
        </w:tc>
      </w:tr>
      <w:tr w14:paraId="7B63C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FBB1">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7、总价中应包括此次招标范围内的所有工程内容，一次性包干，不随任何市场因素及政策性调整而变动，如报价汇总表及工程量清单中有缺项漏项的，均视为乙方已综合考虑在合计报价内，结算时均不做调整。</w:t>
            </w:r>
          </w:p>
        </w:tc>
      </w:tr>
      <w:tr w14:paraId="21CAB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02A4">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8、所有外露铁艺热镀锌处理，面刷深咖色氟碳漆，两道底漆，两道面漆。</w:t>
            </w:r>
          </w:p>
        </w:tc>
      </w:tr>
      <w:tr w14:paraId="121E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FAE1">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9、若投标人对清单工程量存在疑问，请在招标文件约定的期限内提出，经招标人确认后补发或修改此项清单。若无异议，本次工程量清单无论是否存在缺项、漏项、工程量偏差，均视为乙方已综合考虑在固定合同总价内。</w:t>
            </w:r>
          </w:p>
        </w:tc>
      </w:tr>
      <w:tr w14:paraId="59340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3AEE">
            <w:pPr>
              <w:keepNext w:val="0"/>
              <w:keepLines w:val="0"/>
              <w:widowControl/>
              <w:suppressLineNumbers w:val="0"/>
              <w:jc w:val="center"/>
              <w:textAlignment w:val="center"/>
              <w:rPr>
                <w:rFonts w:hint="default" w:ascii="楷体_GB2312" w:hAnsi="Arial" w:eastAsia="楷体_GB2312" w:cs="楷体_GB2312"/>
                <w:b/>
                <w:bCs/>
                <w:i w:val="0"/>
                <w:iCs w:val="0"/>
                <w:color w:val="000000"/>
                <w:sz w:val="32"/>
                <w:szCs w:val="32"/>
                <w:u w:val="none"/>
              </w:rPr>
            </w:pPr>
            <w:r>
              <w:rPr>
                <w:rFonts w:hint="default" w:ascii="楷体_GB2312" w:hAnsi="Arial" w:eastAsia="楷体_GB2312" w:cs="楷体_GB2312"/>
                <w:b/>
                <w:bCs/>
                <w:i w:val="0"/>
                <w:iCs w:val="0"/>
                <w:color w:val="000000"/>
                <w:kern w:val="0"/>
                <w:sz w:val="32"/>
                <w:szCs w:val="32"/>
                <w:u w:val="none"/>
                <w:lang w:val="en-US" w:eastAsia="zh-CN" w:bidi="ar"/>
              </w:rPr>
              <w:t>计算范围</w:t>
            </w:r>
          </w:p>
        </w:tc>
      </w:tr>
      <w:tr w14:paraId="7C246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C640">
            <w:pPr>
              <w:keepNext w:val="0"/>
              <w:keepLines w:val="0"/>
              <w:widowControl/>
              <w:suppressLineNumbers w:val="0"/>
              <w:jc w:val="center"/>
              <w:textAlignment w:val="center"/>
              <w:rPr>
                <w:rFonts w:hint="default" w:ascii="楷体_GB2312" w:hAnsi="Arial" w:eastAsia="楷体_GB2312" w:cs="楷体_GB2312"/>
                <w:b/>
                <w:bCs/>
                <w:i w:val="0"/>
                <w:iCs w:val="0"/>
                <w:color w:val="000000"/>
                <w:sz w:val="24"/>
                <w:szCs w:val="24"/>
                <w:u w:val="none"/>
              </w:rPr>
            </w:pPr>
            <w:r>
              <w:rPr>
                <w:rFonts w:hint="default" w:ascii="楷体_GB2312" w:hAnsi="Arial" w:eastAsia="楷体_GB2312" w:cs="楷体_GB2312"/>
                <w:b/>
                <w:bCs/>
                <w:i w:val="0"/>
                <w:iCs w:val="0"/>
                <w:color w:val="000000"/>
                <w:kern w:val="0"/>
                <w:sz w:val="24"/>
                <w:szCs w:val="24"/>
                <w:u w:val="none"/>
                <w:lang w:val="en-US" w:eastAsia="zh-CN" w:bidi="ar"/>
              </w:rPr>
              <w:t>一、总体范围</w:t>
            </w:r>
          </w:p>
        </w:tc>
      </w:tr>
      <w:tr w14:paraId="32114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A2B">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1.本次招标范围为景观大区一期，即总图中所示非阴影区域，不含景观示范区及东侧二期区域，详见图纸一、二期景观分界线。</w:t>
            </w:r>
          </w:p>
        </w:tc>
      </w:tr>
      <w:tr w14:paraId="738CF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FA41">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2.本次设计土方工程开挖均按设计地面线标高开挖至相应垫层或沟底标高考虑。</w:t>
            </w:r>
          </w:p>
        </w:tc>
      </w:tr>
      <w:tr w14:paraId="09584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8C03">
            <w:pPr>
              <w:keepNext w:val="0"/>
              <w:keepLines w:val="0"/>
              <w:widowControl/>
              <w:suppressLineNumbers w:val="0"/>
              <w:jc w:val="center"/>
              <w:textAlignment w:val="center"/>
              <w:rPr>
                <w:rFonts w:hint="default" w:ascii="楷体_GB2312" w:hAnsi="Arial" w:eastAsia="楷体_GB2312" w:cs="楷体_GB2312"/>
                <w:b/>
                <w:bCs/>
                <w:i w:val="0"/>
                <w:iCs w:val="0"/>
                <w:color w:val="000000"/>
                <w:sz w:val="24"/>
                <w:szCs w:val="24"/>
                <w:u w:val="none"/>
              </w:rPr>
            </w:pPr>
            <w:r>
              <w:rPr>
                <w:rFonts w:hint="default" w:ascii="楷体_GB2312" w:hAnsi="Arial" w:eastAsia="楷体_GB2312" w:cs="楷体_GB2312"/>
                <w:b/>
                <w:bCs/>
                <w:i w:val="0"/>
                <w:iCs w:val="0"/>
                <w:color w:val="000000"/>
                <w:kern w:val="0"/>
                <w:sz w:val="24"/>
                <w:szCs w:val="24"/>
                <w:u w:val="none"/>
                <w:lang w:val="en-US" w:eastAsia="zh-CN" w:bidi="ar"/>
              </w:rPr>
              <w:t>二、景观水电计算范围</w:t>
            </w:r>
          </w:p>
        </w:tc>
      </w:tr>
      <w:tr w14:paraId="41CC7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22E4">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1.景观照明从就近箱变预留回路引至景观照明总箱、景观照明配管、配线、灯具等安装、调试。含景观照明系统、景墙照明系统、西侧大门电气系统、雾喷主机配电系统、喷泉泵配电系统等。</w:t>
            </w:r>
          </w:p>
        </w:tc>
      </w:tr>
      <w:tr w14:paraId="6CC18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7176">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2.景观给水从绿化水表井后管道开始计入至图示系统内所有内容，雾喷、景墙水景按图纸设计所有内容。</w:t>
            </w:r>
          </w:p>
        </w:tc>
      </w:tr>
      <w:tr w14:paraId="0EAB5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DA9B">
            <w:pPr>
              <w:keepNext w:val="0"/>
              <w:keepLines w:val="0"/>
              <w:widowControl/>
              <w:suppressLineNumbers w:val="0"/>
              <w:jc w:val="center"/>
              <w:textAlignment w:val="center"/>
              <w:rPr>
                <w:rFonts w:hint="default" w:ascii="楷体_GB2312" w:hAnsi="Arial" w:eastAsia="楷体_GB2312" w:cs="楷体_GB2312"/>
                <w:b/>
                <w:bCs/>
                <w:i w:val="0"/>
                <w:iCs w:val="0"/>
                <w:color w:val="000000"/>
                <w:sz w:val="24"/>
                <w:szCs w:val="24"/>
                <w:u w:val="none"/>
              </w:rPr>
            </w:pPr>
            <w:r>
              <w:rPr>
                <w:rFonts w:hint="default" w:ascii="楷体_GB2312" w:hAnsi="Arial" w:eastAsia="楷体_GB2312" w:cs="楷体_GB2312"/>
                <w:b/>
                <w:bCs/>
                <w:i w:val="0"/>
                <w:iCs w:val="0"/>
                <w:color w:val="000000"/>
                <w:kern w:val="0"/>
                <w:sz w:val="24"/>
                <w:szCs w:val="24"/>
                <w:u w:val="none"/>
                <w:lang w:val="en-US" w:eastAsia="zh-CN" w:bidi="ar"/>
              </w:rPr>
              <w:t>三、雨污水管网计算范围</w:t>
            </w:r>
          </w:p>
        </w:tc>
      </w:tr>
      <w:tr w14:paraId="4191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7AEC">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1.雨水管网本次计算范围见雨水管道高程表，由起点Y1算至终点Y4；</w:t>
            </w:r>
          </w:p>
        </w:tc>
      </w:tr>
      <w:tr w14:paraId="5FBB0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91DA">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2.污水管网本次计算范围见污水管道高程表，由起点W1算至终点W23。</w:t>
            </w:r>
          </w:p>
        </w:tc>
      </w:tr>
      <w:tr w14:paraId="26F2D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4081">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3.主楼与室外污水检查井连接管道不在本次范围内。</w:t>
            </w:r>
          </w:p>
        </w:tc>
      </w:tr>
      <w:tr w14:paraId="0A2B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EA33">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4.图中所有穿车行道的管网参照给排水设计说明，车行道下方管道按砼满包计入。</w:t>
            </w:r>
          </w:p>
        </w:tc>
      </w:tr>
      <w:tr w14:paraId="0B7D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5417">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5.雨污水与市政对接，穿红线外市政道路的顶管在本次范围内，破坏恢复市政路在本次范围内。</w:t>
            </w:r>
          </w:p>
        </w:tc>
      </w:tr>
      <w:tr w14:paraId="3598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637E">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6.雨污水清单中，暂定工程量为预估量，结算以现场实际工程量为准。</w:t>
            </w:r>
          </w:p>
        </w:tc>
      </w:tr>
      <w:tr w14:paraId="3E01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E15E">
            <w:pPr>
              <w:keepNext w:val="0"/>
              <w:keepLines w:val="0"/>
              <w:widowControl/>
              <w:suppressLineNumbers w:val="0"/>
              <w:jc w:val="center"/>
              <w:textAlignment w:val="center"/>
              <w:rPr>
                <w:rFonts w:hint="default" w:ascii="楷体_GB2312" w:hAnsi="Arial" w:eastAsia="楷体_GB2312" w:cs="楷体_GB2312"/>
                <w:b/>
                <w:bCs/>
                <w:i w:val="0"/>
                <w:iCs w:val="0"/>
                <w:color w:val="000000"/>
                <w:sz w:val="24"/>
                <w:szCs w:val="24"/>
                <w:u w:val="none"/>
              </w:rPr>
            </w:pPr>
            <w:r>
              <w:rPr>
                <w:rFonts w:hint="default" w:ascii="楷体_GB2312" w:hAnsi="Arial" w:eastAsia="楷体_GB2312" w:cs="楷体_GB2312"/>
                <w:b/>
                <w:bCs/>
                <w:i w:val="0"/>
                <w:iCs w:val="0"/>
                <w:color w:val="000000"/>
                <w:kern w:val="0"/>
                <w:sz w:val="24"/>
                <w:szCs w:val="24"/>
                <w:u w:val="none"/>
                <w:lang w:val="en-US" w:eastAsia="zh-CN" w:bidi="ar"/>
              </w:rPr>
              <w:t>四、硬质铺装计算范围</w:t>
            </w:r>
          </w:p>
        </w:tc>
      </w:tr>
      <w:tr w14:paraId="7CDE2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2D78">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1.按设计地面标高计入挖填方工程量，其余整个场区挖填土方均未计入本次，本次仅计入场地平整。</w:t>
            </w:r>
          </w:p>
        </w:tc>
      </w:tr>
      <w:tr w14:paraId="68105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B033">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2.坐凳详图中，18厚烧面卡西奥中灰仿石砖（弧形加工）下本次按计入。</w:t>
            </w:r>
          </w:p>
        </w:tc>
      </w:tr>
      <w:tr w14:paraId="74E8B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A719">
            <w:pPr>
              <w:keepNext w:val="0"/>
              <w:keepLines w:val="0"/>
              <w:widowControl/>
              <w:suppressLineNumbers w:val="0"/>
              <w:jc w:val="center"/>
              <w:textAlignment w:val="center"/>
              <w:rPr>
                <w:rFonts w:hint="default" w:ascii="楷体_GB2312" w:hAnsi="Arial" w:eastAsia="楷体_GB2312" w:cs="楷体_GB2312"/>
                <w:b/>
                <w:bCs/>
                <w:i w:val="0"/>
                <w:iCs w:val="0"/>
                <w:color w:val="000000"/>
                <w:sz w:val="24"/>
                <w:szCs w:val="24"/>
                <w:u w:val="none"/>
              </w:rPr>
            </w:pPr>
            <w:r>
              <w:rPr>
                <w:rFonts w:hint="default" w:ascii="楷体_GB2312" w:hAnsi="Arial" w:eastAsia="楷体_GB2312" w:cs="楷体_GB2312"/>
                <w:b/>
                <w:bCs/>
                <w:i w:val="0"/>
                <w:iCs w:val="0"/>
                <w:color w:val="000000"/>
                <w:kern w:val="0"/>
                <w:sz w:val="24"/>
                <w:szCs w:val="24"/>
                <w:u w:val="none"/>
                <w:lang w:val="en-US" w:eastAsia="zh-CN" w:bidi="ar"/>
              </w:rPr>
              <w:t>五、绿化部分计算范围</w:t>
            </w:r>
          </w:p>
        </w:tc>
      </w:tr>
      <w:tr w14:paraId="7C97E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8007">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1.绿化部分微地形按投影面积计入。</w:t>
            </w:r>
          </w:p>
        </w:tc>
      </w:tr>
      <w:tr w14:paraId="350E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977E">
            <w:pPr>
              <w:keepNext w:val="0"/>
              <w:keepLines w:val="0"/>
              <w:widowControl/>
              <w:suppressLineNumbers w:val="0"/>
              <w:jc w:val="both"/>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2.含草绳及支撑。</w:t>
            </w:r>
          </w:p>
        </w:tc>
      </w:tr>
      <w:tr w14:paraId="3B0B0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F558">
            <w:pPr>
              <w:keepNext w:val="0"/>
              <w:keepLines w:val="0"/>
              <w:widowControl/>
              <w:suppressLineNumbers w:val="0"/>
              <w:jc w:val="center"/>
              <w:textAlignment w:val="center"/>
              <w:rPr>
                <w:rFonts w:hint="default" w:ascii="楷体_GB2312" w:hAnsi="Arial" w:eastAsia="楷体_GB2312" w:cs="楷体_GB2312"/>
                <w:b/>
                <w:bCs/>
                <w:i w:val="0"/>
                <w:iCs w:val="0"/>
                <w:color w:val="000000"/>
                <w:sz w:val="32"/>
                <w:szCs w:val="32"/>
                <w:u w:val="none"/>
              </w:rPr>
            </w:pPr>
            <w:r>
              <w:rPr>
                <w:rFonts w:hint="default" w:ascii="楷体_GB2312" w:hAnsi="Arial" w:eastAsia="楷体_GB2312" w:cs="楷体_GB2312"/>
                <w:b/>
                <w:bCs/>
                <w:i w:val="0"/>
                <w:iCs w:val="0"/>
                <w:color w:val="000000"/>
                <w:kern w:val="0"/>
                <w:sz w:val="32"/>
                <w:szCs w:val="32"/>
                <w:u w:val="none"/>
                <w:lang w:val="en-US" w:eastAsia="zh-CN" w:bidi="ar"/>
              </w:rPr>
              <w:t>工程量计算说明</w:t>
            </w:r>
          </w:p>
        </w:tc>
      </w:tr>
      <w:tr w14:paraId="438E8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5144">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Style w:val="97"/>
                <w:rFonts w:hAnsi="Arial"/>
                <w:lang w:val="en-US" w:eastAsia="zh-CN" w:bidi="ar"/>
              </w:rPr>
              <w:t>（1）工程量计算规则除有特殊说明外，均执行《房屋建筑与装饰工程工程量计算规范》（GB-50854-2013）、《通用安装工程工程量计算规范》（GB-50856-2013）、《市政工程工程量计算规范》（GB-50857-2013）、《园林绿化工程工程量计算规范》（GB</w:t>
            </w:r>
            <w:r>
              <w:rPr>
                <w:rStyle w:val="98"/>
                <w:rFonts w:eastAsia="楷体_GB2312"/>
                <w:lang w:val="en-US" w:eastAsia="zh-CN" w:bidi="ar"/>
              </w:rPr>
              <w:t> </w:t>
            </w:r>
            <w:r>
              <w:rPr>
                <w:rStyle w:val="99"/>
                <w:lang w:val="en-US" w:eastAsia="zh-CN" w:bidi="ar"/>
              </w:rPr>
              <w:t>50858-2013）中相关说明；</w:t>
            </w:r>
          </w:p>
        </w:tc>
      </w:tr>
      <w:tr w14:paraId="284B1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FA12">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（2）所有金属构件及木作构件之上漆前后的表面处理及防腐处理﹑底漆、面漆以及柱包角、预埋件等均已含在综合单价中，不再另行计取；</w:t>
            </w:r>
          </w:p>
        </w:tc>
      </w:tr>
      <w:tr w14:paraId="1EA4F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BB6B">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（3）清单中所有项目的饰面工程均包含结合层，木饰面工程和金属构件包含油漆及相关饰面做法，面砖、石材、玻璃及银镜均包含开洞、磨边、倒角、按型加工、包边等费用；</w:t>
            </w:r>
          </w:p>
        </w:tc>
      </w:tr>
      <w:tr w14:paraId="6CC99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9"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B303">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Style w:val="97"/>
                <w:rFonts w:hAnsi="Arial"/>
                <w:lang w:val="en-US" w:eastAsia="zh-CN" w:bidi="ar"/>
              </w:rPr>
              <w:t>（4）土方工程：</w:t>
            </w:r>
            <w:r>
              <w:rPr>
                <w:rStyle w:val="97"/>
                <w:rFonts w:hAnsi="Arial"/>
                <w:lang w:val="en-US" w:eastAsia="zh-CN" w:bidi="ar"/>
              </w:rPr>
              <w:br w:type="textWrapping"/>
            </w:r>
            <w:r>
              <w:rPr>
                <w:rStyle w:val="97"/>
                <w:rFonts w:hAnsi="Arial"/>
                <w:lang w:val="en-US" w:eastAsia="zh-CN" w:bidi="ar"/>
              </w:rPr>
              <w:t xml:space="preserve"> 1）投标单位根据现场土方交接标高及景观完成标高进行土方开挖或者回填，场内土方倒运包含于综合报价中，不再单独计取费用，现场施工所涉及到的场地土方平整及压实、堆地形、种植土换填（如需要）、小品基础开挖及回填、园林工程</w:t>
            </w:r>
            <w:r>
              <w:rPr>
                <w:rStyle w:val="100"/>
                <w:lang w:val="en-US" w:eastAsia="zh-CN" w:bidi="ar"/>
              </w:rPr>
              <w:t>自身产生渣土外运</w:t>
            </w:r>
            <w:r>
              <w:rPr>
                <w:rStyle w:val="99"/>
                <w:lang w:val="en-US" w:eastAsia="zh-CN" w:bidi="ar"/>
              </w:rPr>
              <w:t>等均包含在综合单价中，不再单独计取费用；</w:t>
            </w:r>
            <w:r>
              <w:rPr>
                <w:rStyle w:val="99"/>
                <w:lang w:val="en-US" w:eastAsia="zh-CN" w:bidi="ar"/>
              </w:rPr>
              <w:br w:type="textWrapping"/>
            </w:r>
            <w:r>
              <w:rPr>
                <w:rStyle w:val="99"/>
                <w:lang w:val="en-US" w:eastAsia="zh-CN" w:bidi="ar"/>
              </w:rPr>
              <w:t xml:space="preserve"> 2）土方回填界面：土方单位回填至景观施工设计标高，景观单位参与交界面验收合格，并承担后续工作，所有场内土方平衡费用均已综合考虑进各清单单价中，不再单独计取。</w:t>
            </w:r>
          </w:p>
        </w:tc>
      </w:tr>
      <w:tr w14:paraId="65DEE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FC89">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Fonts w:hint="default" w:ascii="楷体_GB2312" w:hAnsi="Arial" w:eastAsia="楷体_GB2312" w:cs="楷体_GB2312"/>
                <w:i w:val="0"/>
                <w:iCs w:val="0"/>
                <w:color w:val="000000"/>
                <w:kern w:val="0"/>
                <w:sz w:val="21"/>
                <w:szCs w:val="21"/>
                <w:u w:val="none"/>
                <w:lang w:val="en-US" w:eastAsia="zh-CN" w:bidi="ar"/>
              </w:rPr>
              <w:t>（5）园林绿化工程：</w:t>
            </w:r>
            <w:r>
              <w:rPr>
                <w:rFonts w:hint="default" w:ascii="楷体_GB2312" w:hAnsi="Arial" w:eastAsia="楷体_GB2312" w:cs="楷体_GB2312"/>
                <w:i w:val="0"/>
                <w:iCs w:val="0"/>
                <w:color w:val="000000"/>
                <w:kern w:val="0"/>
                <w:sz w:val="21"/>
                <w:szCs w:val="21"/>
                <w:u w:val="none"/>
                <w:lang w:val="en-US" w:eastAsia="zh-CN" w:bidi="ar"/>
              </w:rPr>
              <w:br w:type="textWrapping"/>
            </w:r>
            <w:r>
              <w:rPr>
                <w:rFonts w:hint="default" w:ascii="楷体_GB2312" w:hAnsi="Arial" w:eastAsia="楷体_GB2312" w:cs="楷体_GB2312"/>
                <w:i w:val="0"/>
                <w:iCs w:val="0"/>
                <w:color w:val="000000"/>
                <w:kern w:val="0"/>
                <w:sz w:val="21"/>
                <w:szCs w:val="21"/>
                <w:u w:val="none"/>
                <w:lang w:val="en-US" w:eastAsia="zh-CN" w:bidi="ar"/>
              </w:rPr>
              <w:t xml:space="preserve"> 1）苗木养护期按合同约定，养护期一切费用（包括但不限于水电、人工、材料、措施费等全部费用）自行承担；</w:t>
            </w:r>
            <w:r>
              <w:rPr>
                <w:rFonts w:hint="default" w:ascii="楷体_GB2312" w:hAnsi="Arial" w:eastAsia="楷体_GB2312" w:cs="楷体_GB2312"/>
                <w:i w:val="0"/>
                <w:iCs w:val="0"/>
                <w:color w:val="000000"/>
                <w:kern w:val="0"/>
                <w:sz w:val="21"/>
                <w:szCs w:val="21"/>
                <w:u w:val="none"/>
                <w:lang w:val="en-US" w:eastAsia="zh-CN" w:bidi="ar"/>
              </w:rPr>
              <w:br w:type="textWrapping"/>
            </w:r>
            <w:r>
              <w:rPr>
                <w:rFonts w:hint="default" w:ascii="楷体_GB2312" w:hAnsi="Arial" w:eastAsia="楷体_GB2312" w:cs="楷体_GB2312"/>
                <w:i w:val="0"/>
                <w:iCs w:val="0"/>
                <w:color w:val="000000"/>
                <w:kern w:val="0"/>
                <w:sz w:val="21"/>
                <w:szCs w:val="21"/>
                <w:u w:val="none"/>
                <w:lang w:val="en-US" w:eastAsia="zh-CN" w:bidi="ar"/>
              </w:rPr>
              <w:t xml:space="preserve"> 2）绿化种植费用已含造型起坡费用，不再另行计取。</w:t>
            </w:r>
          </w:p>
        </w:tc>
      </w:tr>
      <w:tr w14:paraId="52F6A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3"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CB1F">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Style w:val="97"/>
                <w:rFonts w:hAnsi="Arial"/>
                <w:lang w:val="en-US" w:eastAsia="zh-CN" w:bidi="ar"/>
              </w:rPr>
              <w:t>（6）园建工程：</w:t>
            </w:r>
            <w:r>
              <w:rPr>
                <w:rStyle w:val="100"/>
                <w:lang w:val="en-US" w:eastAsia="zh-CN" w:bidi="ar"/>
              </w:rPr>
              <w:br w:type="textWrapping"/>
            </w:r>
            <w:r>
              <w:rPr>
                <w:rStyle w:val="99"/>
                <w:lang w:val="en-US" w:eastAsia="zh-CN" w:bidi="ar"/>
              </w:rPr>
              <w:t xml:space="preserve"> 1）所有铺装面层仅按材质及花色分类，大面铺装及收边铺装综合考虑，不再分别列项；</w:t>
            </w:r>
            <w:r>
              <w:rPr>
                <w:rStyle w:val="99"/>
                <w:lang w:val="en-US" w:eastAsia="zh-CN" w:bidi="ar"/>
              </w:rPr>
              <w:br w:type="textWrapping"/>
            </w:r>
            <w:r>
              <w:rPr>
                <w:rStyle w:val="99"/>
                <w:lang w:val="en-US" w:eastAsia="zh-CN" w:bidi="ar"/>
              </w:rPr>
              <w:t xml:space="preserve"> 2）面层铺装中，规格、假缝处理及异型切割所产生的材料加工、损耗等费用考虑在综合单价内；</w:t>
            </w:r>
            <w:r>
              <w:rPr>
                <w:rStyle w:val="99"/>
                <w:lang w:val="en-US" w:eastAsia="zh-CN" w:bidi="ar"/>
              </w:rPr>
              <w:br w:type="textWrapping"/>
            </w:r>
            <w:r>
              <w:rPr>
                <w:rStyle w:val="99"/>
                <w:lang w:val="en-US" w:eastAsia="zh-CN" w:bidi="ar"/>
              </w:rPr>
              <w:t xml:space="preserve"> 3）园建工程中收边收口、塞缝、封堵等相关费用考虑在综合单价内；</w:t>
            </w:r>
            <w:r>
              <w:rPr>
                <w:rStyle w:val="99"/>
                <w:lang w:val="en-US" w:eastAsia="zh-CN" w:bidi="ar"/>
              </w:rPr>
              <w:br w:type="textWrapping"/>
            </w:r>
            <w:r>
              <w:rPr>
                <w:rStyle w:val="99"/>
                <w:lang w:val="en-US" w:eastAsia="zh-CN" w:bidi="ar"/>
              </w:rPr>
              <w:t xml:space="preserve"> 4）所有铺装基层之混凝土单价须考虑规范及设计要求的分块浇筑留设伸缩缝﹐且包括相应伸缩缝之加强锚筋、嵌缝处理等一切工序,基层做法优先等级以此为：隐形道路＞人行道路；</w:t>
            </w:r>
            <w:r>
              <w:rPr>
                <w:rStyle w:val="99"/>
                <w:lang w:val="en-US" w:eastAsia="zh-CN" w:bidi="ar"/>
              </w:rPr>
              <w:br w:type="textWrapping"/>
            </w:r>
            <w:r>
              <w:rPr>
                <w:rStyle w:val="99"/>
                <w:lang w:val="en-US" w:eastAsia="zh-CN" w:bidi="ar"/>
              </w:rPr>
              <w:t xml:space="preserve"> 5）铺装按图纸及技术规范要求提供并铺贴以下材料，包括：场地平整、土方开挖、土方回填、路基碾压、碎石垫层、混凝土基层、模板、钢筋、水泥砂浆找平等，并包括锯板、磨边、圆弧、拼花、养护、抹面、压光、裁切、勾缝、道圆角清理净面等所需的一切物料、配件及工作内容。</w:t>
            </w:r>
          </w:p>
        </w:tc>
      </w:tr>
      <w:tr w14:paraId="08E0C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1" w:hRule="atLeast"/>
        </w:trPr>
        <w:tc>
          <w:tcPr>
            <w:tcW w:w="10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9EA6">
            <w:pPr>
              <w:keepNext w:val="0"/>
              <w:keepLines w:val="0"/>
              <w:widowControl/>
              <w:suppressLineNumbers w:val="0"/>
              <w:jc w:val="left"/>
              <w:textAlignment w:val="center"/>
              <w:rPr>
                <w:rFonts w:hint="default" w:ascii="楷体_GB2312" w:hAnsi="Arial" w:eastAsia="楷体_GB2312" w:cs="楷体_GB2312"/>
                <w:i w:val="0"/>
                <w:iCs w:val="0"/>
                <w:color w:val="000000"/>
                <w:sz w:val="21"/>
                <w:szCs w:val="21"/>
                <w:u w:val="none"/>
              </w:rPr>
            </w:pPr>
            <w:r>
              <w:rPr>
                <w:rStyle w:val="97"/>
                <w:rFonts w:hAnsi="Arial"/>
                <w:lang w:val="en-US" w:eastAsia="zh-CN" w:bidi="ar"/>
              </w:rPr>
              <w:t>（7）安装工程：</w:t>
            </w:r>
            <w:r>
              <w:rPr>
                <w:rStyle w:val="100"/>
                <w:lang w:val="en-US" w:eastAsia="zh-CN" w:bidi="ar"/>
              </w:rPr>
              <w:br w:type="textWrapping"/>
            </w:r>
            <w:r>
              <w:rPr>
                <w:rStyle w:val="99"/>
                <w:lang w:val="en-US" w:eastAsia="zh-CN" w:bidi="ar"/>
              </w:rPr>
              <w:t xml:space="preserve"> 1）清单中所有电气及给排水工程中的管、线、电缆等内容的计算方式均按图纸计算，其他费用已包含在相应综合单价内，不再另行计取；</w:t>
            </w:r>
            <w:r>
              <w:rPr>
                <w:rStyle w:val="99"/>
                <w:lang w:val="en-US" w:eastAsia="zh-CN" w:bidi="ar"/>
              </w:rPr>
              <w:br w:type="textWrapping"/>
            </w:r>
            <w:r>
              <w:rPr>
                <w:rStyle w:val="99"/>
                <w:lang w:val="en-US" w:eastAsia="zh-CN" w:bidi="ar"/>
              </w:rPr>
              <w:t xml:space="preserve"> 2）清单中与管道、电气安装相关的调试、冲洗、打压、试验类等费用已包含在相应综合单价内，不再另行计取；</w:t>
            </w:r>
            <w:r>
              <w:rPr>
                <w:rStyle w:val="99"/>
                <w:lang w:val="en-US" w:eastAsia="zh-CN" w:bidi="ar"/>
              </w:rPr>
              <w:br w:type="textWrapping"/>
            </w:r>
            <w:r>
              <w:rPr>
                <w:rStyle w:val="99"/>
                <w:lang w:val="en-US" w:eastAsia="zh-CN" w:bidi="ar"/>
              </w:rPr>
              <w:t xml:space="preserve"> 3）塑料管管件单价综合考虑了弯头、三通、变径、铜丝接头等一切管道连接件的费用，已包含在相应综合单价内，不再另行计取（管件含量不予调整）。</w:t>
            </w:r>
          </w:p>
        </w:tc>
      </w:tr>
    </w:tbl>
    <w:p w14:paraId="60D59E98">
      <w:pPr>
        <w:pStyle w:val="2"/>
        <w:rPr>
          <w:rFonts w:hint="eastAsia" w:hAnsi="宋体" w:cs="宋体"/>
          <w:color w:val="auto"/>
          <w:szCs w:val="24"/>
          <w:highlight w:val="none"/>
        </w:rPr>
      </w:pPr>
    </w:p>
    <w:p w14:paraId="78AA4EF2">
      <w:pPr>
        <w:pStyle w:val="2"/>
        <w:rPr>
          <w:rFonts w:hint="eastAsia" w:hAnsi="宋体" w:cs="宋体"/>
          <w:color w:val="auto"/>
          <w:szCs w:val="24"/>
          <w:highlight w:val="none"/>
        </w:rPr>
      </w:pPr>
    </w:p>
    <w:p w14:paraId="4CA2C836">
      <w:pPr>
        <w:pStyle w:val="2"/>
        <w:rPr>
          <w:rFonts w:hint="eastAsia" w:hAnsi="宋体" w:cs="宋体"/>
          <w:color w:val="auto"/>
          <w:szCs w:val="24"/>
          <w:highlight w:val="none"/>
        </w:rPr>
      </w:pPr>
    </w:p>
    <w:p w14:paraId="00F35E15">
      <w:pPr>
        <w:pStyle w:val="2"/>
        <w:rPr>
          <w:rFonts w:hint="eastAsia" w:hAnsi="宋体" w:cs="宋体"/>
          <w:color w:val="auto"/>
          <w:szCs w:val="24"/>
          <w:highlight w:val="none"/>
        </w:rPr>
      </w:pPr>
    </w:p>
    <w:p w14:paraId="1955F8E2">
      <w:pPr>
        <w:pStyle w:val="2"/>
        <w:rPr>
          <w:rFonts w:hint="eastAsia" w:hAnsi="宋体" w:cs="宋体"/>
          <w:color w:val="auto"/>
          <w:szCs w:val="24"/>
          <w:highlight w:val="none"/>
        </w:rPr>
      </w:pPr>
    </w:p>
    <w:p w14:paraId="1896EC69">
      <w:pPr>
        <w:pStyle w:val="2"/>
        <w:rPr>
          <w:rFonts w:hint="eastAsia" w:hAnsi="宋体" w:cs="宋体"/>
          <w:color w:val="auto"/>
          <w:szCs w:val="24"/>
          <w:highlight w:val="none"/>
        </w:rPr>
      </w:pPr>
    </w:p>
    <w:p w14:paraId="5082B237">
      <w:pPr>
        <w:pStyle w:val="2"/>
        <w:rPr>
          <w:rFonts w:hint="eastAsia" w:hAnsi="宋体" w:cs="宋体"/>
          <w:color w:val="auto"/>
          <w:szCs w:val="24"/>
          <w:highlight w:val="none"/>
        </w:rPr>
      </w:pPr>
    </w:p>
    <w:tbl>
      <w:tblPr>
        <w:tblStyle w:val="45"/>
        <w:tblW w:w="922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6"/>
        <w:gridCol w:w="1924"/>
        <w:gridCol w:w="781"/>
        <w:gridCol w:w="1011"/>
        <w:gridCol w:w="1866"/>
        <w:gridCol w:w="1837"/>
        <w:gridCol w:w="1094"/>
      </w:tblGrid>
      <w:tr w14:paraId="6CA6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9238" w:type="dxa"/>
            <w:gridSpan w:val="7"/>
            <w:tcBorders>
              <w:top w:val="nil"/>
              <w:left w:val="nil"/>
              <w:bottom w:val="nil"/>
              <w:right w:val="nil"/>
            </w:tcBorders>
            <w:shd w:val="clear" w:color="auto" w:fill="auto"/>
            <w:vAlign w:val="center"/>
          </w:tcPr>
          <w:p w14:paraId="1BEAD777">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洛宁山水文苑一期大区景观工程造价汇总表</w:t>
            </w:r>
            <w:r>
              <w:rPr>
                <w:rFonts w:hint="eastAsia" w:ascii="宋体" w:hAnsi="宋体" w:eastAsia="宋体" w:cs="宋体"/>
                <w:b/>
                <w:bCs/>
                <w:i w:val="0"/>
                <w:iCs w:val="0"/>
                <w:color w:val="000000"/>
                <w:kern w:val="0"/>
                <w:sz w:val="32"/>
                <w:szCs w:val="32"/>
                <w:u w:val="none"/>
                <w:lang w:val="en-US" w:eastAsia="zh-CN" w:bidi="ar"/>
              </w:rPr>
              <w:br w:type="textWrapping"/>
            </w:r>
            <w:r>
              <w:rPr>
                <w:rFonts w:hint="eastAsia" w:ascii="宋体" w:hAnsi="宋体" w:eastAsia="宋体" w:cs="宋体"/>
                <w:b/>
                <w:bCs/>
                <w:i w:val="0"/>
                <w:iCs w:val="0"/>
                <w:color w:val="000000"/>
                <w:kern w:val="0"/>
                <w:sz w:val="32"/>
                <w:szCs w:val="32"/>
                <w:u w:val="none"/>
                <w:lang w:val="en-US" w:eastAsia="zh-CN" w:bidi="ar"/>
              </w:rPr>
              <w:t>（单位：元）</w:t>
            </w:r>
          </w:p>
        </w:tc>
      </w:tr>
      <w:tr w14:paraId="3054C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7B51">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3BD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2E5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FBBF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工程量</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33A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 xml:space="preserve">含税金额 </w:t>
            </w:r>
            <w:r>
              <w:rPr>
                <w:rFonts w:hint="eastAsia" w:ascii="微软雅黑" w:hAnsi="微软雅黑" w:eastAsia="微软雅黑" w:cs="微软雅黑"/>
                <w:b/>
                <w:bCs/>
                <w:i w:val="0"/>
                <w:iCs w:val="0"/>
                <w:color w:val="000000"/>
                <w:kern w:val="0"/>
                <w:sz w:val="20"/>
                <w:szCs w:val="20"/>
                <w:u w:val="none"/>
                <w:lang w:val="en-US" w:eastAsia="zh-CN" w:bidi="ar"/>
              </w:rPr>
              <w:br w:type="textWrapping"/>
            </w:r>
            <w:r>
              <w:rPr>
                <w:rFonts w:hint="eastAsia" w:ascii="微软雅黑" w:hAnsi="微软雅黑" w:eastAsia="微软雅黑" w:cs="微软雅黑"/>
                <w:b/>
                <w:bCs/>
                <w:i w:val="0"/>
                <w:iCs w:val="0"/>
                <w:color w:val="000000"/>
                <w:kern w:val="0"/>
                <w:sz w:val="20"/>
                <w:szCs w:val="20"/>
                <w:u w:val="none"/>
                <w:lang w:val="en-US" w:eastAsia="zh-CN" w:bidi="ar"/>
              </w:rPr>
              <w:t>(元)</w:t>
            </w: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474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含税合计</w:t>
            </w:r>
            <w:r>
              <w:rPr>
                <w:rFonts w:hint="eastAsia" w:ascii="微软雅黑" w:hAnsi="微软雅黑" w:eastAsia="微软雅黑" w:cs="微软雅黑"/>
                <w:b/>
                <w:bCs/>
                <w:i w:val="0"/>
                <w:iCs w:val="0"/>
                <w:color w:val="000000"/>
                <w:kern w:val="0"/>
                <w:sz w:val="20"/>
                <w:szCs w:val="20"/>
                <w:u w:val="none"/>
                <w:lang w:val="en-US" w:eastAsia="zh-CN" w:bidi="ar"/>
              </w:rPr>
              <w:br w:type="textWrapping"/>
            </w:r>
            <w:r>
              <w:rPr>
                <w:rFonts w:hint="eastAsia" w:ascii="微软雅黑" w:hAnsi="微软雅黑" w:eastAsia="微软雅黑" w:cs="微软雅黑"/>
                <w:b/>
                <w:bCs/>
                <w:i w:val="0"/>
                <w:iCs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1EE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备注</w:t>
            </w:r>
          </w:p>
        </w:tc>
      </w:tr>
      <w:tr w14:paraId="5CEB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3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3BE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硬质铺装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F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7F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A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2856412.73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F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2856412.73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C5E9">
            <w:pPr>
              <w:rPr>
                <w:rFonts w:hint="eastAsia" w:ascii="宋体" w:hAnsi="宋体" w:eastAsia="宋体" w:cs="宋体"/>
                <w:i w:val="0"/>
                <w:iCs w:val="0"/>
                <w:color w:val="000000"/>
                <w:sz w:val="24"/>
                <w:szCs w:val="24"/>
                <w:u w:val="none"/>
              </w:rPr>
            </w:pPr>
          </w:p>
        </w:tc>
      </w:tr>
      <w:tr w14:paraId="39682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5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61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绿植乔木</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E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CD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6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1064093.05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3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1064093.05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674C">
            <w:pPr>
              <w:rPr>
                <w:rFonts w:hint="eastAsia" w:ascii="宋体" w:hAnsi="宋体" w:eastAsia="宋体" w:cs="宋体"/>
                <w:i w:val="0"/>
                <w:iCs w:val="0"/>
                <w:color w:val="000000"/>
                <w:sz w:val="24"/>
                <w:szCs w:val="24"/>
                <w:u w:val="none"/>
              </w:rPr>
            </w:pPr>
          </w:p>
        </w:tc>
      </w:tr>
      <w:tr w14:paraId="31003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B7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6BC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绿植灌木</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4B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7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AF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1089037.41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6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1089037.41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F638">
            <w:pPr>
              <w:rPr>
                <w:rFonts w:hint="eastAsia" w:ascii="宋体" w:hAnsi="宋体" w:eastAsia="宋体" w:cs="宋体"/>
                <w:i w:val="0"/>
                <w:iCs w:val="0"/>
                <w:color w:val="000000"/>
                <w:sz w:val="24"/>
                <w:szCs w:val="24"/>
                <w:u w:val="none"/>
              </w:rPr>
            </w:pPr>
          </w:p>
        </w:tc>
      </w:tr>
      <w:tr w14:paraId="73CA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E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35C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景观水电</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9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1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4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415896.16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6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415896.16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8465">
            <w:pPr>
              <w:rPr>
                <w:rFonts w:hint="eastAsia" w:ascii="宋体" w:hAnsi="宋体" w:eastAsia="宋体" w:cs="宋体"/>
                <w:i w:val="0"/>
                <w:iCs w:val="0"/>
                <w:color w:val="000000"/>
                <w:sz w:val="24"/>
                <w:szCs w:val="24"/>
                <w:u w:val="none"/>
              </w:rPr>
            </w:pPr>
          </w:p>
        </w:tc>
      </w:tr>
      <w:tr w14:paraId="27554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6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955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外网雨污水</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4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1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948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474787.95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72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474787.95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722F">
            <w:pPr>
              <w:rPr>
                <w:rFonts w:hint="eastAsia" w:ascii="宋体" w:hAnsi="宋体" w:eastAsia="宋体" w:cs="宋体"/>
                <w:i w:val="0"/>
                <w:iCs w:val="0"/>
                <w:color w:val="000000"/>
                <w:sz w:val="24"/>
                <w:szCs w:val="24"/>
                <w:u w:val="none"/>
              </w:rPr>
            </w:pPr>
          </w:p>
        </w:tc>
      </w:tr>
      <w:tr w14:paraId="632ED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C3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CD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软装</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4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E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 </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4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122008.12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CE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122008.12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A9EE">
            <w:pPr>
              <w:rPr>
                <w:rFonts w:hint="eastAsia" w:ascii="宋体" w:hAnsi="宋体" w:eastAsia="宋体" w:cs="宋体"/>
                <w:i w:val="0"/>
                <w:iCs w:val="0"/>
                <w:color w:val="000000"/>
                <w:sz w:val="24"/>
                <w:szCs w:val="24"/>
                <w:u w:val="none"/>
              </w:rPr>
            </w:pPr>
          </w:p>
        </w:tc>
      </w:tr>
      <w:tr w14:paraId="46FA6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4E59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B3B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元</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ED1F1">
            <w:pPr>
              <w:jc w:val="center"/>
              <w:rPr>
                <w:rFonts w:hint="eastAsia" w:ascii="宋体" w:hAnsi="宋体" w:eastAsia="宋体" w:cs="宋体"/>
                <w:b/>
                <w:bCs/>
                <w:i w:val="0"/>
                <w:iCs w:val="0"/>
                <w:color w:val="000000"/>
                <w:sz w:val="24"/>
                <w:szCs w:val="24"/>
                <w:u w:val="none"/>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0A3B">
            <w:pPr>
              <w:jc w:val="right"/>
              <w:rPr>
                <w:rFonts w:hint="eastAsia" w:ascii="宋体" w:hAnsi="宋体" w:eastAsia="宋体" w:cs="宋体"/>
                <w:b/>
                <w:bCs/>
                <w:i w:val="0"/>
                <w:iCs w:val="0"/>
                <w:color w:val="000000"/>
                <w:sz w:val="24"/>
                <w:szCs w:val="24"/>
                <w:u w:val="none"/>
              </w:rPr>
            </w:pPr>
          </w:p>
        </w:tc>
        <w:tc>
          <w:tcPr>
            <w:tcW w:w="1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ED0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6022235.41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1BE5C">
            <w:pPr>
              <w:rPr>
                <w:rFonts w:hint="eastAsia" w:ascii="宋体" w:hAnsi="宋体" w:eastAsia="宋体" w:cs="宋体"/>
                <w:b/>
                <w:bCs/>
                <w:i w:val="0"/>
                <w:iCs w:val="0"/>
                <w:color w:val="000000"/>
                <w:sz w:val="24"/>
                <w:szCs w:val="24"/>
                <w:u w:val="none"/>
              </w:rPr>
            </w:pPr>
          </w:p>
        </w:tc>
      </w:tr>
    </w:tbl>
    <w:p w14:paraId="0698269F">
      <w:pPr>
        <w:pStyle w:val="2"/>
        <w:rPr>
          <w:rFonts w:hint="eastAsia" w:hAnsi="宋体" w:cs="宋体"/>
          <w:bCs/>
          <w:color w:val="auto"/>
          <w:szCs w:val="24"/>
          <w:highlight w:val="none"/>
          <w:lang w:val="en-US" w:eastAsia="zh-CN"/>
        </w:rPr>
      </w:pPr>
    </w:p>
    <w:sectPr>
      <w:headerReference r:id="rId6" w:type="default"/>
      <w:footerReference r:id="rId7" w:type="default"/>
      <w:pgSz w:w="11906" w:h="16838"/>
      <w:pgMar w:top="1134" w:right="1304" w:bottom="1134" w:left="130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C7EED">
    <w:pPr>
      <w:pStyle w:val="30"/>
    </w:pPr>
    <w: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AF5542">
                          <w:pPr>
                            <w:snapToGrid w:val="0"/>
                            <w:rPr>
                              <w:rFonts w:eastAsia="宋体"/>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26</w:t>
                          </w:r>
                          <w:r>
                            <w:rPr>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ueA5AgAAc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u/ueA5AgAAcwQAAA4AAAAAAAAAAQAgAAAAHwEAAGRycy9lMm9Eb2Mu&#10;eG1sUEsFBgAAAAAGAAYAWQEAAMoFAAAAAA==&#10;">
              <v:fill on="f" focussize="0,0"/>
              <v:stroke on="f" weight="0.5pt"/>
              <v:imagedata o:title=""/>
              <o:lock v:ext="edit" aspectratio="f"/>
              <v:textbox inset="0mm,0mm,0mm,0mm" style="mso-fit-shape-to-text:t;">
                <w:txbxContent>
                  <w:p w14:paraId="31AF5542">
                    <w:pPr>
                      <w:snapToGrid w:val="0"/>
                      <w:rPr>
                        <w:rFonts w:eastAsia="宋体"/>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26</w:t>
                    </w:r>
                    <w:r>
                      <w:rPr>
                        <w:sz w:val="18"/>
                      </w:rPr>
                      <w:fldChar w:fldCharType="end"/>
                    </w:r>
                    <w:r>
                      <w:rPr>
                        <w:rFonts w:hint="eastAsia"/>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9BEAF">
    <w:pPr>
      <w:pStyle w:val="30"/>
    </w:pPr>
    <w: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9AD208">
                          <w:pPr>
                            <w:snapToGrid w:val="0"/>
                            <w:rPr>
                              <w:rFonts w:eastAsia="宋体"/>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26</w:t>
                          </w:r>
                          <w:r>
                            <w:rPr>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Fk4M7AgAAc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OYWTgzsCAABzBAAADgAAAAAAAAABACAAAAAfAQAAZHJzL2Uyb0Rv&#10;Yy54bWxQSwUGAAAAAAYABgBZAQAAzAUAAAAA&#10;">
              <v:fill on="f" focussize="0,0"/>
              <v:stroke on="f" weight="0.5pt"/>
              <v:imagedata o:title=""/>
              <o:lock v:ext="edit" aspectratio="f"/>
              <v:textbox inset="0mm,0mm,0mm,0mm" style="mso-fit-shape-to-text:t;">
                <w:txbxContent>
                  <w:p w14:paraId="749AD208">
                    <w:pPr>
                      <w:snapToGrid w:val="0"/>
                      <w:rPr>
                        <w:rFonts w:eastAsia="宋体"/>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26</w:t>
                    </w:r>
                    <w:r>
                      <w:rPr>
                        <w:sz w:val="18"/>
                      </w:rPr>
                      <w:fldChar w:fldCharType="end"/>
                    </w:r>
                    <w:r>
                      <w:rPr>
                        <w:rFonts w:hint="eastAsia"/>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62F3A">
    <w:pPr>
      <w:pStyle w:val="30"/>
      <w:jc w:val="center"/>
      <w:rPr>
        <w:rFonts w:ascii="宋体" w:hAnsi="宋体"/>
        <w:color w:val="FF0000"/>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034F0">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C5034F0">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D29B5">
    <w:pPr>
      <w:pBdr>
        <w:bottom w:val="dotted" w:color="auto" w:sz="4" w:space="0"/>
      </w:pBdr>
      <w:rPr>
        <w:rFonts w:eastAsia="宋体"/>
      </w:rPr>
    </w:pPr>
    <w:r>
      <w:drawing>
        <wp:inline distT="0" distB="0" distL="0" distR="0">
          <wp:extent cx="1017905" cy="316865"/>
          <wp:effectExtent l="0" t="0" r="3175" b="317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C9F30">
    <w:pPr>
      <w:pStyle w:val="31"/>
      <w:ind w:right="422"/>
      <w:jc w:val="both"/>
      <w:rPr>
        <w:rFonts w:ascii="Batang"/>
        <w:color w:val="999999"/>
        <w:sz w:val="16"/>
        <w:szCs w:val="16"/>
      </w:rPr>
    </w:pPr>
    <w:r>
      <w:drawing>
        <wp:inline distT="0" distB="0" distL="114300" distR="114300">
          <wp:extent cx="1019175" cy="314325"/>
          <wp:effectExtent l="0" t="0" r="9525" b="9525"/>
          <wp:docPr id="1" name="图片 1"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浩德logo"/>
                  <pic:cNvPicPr>
                    <a:picLocks noChangeAspect="1"/>
                  </pic:cNvPicPr>
                </pic:nvPicPr>
                <pic:blipFill>
                  <a:blip r:embed="rId1"/>
                  <a:stretch>
                    <a:fillRect/>
                  </a:stretch>
                </pic:blipFill>
                <pic:spPr>
                  <a:xfrm>
                    <a:off x="0" y="0"/>
                    <a:ext cx="1019175" cy="314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pStyle w:val="3"/>
      <w:lvlText w:val="%1."/>
      <w:lvlJc w:val="left"/>
      <w:pPr>
        <w:tabs>
          <w:tab w:val="left" w:pos="0"/>
        </w:tabs>
        <w:ind w:left="425" w:hanging="425"/>
      </w:pPr>
      <w:rPr>
        <w:rFonts w:cs="Times New Roman"/>
      </w:rPr>
    </w:lvl>
    <w:lvl w:ilvl="1" w:tentative="0">
      <w:start w:val="1"/>
      <w:numFmt w:val="decimal"/>
      <w:pStyle w:val="4"/>
      <w:lvlText w:val="%2."/>
      <w:legacy w:legacy="1" w:legacySpace="0" w:legacyIndent="425"/>
      <w:lvlJc w:val="left"/>
      <w:pPr>
        <w:ind w:left="992" w:hanging="425"/>
      </w:pPr>
      <w:rPr>
        <w:rFonts w:cs="Times New Roman"/>
      </w:rPr>
    </w:lvl>
    <w:lvl w:ilvl="2" w:tentative="0">
      <w:start w:val="1"/>
      <w:numFmt w:val="none"/>
      <w:pStyle w:val="5"/>
      <w:suff w:val="nothing"/>
      <w:lvlText w:val=""/>
      <w:lvlJc w:val="left"/>
      <w:pPr>
        <w:tabs>
          <w:tab w:val="left" w:pos="0"/>
        </w:tabs>
        <w:ind w:left="851" w:hanging="425"/>
      </w:pPr>
      <w:rPr>
        <w:rFonts w:cs="Times New Roman"/>
      </w:rPr>
    </w:lvl>
    <w:lvl w:ilvl="3" w:tentative="0">
      <w:start w:val="1"/>
      <w:numFmt w:val="lowerLetter"/>
      <w:pStyle w:val="6"/>
      <w:lvlText w:val="%4)"/>
      <w:legacy w:legacy="1" w:legacySpace="0" w:legacyIndent="425"/>
      <w:lvlJc w:val="left"/>
      <w:pPr>
        <w:ind w:left="1700" w:hanging="425"/>
      </w:pPr>
      <w:rPr>
        <w:rFonts w:cs="Times New Roman"/>
      </w:rPr>
    </w:lvl>
    <w:lvl w:ilvl="4" w:tentative="0">
      <w:start w:val="1"/>
      <w:numFmt w:val="decimal"/>
      <w:pStyle w:val="7"/>
      <w:lvlText w:val="(%5)"/>
      <w:legacy w:legacy="1" w:legacySpace="0" w:legacyIndent="425"/>
      <w:lvlJc w:val="left"/>
      <w:pPr>
        <w:ind w:left="2125" w:hanging="425"/>
      </w:pPr>
      <w:rPr>
        <w:rFonts w:cs="Times New Roman"/>
      </w:rPr>
    </w:lvl>
    <w:lvl w:ilvl="5" w:tentative="0">
      <w:start w:val="1"/>
      <w:numFmt w:val="lowerLetter"/>
      <w:pStyle w:val="8"/>
      <w:lvlText w:val="(%6)"/>
      <w:legacy w:legacy="1" w:legacySpace="0" w:legacyIndent="425"/>
      <w:lvlJc w:val="left"/>
      <w:pPr>
        <w:ind w:left="2550" w:hanging="425"/>
      </w:pPr>
      <w:rPr>
        <w:rFonts w:cs="Times New Roman"/>
      </w:rPr>
    </w:lvl>
    <w:lvl w:ilvl="6" w:tentative="0">
      <w:start w:val="1"/>
      <w:numFmt w:val="lowerRoman"/>
      <w:pStyle w:val="9"/>
      <w:lvlText w:val="(%7)"/>
      <w:legacy w:legacy="1" w:legacySpace="0" w:legacyIndent="425"/>
      <w:lvlJc w:val="left"/>
      <w:pPr>
        <w:ind w:left="2975" w:hanging="425"/>
      </w:pPr>
      <w:rPr>
        <w:rFonts w:cs="Times New Roman"/>
      </w:rPr>
    </w:lvl>
    <w:lvl w:ilvl="7" w:tentative="0">
      <w:start w:val="1"/>
      <w:numFmt w:val="lowerLetter"/>
      <w:pStyle w:val="10"/>
      <w:lvlText w:val="(%8)"/>
      <w:legacy w:legacy="1" w:legacySpace="0" w:legacyIndent="425"/>
      <w:lvlJc w:val="left"/>
      <w:pPr>
        <w:ind w:left="3400" w:hanging="425"/>
      </w:pPr>
      <w:rPr>
        <w:rFonts w:cs="Times New Roman"/>
      </w:rPr>
    </w:lvl>
    <w:lvl w:ilvl="8" w:tentative="0">
      <w:start w:val="1"/>
      <w:numFmt w:val="lowerRoman"/>
      <w:pStyle w:val="11"/>
      <w:lvlText w:val="(%9)"/>
      <w:legacy w:legacy="1" w:legacySpace="0" w:legacyIndent="425"/>
      <w:lvlJc w:val="left"/>
      <w:pPr>
        <w:ind w:left="3825" w:hanging="425"/>
      </w:pPr>
      <w:rPr>
        <w:rFonts w:cs="Times New Roman"/>
      </w:rPr>
    </w:lvl>
  </w:abstractNum>
  <w:abstractNum w:abstractNumId="1">
    <w:nsid w:val="F103B31F"/>
    <w:multiLevelType w:val="singleLevel"/>
    <w:tmpl w:val="F103B31F"/>
    <w:lvl w:ilvl="0" w:tentative="0">
      <w:start w:val="13"/>
      <w:numFmt w:val="chineseCounting"/>
      <w:suff w:val="nothing"/>
      <w:lvlText w:val="%1、"/>
      <w:lvlJc w:val="left"/>
      <w:rPr>
        <w:rFonts w:hint="eastAsia"/>
      </w:rPr>
    </w:lvl>
  </w:abstractNum>
  <w:abstractNum w:abstractNumId="2">
    <w:nsid w:val="0B283303"/>
    <w:multiLevelType w:val="multilevel"/>
    <w:tmpl w:val="0B28330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0634B16"/>
    <w:multiLevelType w:val="multilevel"/>
    <w:tmpl w:val="10634B16"/>
    <w:lvl w:ilvl="0" w:tentative="0">
      <w:start w:val="1"/>
      <w:numFmt w:val="decimal"/>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7371B22"/>
    <w:multiLevelType w:val="multilevel"/>
    <w:tmpl w:val="27371B22"/>
    <w:lvl w:ilvl="0" w:tentative="0">
      <w:start w:val="1"/>
      <w:numFmt w:val="decimal"/>
      <w:lvlText w:val="%1、"/>
      <w:lvlJc w:val="left"/>
      <w:pPr>
        <w:tabs>
          <w:tab w:val="left" w:pos="360"/>
        </w:tabs>
        <w:ind w:left="360" w:hanging="360"/>
      </w:pPr>
      <w:rPr>
        <w:rFonts w:hint="default"/>
      </w:rPr>
    </w:lvl>
    <w:lvl w:ilvl="1" w:tentative="0">
      <w:start w:val="8"/>
      <w:numFmt w:val="decimalEnclosedCircle"/>
      <w:lvlText w:val="%2"/>
      <w:lvlJc w:val="left"/>
      <w:pPr>
        <w:tabs>
          <w:tab w:val="left" w:pos="1050"/>
        </w:tabs>
        <w:ind w:left="1050" w:hanging="63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0BC2C42"/>
    <w:multiLevelType w:val="multilevel"/>
    <w:tmpl w:val="40BC2C42"/>
    <w:lvl w:ilvl="0" w:tentative="0">
      <w:start w:val="1"/>
      <w:numFmt w:val="upperLetter"/>
      <w:lvlText w:val="%1．"/>
      <w:lvlJc w:val="left"/>
      <w:pPr>
        <w:tabs>
          <w:tab w:val="left" w:pos="360"/>
        </w:tabs>
        <w:ind w:left="360"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decimal"/>
      <w:lvlText w:val="%3）"/>
      <w:lvlJc w:val="left"/>
      <w:pPr>
        <w:tabs>
          <w:tab w:val="left" w:pos="1200"/>
        </w:tabs>
        <w:ind w:left="1200" w:hanging="360"/>
      </w:pPr>
      <w:rPr>
        <w:rFonts w:hint="default" w:ascii="宋体" w:hAnsi="宋体"/>
        <w:b/>
      </w:rPr>
    </w:lvl>
    <w:lvl w:ilvl="3" w:tentative="0">
      <w:start w:val="1"/>
      <w:numFmt w:val="lowerLetter"/>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E182190"/>
    <w:multiLevelType w:val="multilevel"/>
    <w:tmpl w:val="4E182190"/>
    <w:lvl w:ilvl="0" w:tentative="0">
      <w:start w:val="1"/>
      <w:numFmt w:val="upperLetter"/>
      <w:lvlText w:val="%1."/>
      <w:lvlJc w:val="left"/>
      <w:pPr>
        <w:tabs>
          <w:tab w:val="left" w:pos="1261"/>
        </w:tabs>
        <w:ind w:left="1261" w:hanging="360"/>
      </w:pPr>
      <w:rPr>
        <w:rFonts w:hint="default"/>
      </w:rPr>
    </w:lvl>
    <w:lvl w:ilvl="1" w:tentative="0">
      <w:start w:val="1"/>
      <w:numFmt w:val="lowerLetter"/>
      <w:lvlText w:val="%2)"/>
      <w:lvlJc w:val="left"/>
      <w:pPr>
        <w:tabs>
          <w:tab w:val="left" w:pos="1741"/>
        </w:tabs>
        <w:ind w:left="1741" w:hanging="420"/>
      </w:pPr>
    </w:lvl>
    <w:lvl w:ilvl="2" w:tentative="0">
      <w:start w:val="1"/>
      <w:numFmt w:val="lowerRoman"/>
      <w:lvlText w:val="%3."/>
      <w:lvlJc w:val="right"/>
      <w:pPr>
        <w:tabs>
          <w:tab w:val="left" w:pos="2161"/>
        </w:tabs>
        <w:ind w:left="2161" w:hanging="420"/>
      </w:pPr>
    </w:lvl>
    <w:lvl w:ilvl="3" w:tentative="0">
      <w:start w:val="1"/>
      <w:numFmt w:val="decimal"/>
      <w:lvlText w:val="%4."/>
      <w:lvlJc w:val="left"/>
      <w:pPr>
        <w:tabs>
          <w:tab w:val="left" w:pos="2581"/>
        </w:tabs>
        <w:ind w:left="2581" w:hanging="420"/>
      </w:pPr>
    </w:lvl>
    <w:lvl w:ilvl="4" w:tentative="0">
      <w:start w:val="1"/>
      <w:numFmt w:val="lowerLetter"/>
      <w:lvlText w:val="%5)"/>
      <w:lvlJc w:val="left"/>
      <w:pPr>
        <w:tabs>
          <w:tab w:val="left" w:pos="3001"/>
        </w:tabs>
        <w:ind w:left="3001" w:hanging="420"/>
      </w:pPr>
    </w:lvl>
    <w:lvl w:ilvl="5" w:tentative="0">
      <w:start w:val="1"/>
      <w:numFmt w:val="lowerRoman"/>
      <w:lvlText w:val="%6."/>
      <w:lvlJc w:val="right"/>
      <w:pPr>
        <w:tabs>
          <w:tab w:val="left" w:pos="3421"/>
        </w:tabs>
        <w:ind w:left="3421" w:hanging="420"/>
      </w:pPr>
    </w:lvl>
    <w:lvl w:ilvl="6" w:tentative="0">
      <w:start w:val="1"/>
      <w:numFmt w:val="decimal"/>
      <w:lvlText w:val="%7."/>
      <w:lvlJc w:val="left"/>
      <w:pPr>
        <w:tabs>
          <w:tab w:val="left" w:pos="3841"/>
        </w:tabs>
        <w:ind w:left="3841" w:hanging="420"/>
      </w:pPr>
    </w:lvl>
    <w:lvl w:ilvl="7" w:tentative="0">
      <w:start w:val="1"/>
      <w:numFmt w:val="lowerLetter"/>
      <w:lvlText w:val="%8)"/>
      <w:lvlJc w:val="left"/>
      <w:pPr>
        <w:tabs>
          <w:tab w:val="left" w:pos="4261"/>
        </w:tabs>
        <w:ind w:left="4261" w:hanging="420"/>
      </w:pPr>
    </w:lvl>
    <w:lvl w:ilvl="8" w:tentative="0">
      <w:start w:val="1"/>
      <w:numFmt w:val="lowerRoman"/>
      <w:lvlText w:val="%9."/>
      <w:lvlJc w:val="right"/>
      <w:pPr>
        <w:tabs>
          <w:tab w:val="left" w:pos="4681"/>
        </w:tabs>
        <w:ind w:left="4681" w:hanging="420"/>
      </w:pPr>
    </w:lvl>
  </w:abstractNum>
  <w:abstractNum w:abstractNumId="7">
    <w:nsid w:val="57AA993A"/>
    <w:multiLevelType w:val="singleLevel"/>
    <w:tmpl w:val="57AA993A"/>
    <w:lvl w:ilvl="0" w:tentative="0">
      <w:start w:val="1"/>
      <w:numFmt w:val="decimal"/>
      <w:suff w:val="nothing"/>
      <w:lvlText w:val="%1、"/>
      <w:lvlJc w:val="left"/>
    </w:lvl>
  </w:abstractNum>
  <w:abstractNum w:abstractNumId="8">
    <w:nsid w:val="57D676C1"/>
    <w:multiLevelType w:val="multilevel"/>
    <w:tmpl w:val="57D676C1"/>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9">
    <w:nsid w:val="57D676D6"/>
    <w:multiLevelType w:val="multilevel"/>
    <w:tmpl w:val="57D676D6"/>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0">
    <w:nsid w:val="57D676EB"/>
    <w:multiLevelType w:val="multilevel"/>
    <w:tmpl w:val="57D676EB"/>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1">
    <w:nsid w:val="57D67C48"/>
    <w:multiLevelType w:val="multilevel"/>
    <w:tmpl w:val="57D67C48"/>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2">
    <w:nsid w:val="57D68160"/>
    <w:multiLevelType w:val="multilevel"/>
    <w:tmpl w:val="57D68160"/>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3">
    <w:nsid w:val="57D681F1"/>
    <w:multiLevelType w:val="multilevel"/>
    <w:tmpl w:val="57D681F1"/>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4">
    <w:nsid w:val="57D6820B"/>
    <w:multiLevelType w:val="multilevel"/>
    <w:tmpl w:val="57D6820B"/>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5">
    <w:nsid w:val="57D68272"/>
    <w:multiLevelType w:val="multilevel"/>
    <w:tmpl w:val="57D68272"/>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6">
    <w:nsid w:val="57D682A5"/>
    <w:multiLevelType w:val="multilevel"/>
    <w:tmpl w:val="57D682A5"/>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7">
    <w:nsid w:val="57D68326"/>
    <w:multiLevelType w:val="multilevel"/>
    <w:tmpl w:val="57D68326"/>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8">
    <w:nsid w:val="57D68348"/>
    <w:multiLevelType w:val="multilevel"/>
    <w:tmpl w:val="57D68348"/>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19">
    <w:nsid w:val="57D74D2C"/>
    <w:multiLevelType w:val="multilevel"/>
    <w:tmpl w:val="57D74D2C"/>
    <w:lvl w:ilvl="0" w:tentative="0">
      <w:start w:val="1"/>
      <w:numFmt w:val="upperLetter"/>
      <w:lvlText w:val="%1."/>
      <w:lvlJc w:val="left"/>
      <w:pPr>
        <w:tabs>
          <w:tab w:val="left" w:pos="1253"/>
        </w:tabs>
        <w:ind w:left="1253" w:hanging="360"/>
      </w:pPr>
      <w:rPr>
        <w:rFonts w:hint="default" w:ascii="Times New Roman" w:hAnsi="Times New Roman"/>
        <w:b w:val="0"/>
      </w:rPr>
    </w:lvl>
    <w:lvl w:ilvl="1" w:tentative="0">
      <w:start w:val="1"/>
      <w:numFmt w:val="lowerLetter"/>
      <w:lvlText w:val="%2)"/>
      <w:lvlJc w:val="left"/>
      <w:pPr>
        <w:tabs>
          <w:tab w:val="left" w:pos="1733"/>
        </w:tabs>
        <w:ind w:left="1733" w:hanging="420"/>
      </w:pPr>
    </w:lvl>
    <w:lvl w:ilvl="2" w:tentative="0">
      <w:start w:val="1"/>
      <w:numFmt w:val="lowerRoman"/>
      <w:lvlText w:val="%3."/>
      <w:lvlJc w:val="right"/>
      <w:pPr>
        <w:tabs>
          <w:tab w:val="left" w:pos="2153"/>
        </w:tabs>
        <w:ind w:left="2153" w:hanging="420"/>
      </w:pPr>
    </w:lvl>
    <w:lvl w:ilvl="3" w:tentative="0">
      <w:start w:val="1"/>
      <w:numFmt w:val="decimal"/>
      <w:lvlText w:val="%4."/>
      <w:lvlJc w:val="left"/>
      <w:pPr>
        <w:tabs>
          <w:tab w:val="left" w:pos="2573"/>
        </w:tabs>
        <w:ind w:left="2573" w:hanging="420"/>
      </w:pPr>
    </w:lvl>
    <w:lvl w:ilvl="4" w:tentative="0">
      <w:start w:val="1"/>
      <w:numFmt w:val="lowerLetter"/>
      <w:lvlText w:val="%5)"/>
      <w:lvlJc w:val="left"/>
      <w:pPr>
        <w:tabs>
          <w:tab w:val="left" w:pos="2993"/>
        </w:tabs>
        <w:ind w:left="2993" w:hanging="420"/>
      </w:pPr>
    </w:lvl>
    <w:lvl w:ilvl="5" w:tentative="0">
      <w:start w:val="1"/>
      <w:numFmt w:val="lowerRoman"/>
      <w:lvlText w:val="%6."/>
      <w:lvlJc w:val="right"/>
      <w:pPr>
        <w:tabs>
          <w:tab w:val="left" w:pos="3413"/>
        </w:tabs>
        <w:ind w:left="3413" w:hanging="420"/>
      </w:pPr>
    </w:lvl>
    <w:lvl w:ilvl="6" w:tentative="0">
      <w:start w:val="1"/>
      <w:numFmt w:val="decimal"/>
      <w:lvlText w:val="%7."/>
      <w:lvlJc w:val="left"/>
      <w:pPr>
        <w:tabs>
          <w:tab w:val="left" w:pos="3833"/>
        </w:tabs>
        <w:ind w:left="3833" w:hanging="420"/>
      </w:pPr>
    </w:lvl>
    <w:lvl w:ilvl="7" w:tentative="0">
      <w:start w:val="1"/>
      <w:numFmt w:val="lowerLetter"/>
      <w:lvlText w:val="%8)"/>
      <w:lvlJc w:val="left"/>
      <w:pPr>
        <w:tabs>
          <w:tab w:val="left" w:pos="4253"/>
        </w:tabs>
        <w:ind w:left="4253" w:hanging="420"/>
      </w:pPr>
    </w:lvl>
    <w:lvl w:ilvl="8" w:tentative="0">
      <w:start w:val="1"/>
      <w:numFmt w:val="lowerRoman"/>
      <w:lvlText w:val="%9."/>
      <w:lvlJc w:val="right"/>
      <w:pPr>
        <w:tabs>
          <w:tab w:val="left" w:pos="4673"/>
        </w:tabs>
        <w:ind w:left="4673" w:hanging="420"/>
      </w:pPr>
    </w:lvl>
  </w:abstractNum>
  <w:abstractNum w:abstractNumId="20">
    <w:nsid w:val="65734921"/>
    <w:multiLevelType w:val="multilevel"/>
    <w:tmpl w:val="6573492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98D2722"/>
    <w:multiLevelType w:val="multilevel"/>
    <w:tmpl w:val="698D2722"/>
    <w:lvl w:ilvl="0" w:tentative="0">
      <w:start w:val="1"/>
      <w:numFmt w:val="none"/>
      <w:lvlText w:val="一、"/>
      <w:lvlJc w:val="left"/>
      <w:pPr>
        <w:tabs>
          <w:tab w:val="left" w:pos="720"/>
        </w:tabs>
        <w:ind w:left="720" w:hanging="7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00"/>
        </w:tabs>
        <w:ind w:left="1200" w:hanging="360"/>
      </w:pPr>
      <w:rPr>
        <w:rFonts w:hint="default"/>
        <w:b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7119E3E2"/>
    <w:multiLevelType w:val="singleLevel"/>
    <w:tmpl w:val="7119E3E2"/>
    <w:lvl w:ilvl="0" w:tentative="0">
      <w:start w:val="1"/>
      <w:numFmt w:val="decimal"/>
      <w:suff w:val="nothing"/>
      <w:lvlText w:val="%1、"/>
      <w:lvlJc w:val="left"/>
    </w:lvl>
  </w:abstractNum>
  <w:abstractNum w:abstractNumId="23">
    <w:nsid w:val="7C615B8D"/>
    <w:multiLevelType w:val="multilevel"/>
    <w:tmpl w:val="7C615B8D"/>
    <w:lvl w:ilvl="0" w:tentative="0">
      <w:start w:val="1"/>
      <w:numFmt w:val="upperLetter"/>
      <w:lvlText w:val="%1."/>
      <w:lvlJc w:val="left"/>
      <w:pPr>
        <w:tabs>
          <w:tab w:val="left" w:pos="1200"/>
        </w:tabs>
        <w:ind w:left="1200" w:hanging="7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2"/>
  </w:num>
  <w:num w:numId="3">
    <w:abstractNumId w:val="2"/>
  </w:num>
  <w:num w:numId="4">
    <w:abstractNumId w:val="5"/>
  </w:num>
  <w:num w:numId="5">
    <w:abstractNumId w:val="20"/>
  </w:num>
  <w:num w:numId="6">
    <w:abstractNumId w:val="4"/>
  </w:num>
  <w:num w:numId="7">
    <w:abstractNumId w:val="21"/>
  </w:num>
  <w:num w:numId="8">
    <w:abstractNumId w:val="6"/>
  </w:num>
  <w:num w:numId="9">
    <w:abstractNumId w:val="23"/>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7"/>
  </w:num>
  <w:num w:numId="22">
    <w:abstractNumId w:val="3"/>
  </w:num>
  <w:num w:numId="23">
    <w:abstractNumId w:val="1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lODRhNTY2YTliZmVkOWRlODI2MWVjNWFiZjEwN2IifQ=="/>
  </w:docVars>
  <w:rsids>
    <w:rsidRoot w:val="00172A27"/>
    <w:rsid w:val="00010726"/>
    <w:rsid w:val="000139E0"/>
    <w:rsid w:val="00014E6C"/>
    <w:rsid w:val="00016F0C"/>
    <w:rsid w:val="000175E9"/>
    <w:rsid w:val="00025599"/>
    <w:rsid w:val="0002623D"/>
    <w:rsid w:val="00033465"/>
    <w:rsid w:val="00062508"/>
    <w:rsid w:val="00082A00"/>
    <w:rsid w:val="00085542"/>
    <w:rsid w:val="000936F9"/>
    <w:rsid w:val="000A118C"/>
    <w:rsid w:val="000B1E62"/>
    <w:rsid w:val="000C0B64"/>
    <w:rsid w:val="000D1A08"/>
    <w:rsid w:val="000D26C8"/>
    <w:rsid w:val="000D6B54"/>
    <w:rsid w:val="000D6C9F"/>
    <w:rsid w:val="00100C15"/>
    <w:rsid w:val="0010316E"/>
    <w:rsid w:val="00111CD9"/>
    <w:rsid w:val="00112F37"/>
    <w:rsid w:val="0011300E"/>
    <w:rsid w:val="00124114"/>
    <w:rsid w:val="00125D5C"/>
    <w:rsid w:val="001260CD"/>
    <w:rsid w:val="001279C5"/>
    <w:rsid w:val="00137AEC"/>
    <w:rsid w:val="001566AF"/>
    <w:rsid w:val="00161F31"/>
    <w:rsid w:val="001621FC"/>
    <w:rsid w:val="00164A63"/>
    <w:rsid w:val="00166A13"/>
    <w:rsid w:val="00170F87"/>
    <w:rsid w:val="00172924"/>
    <w:rsid w:val="00172A27"/>
    <w:rsid w:val="001766D9"/>
    <w:rsid w:val="00176FF5"/>
    <w:rsid w:val="0018086F"/>
    <w:rsid w:val="00183772"/>
    <w:rsid w:val="001843B4"/>
    <w:rsid w:val="00190188"/>
    <w:rsid w:val="00190F18"/>
    <w:rsid w:val="00191138"/>
    <w:rsid w:val="00192AC1"/>
    <w:rsid w:val="001A4FB5"/>
    <w:rsid w:val="001A6A80"/>
    <w:rsid w:val="001B7B70"/>
    <w:rsid w:val="001C64A2"/>
    <w:rsid w:val="001C761B"/>
    <w:rsid w:val="001F09EF"/>
    <w:rsid w:val="001F2C32"/>
    <w:rsid w:val="001F4E01"/>
    <w:rsid w:val="00200F8E"/>
    <w:rsid w:val="002074FF"/>
    <w:rsid w:val="00214FB5"/>
    <w:rsid w:val="00215528"/>
    <w:rsid w:val="0021788F"/>
    <w:rsid w:val="00217A46"/>
    <w:rsid w:val="00231D04"/>
    <w:rsid w:val="00234E52"/>
    <w:rsid w:val="0023640C"/>
    <w:rsid w:val="00242D2A"/>
    <w:rsid w:val="00246BAF"/>
    <w:rsid w:val="002559F8"/>
    <w:rsid w:val="00263186"/>
    <w:rsid w:val="002920BC"/>
    <w:rsid w:val="00294370"/>
    <w:rsid w:val="002A0538"/>
    <w:rsid w:val="002B0A59"/>
    <w:rsid w:val="002C6E09"/>
    <w:rsid w:val="002D2A5D"/>
    <w:rsid w:val="002D2E4E"/>
    <w:rsid w:val="002D7C34"/>
    <w:rsid w:val="002E299F"/>
    <w:rsid w:val="002F54E2"/>
    <w:rsid w:val="002F6C9B"/>
    <w:rsid w:val="00302931"/>
    <w:rsid w:val="003238B8"/>
    <w:rsid w:val="00332289"/>
    <w:rsid w:val="0033420C"/>
    <w:rsid w:val="003347F4"/>
    <w:rsid w:val="00337E43"/>
    <w:rsid w:val="003441BD"/>
    <w:rsid w:val="003459DC"/>
    <w:rsid w:val="0034770B"/>
    <w:rsid w:val="00357A7D"/>
    <w:rsid w:val="00361A56"/>
    <w:rsid w:val="00361D86"/>
    <w:rsid w:val="00370177"/>
    <w:rsid w:val="0037275B"/>
    <w:rsid w:val="00375A68"/>
    <w:rsid w:val="00380FDE"/>
    <w:rsid w:val="00382FFC"/>
    <w:rsid w:val="00391934"/>
    <w:rsid w:val="00392E5D"/>
    <w:rsid w:val="00397162"/>
    <w:rsid w:val="003A6A7B"/>
    <w:rsid w:val="003B25DF"/>
    <w:rsid w:val="003B2B3C"/>
    <w:rsid w:val="003B54BE"/>
    <w:rsid w:val="003B5FC8"/>
    <w:rsid w:val="003B640A"/>
    <w:rsid w:val="003C2C6C"/>
    <w:rsid w:val="003D3D56"/>
    <w:rsid w:val="003E1D77"/>
    <w:rsid w:val="003F4DA3"/>
    <w:rsid w:val="00400C75"/>
    <w:rsid w:val="00413734"/>
    <w:rsid w:val="00420F76"/>
    <w:rsid w:val="00421B0F"/>
    <w:rsid w:val="00434152"/>
    <w:rsid w:val="00435097"/>
    <w:rsid w:val="00443089"/>
    <w:rsid w:val="00452B7B"/>
    <w:rsid w:val="00452C9F"/>
    <w:rsid w:val="00457B8D"/>
    <w:rsid w:val="00457DCD"/>
    <w:rsid w:val="004610E7"/>
    <w:rsid w:val="00475686"/>
    <w:rsid w:val="004939DD"/>
    <w:rsid w:val="004C4C29"/>
    <w:rsid w:val="004C5237"/>
    <w:rsid w:val="004C6F5C"/>
    <w:rsid w:val="004D1E1C"/>
    <w:rsid w:val="004D58E6"/>
    <w:rsid w:val="004E0863"/>
    <w:rsid w:val="004E37CA"/>
    <w:rsid w:val="004E5451"/>
    <w:rsid w:val="004E78BF"/>
    <w:rsid w:val="004F1EAD"/>
    <w:rsid w:val="004F27B2"/>
    <w:rsid w:val="004F5178"/>
    <w:rsid w:val="004F6717"/>
    <w:rsid w:val="00501483"/>
    <w:rsid w:val="00510CAD"/>
    <w:rsid w:val="005124F8"/>
    <w:rsid w:val="005225C0"/>
    <w:rsid w:val="00524DEA"/>
    <w:rsid w:val="00534C97"/>
    <w:rsid w:val="005530FF"/>
    <w:rsid w:val="005630F5"/>
    <w:rsid w:val="005648F6"/>
    <w:rsid w:val="00570C35"/>
    <w:rsid w:val="00577126"/>
    <w:rsid w:val="00580C3D"/>
    <w:rsid w:val="005828CD"/>
    <w:rsid w:val="005A2073"/>
    <w:rsid w:val="005B31A0"/>
    <w:rsid w:val="005C1CEC"/>
    <w:rsid w:val="005C2518"/>
    <w:rsid w:val="005C3D17"/>
    <w:rsid w:val="005C42F8"/>
    <w:rsid w:val="005D2388"/>
    <w:rsid w:val="005D27B5"/>
    <w:rsid w:val="005E4910"/>
    <w:rsid w:val="005E6644"/>
    <w:rsid w:val="005E75CD"/>
    <w:rsid w:val="005E7975"/>
    <w:rsid w:val="005F2676"/>
    <w:rsid w:val="005F28D7"/>
    <w:rsid w:val="005F4688"/>
    <w:rsid w:val="005F60DA"/>
    <w:rsid w:val="00604E35"/>
    <w:rsid w:val="006055AF"/>
    <w:rsid w:val="006104CD"/>
    <w:rsid w:val="006224E6"/>
    <w:rsid w:val="00622EE2"/>
    <w:rsid w:val="00624857"/>
    <w:rsid w:val="006424D0"/>
    <w:rsid w:val="00643F97"/>
    <w:rsid w:val="006538F4"/>
    <w:rsid w:val="0065413E"/>
    <w:rsid w:val="00672819"/>
    <w:rsid w:val="00680677"/>
    <w:rsid w:val="006828FA"/>
    <w:rsid w:val="006969DD"/>
    <w:rsid w:val="006A16F9"/>
    <w:rsid w:val="006A2D58"/>
    <w:rsid w:val="006B1CB6"/>
    <w:rsid w:val="006C4142"/>
    <w:rsid w:val="006C712D"/>
    <w:rsid w:val="006D6390"/>
    <w:rsid w:val="006E208E"/>
    <w:rsid w:val="006E434C"/>
    <w:rsid w:val="006E7F8B"/>
    <w:rsid w:val="006F36C3"/>
    <w:rsid w:val="00702CB0"/>
    <w:rsid w:val="0071110C"/>
    <w:rsid w:val="00720003"/>
    <w:rsid w:val="0072227C"/>
    <w:rsid w:val="00723612"/>
    <w:rsid w:val="00725B97"/>
    <w:rsid w:val="00727225"/>
    <w:rsid w:val="0074629A"/>
    <w:rsid w:val="007703FD"/>
    <w:rsid w:val="00780B57"/>
    <w:rsid w:val="0078582E"/>
    <w:rsid w:val="00795614"/>
    <w:rsid w:val="007A6C93"/>
    <w:rsid w:val="007B6077"/>
    <w:rsid w:val="007C25C7"/>
    <w:rsid w:val="007C3B3B"/>
    <w:rsid w:val="007C3B7C"/>
    <w:rsid w:val="007C4B90"/>
    <w:rsid w:val="0080344C"/>
    <w:rsid w:val="00804FEB"/>
    <w:rsid w:val="0081246B"/>
    <w:rsid w:val="00831E49"/>
    <w:rsid w:val="00833059"/>
    <w:rsid w:val="0083423D"/>
    <w:rsid w:val="00836C7B"/>
    <w:rsid w:val="00836F06"/>
    <w:rsid w:val="00864308"/>
    <w:rsid w:val="00864A83"/>
    <w:rsid w:val="008715C4"/>
    <w:rsid w:val="008825E1"/>
    <w:rsid w:val="00883693"/>
    <w:rsid w:val="00883ED0"/>
    <w:rsid w:val="008A368E"/>
    <w:rsid w:val="008B302A"/>
    <w:rsid w:val="008C20A2"/>
    <w:rsid w:val="008D5FB8"/>
    <w:rsid w:val="008E53C8"/>
    <w:rsid w:val="008E7327"/>
    <w:rsid w:val="008F67A7"/>
    <w:rsid w:val="00903AA1"/>
    <w:rsid w:val="009110AD"/>
    <w:rsid w:val="00916846"/>
    <w:rsid w:val="00924242"/>
    <w:rsid w:val="00933379"/>
    <w:rsid w:val="00940B72"/>
    <w:rsid w:val="00942AF5"/>
    <w:rsid w:val="00942BBE"/>
    <w:rsid w:val="00947E5F"/>
    <w:rsid w:val="009515D3"/>
    <w:rsid w:val="00954AB2"/>
    <w:rsid w:val="00960572"/>
    <w:rsid w:val="009656FA"/>
    <w:rsid w:val="00973F8C"/>
    <w:rsid w:val="00975064"/>
    <w:rsid w:val="00994224"/>
    <w:rsid w:val="009A0333"/>
    <w:rsid w:val="009A4A2B"/>
    <w:rsid w:val="009B1946"/>
    <w:rsid w:val="009D1563"/>
    <w:rsid w:val="009D379C"/>
    <w:rsid w:val="009E182B"/>
    <w:rsid w:val="009F42FB"/>
    <w:rsid w:val="00A003E9"/>
    <w:rsid w:val="00A010C3"/>
    <w:rsid w:val="00A248CC"/>
    <w:rsid w:val="00A33151"/>
    <w:rsid w:val="00A44EDB"/>
    <w:rsid w:val="00A52278"/>
    <w:rsid w:val="00A64355"/>
    <w:rsid w:val="00A72EF7"/>
    <w:rsid w:val="00A76130"/>
    <w:rsid w:val="00A82C77"/>
    <w:rsid w:val="00A830AA"/>
    <w:rsid w:val="00A95E14"/>
    <w:rsid w:val="00A976CE"/>
    <w:rsid w:val="00AA5854"/>
    <w:rsid w:val="00AC4783"/>
    <w:rsid w:val="00AC6F6C"/>
    <w:rsid w:val="00AF5B22"/>
    <w:rsid w:val="00B103BD"/>
    <w:rsid w:val="00B13BB6"/>
    <w:rsid w:val="00B1467D"/>
    <w:rsid w:val="00B22069"/>
    <w:rsid w:val="00B42469"/>
    <w:rsid w:val="00B510D7"/>
    <w:rsid w:val="00B558DE"/>
    <w:rsid w:val="00B92795"/>
    <w:rsid w:val="00B95703"/>
    <w:rsid w:val="00BB2763"/>
    <w:rsid w:val="00BC0E92"/>
    <w:rsid w:val="00BC1BDE"/>
    <w:rsid w:val="00BC27D3"/>
    <w:rsid w:val="00BD7385"/>
    <w:rsid w:val="00BE1063"/>
    <w:rsid w:val="00BE6331"/>
    <w:rsid w:val="00BF0416"/>
    <w:rsid w:val="00BF53F0"/>
    <w:rsid w:val="00BF5F73"/>
    <w:rsid w:val="00C1211F"/>
    <w:rsid w:val="00C12BEA"/>
    <w:rsid w:val="00C130A7"/>
    <w:rsid w:val="00C17840"/>
    <w:rsid w:val="00C2322F"/>
    <w:rsid w:val="00C27889"/>
    <w:rsid w:val="00C309AF"/>
    <w:rsid w:val="00C5113C"/>
    <w:rsid w:val="00C60374"/>
    <w:rsid w:val="00C62DF1"/>
    <w:rsid w:val="00C63E70"/>
    <w:rsid w:val="00C73F7D"/>
    <w:rsid w:val="00C8603E"/>
    <w:rsid w:val="00CA7DE7"/>
    <w:rsid w:val="00CB1F29"/>
    <w:rsid w:val="00CE0F73"/>
    <w:rsid w:val="00CF1F58"/>
    <w:rsid w:val="00D05A86"/>
    <w:rsid w:val="00D124D2"/>
    <w:rsid w:val="00D22606"/>
    <w:rsid w:val="00D309DA"/>
    <w:rsid w:val="00D31257"/>
    <w:rsid w:val="00D40345"/>
    <w:rsid w:val="00D422F0"/>
    <w:rsid w:val="00D43336"/>
    <w:rsid w:val="00D435CF"/>
    <w:rsid w:val="00D452AB"/>
    <w:rsid w:val="00D465C4"/>
    <w:rsid w:val="00D52B80"/>
    <w:rsid w:val="00D632CF"/>
    <w:rsid w:val="00D63376"/>
    <w:rsid w:val="00D65CDD"/>
    <w:rsid w:val="00D76DA8"/>
    <w:rsid w:val="00D80562"/>
    <w:rsid w:val="00D93A42"/>
    <w:rsid w:val="00D94BF3"/>
    <w:rsid w:val="00D97CD4"/>
    <w:rsid w:val="00DA0F0D"/>
    <w:rsid w:val="00DA3FE6"/>
    <w:rsid w:val="00DA68ED"/>
    <w:rsid w:val="00DB112F"/>
    <w:rsid w:val="00DB4F1B"/>
    <w:rsid w:val="00DC0457"/>
    <w:rsid w:val="00DC4A32"/>
    <w:rsid w:val="00DD1A52"/>
    <w:rsid w:val="00DD7828"/>
    <w:rsid w:val="00DE403D"/>
    <w:rsid w:val="00E07312"/>
    <w:rsid w:val="00E12788"/>
    <w:rsid w:val="00E2161D"/>
    <w:rsid w:val="00E26ED9"/>
    <w:rsid w:val="00E34CC7"/>
    <w:rsid w:val="00E44D0A"/>
    <w:rsid w:val="00E657DD"/>
    <w:rsid w:val="00E72062"/>
    <w:rsid w:val="00E73ADD"/>
    <w:rsid w:val="00E869AE"/>
    <w:rsid w:val="00E921BE"/>
    <w:rsid w:val="00EA0BCD"/>
    <w:rsid w:val="00EA1BDB"/>
    <w:rsid w:val="00EB035C"/>
    <w:rsid w:val="00EB0DEA"/>
    <w:rsid w:val="00EB1F23"/>
    <w:rsid w:val="00EC640F"/>
    <w:rsid w:val="00EE357E"/>
    <w:rsid w:val="00EE5CC5"/>
    <w:rsid w:val="00EF2028"/>
    <w:rsid w:val="00EF42BD"/>
    <w:rsid w:val="00F02921"/>
    <w:rsid w:val="00F07EAF"/>
    <w:rsid w:val="00F11A36"/>
    <w:rsid w:val="00F138AB"/>
    <w:rsid w:val="00F213F1"/>
    <w:rsid w:val="00F22C58"/>
    <w:rsid w:val="00F22E90"/>
    <w:rsid w:val="00F314A1"/>
    <w:rsid w:val="00F31550"/>
    <w:rsid w:val="00F32EAB"/>
    <w:rsid w:val="00F35DD2"/>
    <w:rsid w:val="00F46685"/>
    <w:rsid w:val="00F55462"/>
    <w:rsid w:val="00F60EBC"/>
    <w:rsid w:val="00F6189C"/>
    <w:rsid w:val="00F97431"/>
    <w:rsid w:val="00FA321E"/>
    <w:rsid w:val="00FA4D28"/>
    <w:rsid w:val="00FB265B"/>
    <w:rsid w:val="00FB3517"/>
    <w:rsid w:val="00FC3995"/>
    <w:rsid w:val="00FC43F0"/>
    <w:rsid w:val="00FD0809"/>
    <w:rsid w:val="00FD1E6A"/>
    <w:rsid w:val="00FD69D7"/>
    <w:rsid w:val="00FE375F"/>
    <w:rsid w:val="00FF03DB"/>
    <w:rsid w:val="00FF3D31"/>
    <w:rsid w:val="011516D0"/>
    <w:rsid w:val="012C7E5D"/>
    <w:rsid w:val="012D3014"/>
    <w:rsid w:val="014959B3"/>
    <w:rsid w:val="01917894"/>
    <w:rsid w:val="01AB6194"/>
    <w:rsid w:val="01D544E6"/>
    <w:rsid w:val="01DE5D06"/>
    <w:rsid w:val="01F95703"/>
    <w:rsid w:val="01FA2C0B"/>
    <w:rsid w:val="01FD2C1A"/>
    <w:rsid w:val="02064CB5"/>
    <w:rsid w:val="02223D56"/>
    <w:rsid w:val="025F68E9"/>
    <w:rsid w:val="026A4EC1"/>
    <w:rsid w:val="02712911"/>
    <w:rsid w:val="02716ED1"/>
    <w:rsid w:val="0289048E"/>
    <w:rsid w:val="029905E3"/>
    <w:rsid w:val="02B005ED"/>
    <w:rsid w:val="02CA67A1"/>
    <w:rsid w:val="02D86105"/>
    <w:rsid w:val="02EB4ABF"/>
    <w:rsid w:val="030C6666"/>
    <w:rsid w:val="031D2F23"/>
    <w:rsid w:val="032B630B"/>
    <w:rsid w:val="03306128"/>
    <w:rsid w:val="034E3DA3"/>
    <w:rsid w:val="035D3B47"/>
    <w:rsid w:val="03653648"/>
    <w:rsid w:val="036A59F9"/>
    <w:rsid w:val="036C2532"/>
    <w:rsid w:val="03AC079C"/>
    <w:rsid w:val="03AF452E"/>
    <w:rsid w:val="03B254A6"/>
    <w:rsid w:val="03D34DCC"/>
    <w:rsid w:val="03EB13AE"/>
    <w:rsid w:val="042F236B"/>
    <w:rsid w:val="043B2EAD"/>
    <w:rsid w:val="04461F7D"/>
    <w:rsid w:val="046B467F"/>
    <w:rsid w:val="04737FBB"/>
    <w:rsid w:val="04812FB5"/>
    <w:rsid w:val="048377F2"/>
    <w:rsid w:val="048B5FB4"/>
    <w:rsid w:val="049D0D0D"/>
    <w:rsid w:val="04A353A1"/>
    <w:rsid w:val="04B15EE8"/>
    <w:rsid w:val="04BC305A"/>
    <w:rsid w:val="04D3018A"/>
    <w:rsid w:val="04D354D2"/>
    <w:rsid w:val="04ED46AC"/>
    <w:rsid w:val="04EF43C3"/>
    <w:rsid w:val="05126435"/>
    <w:rsid w:val="051E41F2"/>
    <w:rsid w:val="05534AD1"/>
    <w:rsid w:val="05726DC9"/>
    <w:rsid w:val="05813E6E"/>
    <w:rsid w:val="05841DEF"/>
    <w:rsid w:val="059537FB"/>
    <w:rsid w:val="05A3092D"/>
    <w:rsid w:val="05BF3797"/>
    <w:rsid w:val="05DC3C08"/>
    <w:rsid w:val="05E2567A"/>
    <w:rsid w:val="05FF76CB"/>
    <w:rsid w:val="06022278"/>
    <w:rsid w:val="060A2012"/>
    <w:rsid w:val="060A3D7B"/>
    <w:rsid w:val="060B16EF"/>
    <w:rsid w:val="061C4744"/>
    <w:rsid w:val="062570C3"/>
    <w:rsid w:val="062A76A0"/>
    <w:rsid w:val="062F19B6"/>
    <w:rsid w:val="06443FD4"/>
    <w:rsid w:val="064F48AA"/>
    <w:rsid w:val="06593D26"/>
    <w:rsid w:val="0666798B"/>
    <w:rsid w:val="066749CE"/>
    <w:rsid w:val="067667EA"/>
    <w:rsid w:val="068E7038"/>
    <w:rsid w:val="06B523B4"/>
    <w:rsid w:val="06B84A48"/>
    <w:rsid w:val="06D6265A"/>
    <w:rsid w:val="07034156"/>
    <w:rsid w:val="07277E4A"/>
    <w:rsid w:val="07312958"/>
    <w:rsid w:val="07510D47"/>
    <w:rsid w:val="07583439"/>
    <w:rsid w:val="07737167"/>
    <w:rsid w:val="07762B7A"/>
    <w:rsid w:val="07A35176"/>
    <w:rsid w:val="07A50D69"/>
    <w:rsid w:val="07B13BB2"/>
    <w:rsid w:val="07BF4B46"/>
    <w:rsid w:val="07CF67A4"/>
    <w:rsid w:val="07D33E57"/>
    <w:rsid w:val="07E07279"/>
    <w:rsid w:val="07E60235"/>
    <w:rsid w:val="07E755DF"/>
    <w:rsid w:val="08070BB6"/>
    <w:rsid w:val="08396FD4"/>
    <w:rsid w:val="083B006B"/>
    <w:rsid w:val="084E416E"/>
    <w:rsid w:val="085167B6"/>
    <w:rsid w:val="0854399F"/>
    <w:rsid w:val="08550A1F"/>
    <w:rsid w:val="085E716A"/>
    <w:rsid w:val="085E77F2"/>
    <w:rsid w:val="08675605"/>
    <w:rsid w:val="08723710"/>
    <w:rsid w:val="087F780C"/>
    <w:rsid w:val="088064EF"/>
    <w:rsid w:val="088663E5"/>
    <w:rsid w:val="08924764"/>
    <w:rsid w:val="089B6610"/>
    <w:rsid w:val="08A21E6E"/>
    <w:rsid w:val="08A301E0"/>
    <w:rsid w:val="08C3011B"/>
    <w:rsid w:val="08EB73C2"/>
    <w:rsid w:val="08F22A9E"/>
    <w:rsid w:val="08F66379"/>
    <w:rsid w:val="091D7025"/>
    <w:rsid w:val="09467767"/>
    <w:rsid w:val="094840A2"/>
    <w:rsid w:val="09573DEF"/>
    <w:rsid w:val="096C547C"/>
    <w:rsid w:val="097D251D"/>
    <w:rsid w:val="098047A7"/>
    <w:rsid w:val="099B608A"/>
    <w:rsid w:val="09DF7C33"/>
    <w:rsid w:val="09F4422A"/>
    <w:rsid w:val="0A207F5A"/>
    <w:rsid w:val="0A345492"/>
    <w:rsid w:val="0A35074C"/>
    <w:rsid w:val="0A60366D"/>
    <w:rsid w:val="0A960A6B"/>
    <w:rsid w:val="0ADB193B"/>
    <w:rsid w:val="0ADD2EBC"/>
    <w:rsid w:val="0B04351F"/>
    <w:rsid w:val="0B2F0929"/>
    <w:rsid w:val="0B4822AE"/>
    <w:rsid w:val="0B4F2300"/>
    <w:rsid w:val="0B5D779E"/>
    <w:rsid w:val="0B7218AA"/>
    <w:rsid w:val="0B83781F"/>
    <w:rsid w:val="0BBA3D9F"/>
    <w:rsid w:val="0BC4723C"/>
    <w:rsid w:val="0BCD36CD"/>
    <w:rsid w:val="0BE74F15"/>
    <w:rsid w:val="0BEB4357"/>
    <w:rsid w:val="0BEF6A57"/>
    <w:rsid w:val="0BF219B6"/>
    <w:rsid w:val="0BFC5617"/>
    <w:rsid w:val="0C0C4DF7"/>
    <w:rsid w:val="0C15459B"/>
    <w:rsid w:val="0C213484"/>
    <w:rsid w:val="0C223440"/>
    <w:rsid w:val="0C292EC2"/>
    <w:rsid w:val="0C2B475D"/>
    <w:rsid w:val="0C2F779B"/>
    <w:rsid w:val="0C337593"/>
    <w:rsid w:val="0C5A5496"/>
    <w:rsid w:val="0C763B93"/>
    <w:rsid w:val="0C803BB1"/>
    <w:rsid w:val="0C982E62"/>
    <w:rsid w:val="0CCD6049"/>
    <w:rsid w:val="0CD743B8"/>
    <w:rsid w:val="0CE045F1"/>
    <w:rsid w:val="0D102BB5"/>
    <w:rsid w:val="0D117170"/>
    <w:rsid w:val="0D177805"/>
    <w:rsid w:val="0D186481"/>
    <w:rsid w:val="0D200E92"/>
    <w:rsid w:val="0D8B27AF"/>
    <w:rsid w:val="0D8C0F2A"/>
    <w:rsid w:val="0D9B01D7"/>
    <w:rsid w:val="0DA86515"/>
    <w:rsid w:val="0DC30CBA"/>
    <w:rsid w:val="0DCF34DC"/>
    <w:rsid w:val="0E09061B"/>
    <w:rsid w:val="0E170FDD"/>
    <w:rsid w:val="0E1B3897"/>
    <w:rsid w:val="0E3D7AF2"/>
    <w:rsid w:val="0E407913"/>
    <w:rsid w:val="0E475817"/>
    <w:rsid w:val="0E5E6979"/>
    <w:rsid w:val="0E6E2065"/>
    <w:rsid w:val="0E8D55BE"/>
    <w:rsid w:val="0EA43010"/>
    <w:rsid w:val="0ED168E7"/>
    <w:rsid w:val="0EDD1A56"/>
    <w:rsid w:val="0EE5178E"/>
    <w:rsid w:val="0EF1634F"/>
    <w:rsid w:val="0F1D38DB"/>
    <w:rsid w:val="0F2C4953"/>
    <w:rsid w:val="0F457322"/>
    <w:rsid w:val="0F4C71A5"/>
    <w:rsid w:val="0F565A4E"/>
    <w:rsid w:val="0F5A4B2F"/>
    <w:rsid w:val="0F5C6E37"/>
    <w:rsid w:val="0F6B6E52"/>
    <w:rsid w:val="0F6C4C73"/>
    <w:rsid w:val="0F6E05DA"/>
    <w:rsid w:val="0F9D0C62"/>
    <w:rsid w:val="0FD55943"/>
    <w:rsid w:val="100658D8"/>
    <w:rsid w:val="10390B1F"/>
    <w:rsid w:val="1051674C"/>
    <w:rsid w:val="106D5EC4"/>
    <w:rsid w:val="10765998"/>
    <w:rsid w:val="10924232"/>
    <w:rsid w:val="109E016A"/>
    <w:rsid w:val="10A03710"/>
    <w:rsid w:val="10B309F0"/>
    <w:rsid w:val="10BF6825"/>
    <w:rsid w:val="10C05D7B"/>
    <w:rsid w:val="10CF002E"/>
    <w:rsid w:val="10D366B1"/>
    <w:rsid w:val="10D60C4A"/>
    <w:rsid w:val="10D95F27"/>
    <w:rsid w:val="10F322A8"/>
    <w:rsid w:val="10F62AF6"/>
    <w:rsid w:val="11133C7C"/>
    <w:rsid w:val="11370276"/>
    <w:rsid w:val="115033D9"/>
    <w:rsid w:val="1154735C"/>
    <w:rsid w:val="115B6548"/>
    <w:rsid w:val="116646DC"/>
    <w:rsid w:val="117048C5"/>
    <w:rsid w:val="118A2253"/>
    <w:rsid w:val="11A021F8"/>
    <w:rsid w:val="11B06995"/>
    <w:rsid w:val="11BC15BA"/>
    <w:rsid w:val="11C0052E"/>
    <w:rsid w:val="11D16ECB"/>
    <w:rsid w:val="11E0039F"/>
    <w:rsid w:val="120668A8"/>
    <w:rsid w:val="1211524D"/>
    <w:rsid w:val="12160F3D"/>
    <w:rsid w:val="12250396"/>
    <w:rsid w:val="1225385E"/>
    <w:rsid w:val="122B4062"/>
    <w:rsid w:val="124664B9"/>
    <w:rsid w:val="129037AC"/>
    <w:rsid w:val="12A40E31"/>
    <w:rsid w:val="12AB3870"/>
    <w:rsid w:val="12C65189"/>
    <w:rsid w:val="12C77BE8"/>
    <w:rsid w:val="12DF1144"/>
    <w:rsid w:val="13097D6F"/>
    <w:rsid w:val="13400CE9"/>
    <w:rsid w:val="134E6759"/>
    <w:rsid w:val="136C472C"/>
    <w:rsid w:val="137C1C8F"/>
    <w:rsid w:val="138F3D36"/>
    <w:rsid w:val="13933B11"/>
    <w:rsid w:val="13B06A08"/>
    <w:rsid w:val="13B55EEF"/>
    <w:rsid w:val="13B768A0"/>
    <w:rsid w:val="13EF057A"/>
    <w:rsid w:val="13F11EB8"/>
    <w:rsid w:val="13F94D2D"/>
    <w:rsid w:val="14025795"/>
    <w:rsid w:val="14242889"/>
    <w:rsid w:val="142F05CE"/>
    <w:rsid w:val="14360F37"/>
    <w:rsid w:val="144C6FE7"/>
    <w:rsid w:val="14675B7E"/>
    <w:rsid w:val="1477452D"/>
    <w:rsid w:val="14897272"/>
    <w:rsid w:val="149C17E3"/>
    <w:rsid w:val="14B127BE"/>
    <w:rsid w:val="14CD18FF"/>
    <w:rsid w:val="150A58BF"/>
    <w:rsid w:val="152500E3"/>
    <w:rsid w:val="153D4CD7"/>
    <w:rsid w:val="15681B57"/>
    <w:rsid w:val="156F3A17"/>
    <w:rsid w:val="1574656B"/>
    <w:rsid w:val="158226E9"/>
    <w:rsid w:val="15883C49"/>
    <w:rsid w:val="158D1EAF"/>
    <w:rsid w:val="15A4595C"/>
    <w:rsid w:val="15B514F8"/>
    <w:rsid w:val="15BC36F9"/>
    <w:rsid w:val="15CA4C2B"/>
    <w:rsid w:val="15D808D3"/>
    <w:rsid w:val="15DA708C"/>
    <w:rsid w:val="15EC2832"/>
    <w:rsid w:val="15F25956"/>
    <w:rsid w:val="1609105D"/>
    <w:rsid w:val="160C28FB"/>
    <w:rsid w:val="16177635"/>
    <w:rsid w:val="161E1735"/>
    <w:rsid w:val="16275561"/>
    <w:rsid w:val="16302145"/>
    <w:rsid w:val="163D0B84"/>
    <w:rsid w:val="16560F6A"/>
    <w:rsid w:val="16627091"/>
    <w:rsid w:val="16753FFC"/>
    <w:rsid w:val="16832BBD"/>
    <w:rsid w:val="169923E1"/>
    <w:rsid w:val="16992BFB"/>
    <w:rsid w:val="16E354C1"/>
    <w:rsid w:val="16FA3DEE"/>
    <w:rsid w:val="16FE5A71"/>
    <w:rsid w:val="170B5EA3"/>
    <w:rsid w:val="17213CF1"/>
    <w:rsid w:val="173B1934"/>
    <w:rsid w:val="17476CF7"/>
    <w:rsid w:val="175B0F1E"/>
    <w:rsid w:val="178F383C"/>
    <w:rsid w:val="17B044AB"/>
    <w:rsid w:val="17B9616B"/>
    <w:rsid w:val="17BB165F"/>
    <w:rsid w:val="17BF6EB3"/>
    <w:rsid w:val="17C64362"/>
    <w:rsid w:val="17D72042"/>
    <w:rsid w:val="17E02C31"/>
    <w:rsid w:val="17E417E6"/>
    <w:rsid w:val="17E625C2"/>
    <w:rsid w:val="17E63DAF"/>
    <w:rsid w:val="17F03A1D"/>
    <w:rsid w:val="18024D0B"/>
    <w:rsid w:val="18054110"/>
    <w:rsid w:val="181F1D92"/>
    <w:rsid w:val="182469E3"/>
    <w:rsid w:val="182879E7"/>
    <w:rsid w:val="18335364"/>
    <w:rsid w:val="1848304B"/>
    <w:rsid w:val="186A4798"/>
    <w:rsid w:val="187212AC"/>
    <w:rsid w:val="188F1772"/>
    <w:rsid w:val="189473CB"/>
    <w:rsid w:val="18B36492"/>
    <w:rsid w:val="18B90B18"/>
    <w:rsid w:val="18C01FB8"/>
    <w:rsid w:val="18C1427C"/>
    <w:rsid w:val="18DD39BE"/>
    <w:rsid w:val="18F2497C"/>
    <w:rsid w:val="18F431A6"/>
    <w:rsid w:val="190E6A2B"/>
    <w:rsid w:val="191D3294"/>
    <w:rsid w:val="192064D7"/>
    <w:rsid w:val="19257F5C"/>
    <w:rsid w:val="193F08F1"/>
    <w:rsid w:val="19712370"/>
    <w:rsid w:val="19970B35"/>
    <w:rsid w:val="199714F3"/>
    <w:rsid w:val="199A10B7"/>
    <w:rsid w:val="19C5671B"/>
    <w:rsid w:val="19FB6C73"/>
    <w:rsid w:val="19FD762D"/>
    <w:rsid w:val="1A1A5E17"/>
    <w:rsid w:val="1A2B7B75"/>
    <w:rsid w:val="1A5C3FD2"/>
    <w:rsid w:val="1A5C536C"/>
    <w:rsid w:val="1A6B11E5"/>
    <w:rsid w:val="1A8A5DD9"/>
    <w:rsid w:val="1A935399"/>
    <w:rsid w:val="1A9D028E"/>
    <w:rsid w:val="1AA21277"/>
    <w:rsid w:val="1ADA176F"/>
    <w:rsid w:val="1AF000F5"/>
    <w:rsid w:val="1B244243"/>
    <w:rsid w:val="1B2A271F"/>
    <w:rsid w:val="1B32751D"/>
    <w:rsid w:val="1B342C35"/>
    <w:rsid w:val="1B457F0A"/>
    <w:rsid w:val="1B472D93"/>
    <w:rsid w:val="1B6166CC"/>
    <w:rsid w:val="1B696431"/>
    <w:rsid w:val="1B830A10"/>
    <w:rsid w:val="1BAD291C"/>
    <w:rsid w:val="1BB7568A"/>
    <w:rsid w:val="1BBA4C58"/>
    <w:rsid w:val="1BBA4FE0"/>
    <w:rsid w:val="1BBC641C"/>
    <w:rsid w:val="1BBE1FA1"/>
    <w:rsid w:val="1BCD21D4"/>
    <w:rsid w:val="1BCE3F43"/>
    <w:rsid w:val="1BD50639"/>
    <w:rsid w:val="1BD937BC"/>
    <w:rsid w:val="1BEB4050"/>
    <w:rsid w:val="1BF06A09"/>
    <w:rsid w:val="1BF65128"/>
    <w:rsid w:val="1C0F1DF0"/>
    <w:rsid w:val="1C170821"/>
    <w:rsid w:val="1C1945A6"/>
    <w:rsid w:val="1C1F761B"/>
    <w:rsid w:val="1C293BB0"/>
    <w:rsid w:val="1C2D098F"/>
    <w:rsid w:val="1C4824DF"/>
    <w:rsid w:val="1C5967C2"/>
    <w:rsid w:val="1C656C23"/>
    <w:rsid w:val="1C671FD9"/>
    <w:rsid w:val="1C7101FA"/>
    <w:rsid w:val="1C83151B"/>
    <w:rsid w:val="1CA752B0"/>
    <w:rsid w:val="1CCD7F00"/>
    <w:rsid w:val="1CE046C9"/>
    <w:rsid w:val="1CEA7E46"/>
    <w:rsid w:val="1CEC5169"/>
    <w:rsid w:val="1CF34DD3"/>
    <w:rsid w:val="1D0667AD"/>
    <w:rsid w:val="1D2335C0"/>
    <w:rsid w:val="1D384550"/>
    <w:rsid w:val="1D7523A2"/>
    <w:rsid w:val="1D840B90"/>
    <w:rsid w:val="1DA26482"/>
    <w:rsid w:val="1DB34357"/>
    <w:rsid w:val="1DC451D8"/>
    <w:rsid w:val="1DF862AF"/>
    <w:rsid w:val="1DFF4788"/>
    <w:rsid w:val="1E0839A8"/>
    <w:rsid w:val="1E144B02"/>
    <w:rsid w:val="1E1D56A5"/>
    <w:rsid w:val="1E214C26"/>
    <w:rsid w:val="1E307F66"/>
    <w:rsid w:val="1E3913DF"/>
    <w:rsid w:val="1E63486F"/>
    <w:rsid w:val="1E7100C0"/>
    <w:rsid w:val="1E7E4A58"/>
    <w:rsid w:val="1E991DBB"/>
    <w:rsid w:val="1E9E4C0C"/>
    <w:rsid w:val="1EC677E0"/>
    <w:rsid w:val="1ED509F7"/>
    <w:rsid w:val="1EE95587"/>
    <w:rsid w:val="1EF32682"/>
    <w:rsid w:val="1EF72BBB"/>
    <w:rsid w:val="1F0E4FEE"/>
    <w:rsid w:val="1F253ECE"/>
    <w:rsid w:val="1F3C2468"/>
    <w:rsid w:val="1F4C48BD"/>
    <w:rsid w:val="1FA84DA5"/>
    <w:rsid w:val="1FCF1995"/>
    <w:rsid w:val="1FE76ACD"/>
    <w:rsid w:val="1FF358D1"/>
    <w:rsid w:val="1FF56A77"/>
    <w:rsid w:val="200C3C23"/>
    <w:rsid w:val="200E1C53"/>
    <w:rsid w:val="20440227"/>
    <w:rsid w:val="205632FF"/>
    <w:rsid w:val="206510C0"/>
    <w:rsid w:val="20660D56"/>
    <w:rsid w:val="207E0F00"/>
    <w:rsid w:val="20823D89"/>
    <w:rsid w:val="20891847"/>
    <w:rsid w:val="20985D09"/>
    <w:rsid w:val="20AD01D7"/>
    <w:rsid w:val="20BB4611"/>
    <w:rsid w:val="20BF1FE5"/>
    <w:rsid w:val="20D42874"/>
    <w:rsid w:val="20D858B3"/>
    <w:rsid w:val="20E77339"/>
    <w:rsid w:val="20E9368B"/>
    <w:rsid w:val="211A411E"/>
    <w:rsid w:val="211D27D0"/>
    <w:rsid w:val="21284ECA"/>
    <w:rsid w:val="212F00D6"/>
    <w:rsid w:val="214463F2"/>
    <w:rsid w:val="214D5366"/>
    <w:rsid w:val="21617B87"/>
    <w:rsid w:val="2168390B"/>
    <w:rsid w:val="216C1524"/>
    <w:rsid w:val="2185375B"/>
    <w:rsid w:val="218D14D5"/>
    <w:rsid w:val="21996568"/>
    <w:rsid w:val="21AE6855"/>
    <w:rsid w:val="21AF50FB"/>
    <w:rsid w:val="21B41808"/>
    <w:rsid w:val="21C1096F"/>
    <w:rsid w:val="21C61BB0"/>
    <w:rsid w:val="21E41B09"/>
    <w:rsid w:val="21EA2970"/>
    <w:rsid w:val="21EB543F"/>
    <w:rsid w:val="21F22DD6"/>
    <w:rsid w:val="21F365CD"/>
    <w:rsid w:val="21F47D0E"/>
    <w:rsid w:val="22084C4D"/>
    <w:rsid w:val="220C2B6A"/>
    <w:rsid w:val="22121A69"/>
    <w:rsid w:val="221347CE"/>
    <w:rsid w:val="22135B75"/>
    <w:rsid w:val="221C138B"/>
    <w:rsid w:val="223009B6"/>
    <w:rsid w:val="22835CF3"/>
    <w:rsid w:val="22A740CD"/>
    <w:rsid w:val="22A97A73"/>
    <w:rsid w:val="22B16CA5"/>
    <w:rsid w:val="22B304A2"/>
    <w:rsid w:val="22B44ACF"/>
    <w:rsid w:val="22B660C8"/>
    <w:rsid w:val="22F36350"/>
    <w:rsid w:val="22F535FA"/>
    <w:rsid w:val="230A39F1"/>
    <w:rsid w:val="231A6F28"/>
    <w:rsid w:val="23336032"/>
    <w:rsid w:val="233F7DCA"/>
    <w:rsid w:val="23456345"/>
    <w:rsid w:val="235D1F34"/>
    <w:rsid w:val="235F22BC"/>
    <w:rsid w:val="23684505"/>
    <w:rsid w:val="23701EFF"/>
    <w:rsid w:val="237F77E2"/>
    <w:rsid w:val="239C0B27"/>
    <w:rsid w:val="239E7A05"/>
    <w:rsid w:val="23B312F2"/>
    <w:rsid w:val="23B71EA6"/>
    <w:rsid w:val="23BC14BC"/>
    <w:rsid w:val="23BD3F0B"/>
    <w:rsid w:val="23F549CE"/>
    <w:rsid w:val="23F973A9"/>
    <w:rsid w:val="23FC7B97"/>
    <w:rsid w:val="243D7784"/>
    <w:rsid w:val="2450327C"/>
    <w:rsid w:val="24571D25"/>
    <w:rsid w:val="248317CC"/>
    <w:rsid w:val="24911511"/>
    <w:rsid w:val="249A0517"/>
    <w:rsid w:val="24AF09BD"/>
    <w:rsid w:val="24C624D4"/>
    <w:rsid w:val="24F9018D"/>
    <w:rsid w:val="250A6132"/>
    <w:rsid w:val="251D63BE"/>
    <w:rsid w:val="252E36C2"/>
    <w:rsid w:val="25432522"/>
    <w:rsid w:val="254A0CF3"/>
    <w:rsid w:val="254D0E93"/>
    <w:rsid w:val="25585215"/>
    <w:rsid w:val="255B7FD2"/>
    <w:rsid w:val="255C6F4E"/>
    <w:rsid w:val="257B496A"/>
    <w:rsid w:val="257D5688"/>
    <w:rsid w:val="25801456"/>
    <w:rsid w:val="25A14E0E"/>
    <w:rsid w:val="25B215E3"/>
    <w:rsid w:val="25CC76B0"/>
    <w:rsid w:val="25D368EF"/>
    <w:rsid w:val="25D86356"/>
    <w:rsid w:val="261444F6"/>
    <w:rsid w:val="261E76A0"/>
    <w:rsid w:val="26390D5C"/>
    <w:rsid w:val="26644EA7"/>
    <w:rsid w:val="26872C7B"/>
    <w:rsid w:val="26B40B71"/>
    <w:rsid w:val="26CD23C0"/>
    <w:rsid w:val="26EF419F"/>
    <w:rsid w:val="26F94939"/>
    <w:rsid w:val="27054D6D"/>
    <w:rsid w:val="271F6C07"/>
    <w:rsid w:val="27264473"/>
    <w:rsid w:val="272B6C1A"/>
    <w:rsid w:val="274753C8"/>
    <w:rsid w:val="2755592C"/>
    <w:rsid w:val="275A546E"/>
    <w:rsid w:val="27643A56"/>
    <w:rsid w:val="27680BB3"/>
    <w:rsid w:val="276C70FF"/>
    <w:rsid w:val="278D32AE"/>
    <w:rsid w:val="27A44A0A"/>
    <w:rsid w:val="27CE1BFB"/>
    <w:rsid w:val="27DA4607"/>
    <w:rsid w:val="27F54359"/>
    <w:rsid w:val="27F82FDC"/>
    <w:rsid w:val="280F418A"/>
    <w:rsid w:val="281C391F"/>
    <w:rsid w:val="28204BF6"/>
    <w:rsid w:val="284535E7"/>
    <w:rsid w:val="28516F5F"/>
    <w:rsid w:val="285A74F6"/>
    <w:rsid w:val="2877021D"/>
    <w:rsid w:val="289609EC"/>
    <w:rsid w:val="289C5C7B"/>
    <w:rsid w:val="289F54D3"/>
    <w:rsid w:val="28CC1C2B"/>
    <w:rsid w:val="28D027C1"/>
    <w:rsid w:val="28D5026C"/>
    <w:rsid w:val="28D906B5"/>
    <w:rsid w:val="28EA79A9"/>
    <w:rsid w:val="28EB2AD5"/>
    <w:rsid w:val="2912392D"/>
    <w:rsid w:val="29195F6C"/>
    <w:rsid w:val="29271BC4"/>
    <w:rsid w:val="292B376C"/>
    <w:rsid w:val="29444107"/>
    <w:rsid w:val="29506674"/>
    <w:rsid w:val="29552A7C"/>
    <w:rsid w:val="295E5F46"/>
    <w:rsid w:val="296A74F3"/>
    <w:rsid w:val="29724C94"/>
    <w:rsid w:val="29794BB6"/>
    <w:rsid w:val="298670E6"/>
    <w:rsid w:val="299506B4"/>
    <w:rsid w:val="29A8203C"/>
    <w:rsid w:val="29AC1FD3"/>
    <w:rsid w:val="29BE6110"/>
    <w:rsid w:val="29FF39E3"/>
    <w:rsid w:val="2A161392"/>
    <w:rsid w:val="2A2E1478"/>
    <w:rsid w:val="2A3776FF"/>
    <w:rsid w:val="2A3C6990"/>
    <w:rsid w:val="2A4144C9"/>
    <w:rsid w:val="2A4F5699"/>
    <w:rsid w:val="2A663F30"/>
    <w:rsid w:val="2A862824"/>
    <w:rsid w:val="2A870A06"/>
    <w:rsid w:val="2A8B1BE9"/>
    <w:rsid w:val="2A8D6CCA"/>
    <w:rsid w:val="2A9E58A2"/>
    <w:rsid w:val="2AAF0549"/>
    <w:rsid w:val="2AAF4247"/>
    <w:rsid w:val="2AB35CCC"/>
    <w:rsid w:val="2ABE1606"/>
    <w:rsid w:val="2AC427EF"/>
    <w:rsid w:val="2AD25D78"/>
    <w:rsid w:val="2ADE2EBE"/>
    <w:rsid w:val="2AE24052"/>
    <w:rsid w:val="2AEA0FE0"/>
    <w:rsid w:val="2B037AB4"/>
    <w:rsid w:val="2B05574B"/>
    <w:rsid w:val="2B122C35"/>
    <w:rsid w:val="2B3704D2"/>
    <w:rsid w:val="2B3910D2"/>
    <w:rsid w:val="2B391C09"/>
    <w:rsid w:val="2B416F5D"/>
    <w:rsid w:val="2B470F10"/>
    <w:rsid w:val="2B586026"/>
    <w:rsid w:val="2B6D12EE"/>
    <w:rsid w:val="2B766598"/>
    <w:rsid w:val="2B88197A"/>
    <w:rsid w:val="2B8F196A"/>
    <w:rsid w:val="2B931C61"/>
    <w:rsid w:val="2B944ACD"/>
    <w:rsid w:val="2B9F40C3"/>
    <w:rsid w:val="2BA8442D"/>
    <w:rsid w:val="2BB461B8"/>
    <w:rsid w:val="2BD1450F"/>
    <w:rsid w:val="2BFB1444"/>
    <w:rsid w:val="2C082DE1"/>
    <w:rsid w:val="2C0D70FB"/>
    <w:rsid w:val="2C1E724B"/>
    <w:rsid w:val="2C244A8B"/>
    <w:rsid w:val="2C4B162F"/>
    <w:rsid w:val="2C5B50CF"/>
    <w:rsid w:val="2C9C2078"/>
    <w:rsid w:val="2C9F3729"/>
    <w:rsid w:val="2CAB49B8"/>
    <w:rsid w:val="2CAC29D6"/>
    <w:rsid w:val="2CB04A86"/>
    <w:rsid w:val="2CCA75CA"/>
    <w:rsid w:val="2CD173BA"/>
    <w:rsid w:val="2CD452F7"/>
    <w:rsid w:val="2CDC672B"/>
    <w:rsid w:val="2CE31469"/>
    <w:rsid w:val="2D26308F"/>
    <w:rsid w:val="2D2C76B3"/>
    <w:rsid w:val="2D2E133C"/>
    <w:rsid w:val="2D420F35"/>
    <w:rsid w:val="2D4F1427"/>
    <w:rsid w:val="2D5E35E4"/>
    <w:rsid w:val="2D634337"/>
    <w:rsid w:val="2D8639BE"/>
    <w:rsid w:val="2D9124BA"/>
    <w:rsid w:val="2DAF13AE"/>
    <w:rsid w:val="2DB57E4B"/>
    <w:rsid w:val="2DB823B5"/>
    <w:rsid w:val="2DB95E33"/>
    <w:rsid w:val="2DBF5088"/>
    <w:rsid w:val="2DD557CF"/>
    <w:rsid w:val="2DDA6624"/>
    <w:rsid w:val="2DE649FC"/>
    <w:rsid w:val="2DF9330D"/>
    <w:rsid w:val="2E035570"/>
    <w:rsid w:val="2E0979F4"/>
    <w:rsid w:val="2E0D0AEF"/>
    <w:rsid w:val="2E107B3F"/>
    <w:rsid w:val="2E22445B"/>
    <w:rsid w:val="2E231969"/>
    <w:rsid w:val="2E434F93"/>
    <w:rsid w:val="2E583346"/>
    <w:rsid w:val="2E744149"/>
    <w:rsid w:val="2E9F3EB4"/>
    <w:rsid w:val="2EA22753"/>
    <w:rsid w:val="2ED12CB8"/>
    <w:rsid w:val="2EDB374F"/>
    <w:rsid w:val="2EE97BBC"/>
    <w:rsid w:val="2F117CE4"/>
    <w:rsid w:val="2F214A8B"/>
    <w:rsid w:val="2F493DF2"/>
    <w:rsid w:val="2F49739F"/>
    <w:rsid w:val="2F655F55"/>
    <w:rsid w:val="2F6A24B7"/>
    <w:rsid w:val="2F8736ED"/>
    <w:rsid w:val="2FB733C0"/>
    <w:rsid w:val="2FB816AD"/>
    <w:rsid w:val="2FBF5CA8"/>
    <w:rsid w:val="2FE24FA7"/>
    <w:rsid w:val="301F52AD"/>
    <w:rsid w:val="30510646"/>
    <w:rsid w:val="306E7FE2"/>
    <w:rsid w:val="30797F80"/>
    <w:rsid w:val="308F150A"/>
    <w:rsid w:val="309141A6"/>
    <w:rsid w:val="30B44E26"/>
    <w:rsid w:val="30B66DCA"/>
    <w:rsid w:val="30CC1770"/>
    <w:rsid w:val="30D435EB"/>
    <w:rsid w:val="31330A6A"/>
    <w:rsid w:val="31350C4C"/>
    <w:rsid w:val="31380F7D"/>
    <w:rsid w:val="31576C02"/>
    <w:rsid w:val="3165615B"/>
    <w:rsid w:val="3182724D"/>
    <w:rsid w:val="319B00D5"/>
    <w:rsid w:val="31B34359"/>
    <w:rsid w:val="31D16A7B"/>
    <w:rsid w:val="32023E18"/>
    <w:rsid w:val="32056EAA"/>
    <w:rsid w:val="32060A36"/>
    <w:rsid w:val="321364C4"/>
    <w:rsid w:val="321F0552"/>
    <w:rsid w:val="32302FE9"/>
    <w:rsid w:val="326441CD"/>
    <w:rsid w:val="326E688F"/>
    <w:rsid w:val="327A1A5F"/>
    <w:rsid w:val="328B6557"/>
    <w:rsid w:val="32AB5740"/>
    <w:rsid w:val="32BB3D1B"/>
    <w:rsid w:val="32CD6A54"/>
    <w:rsid w:val="32E766E9"/>
    <w:rsid w:val="33244988"/>
    <w:rsid w:val="33356BCE"/>
    <w:rsid w:val="33455BD6"/>
    <w:rsid w:val="334D6BBD"/>
    <w:rsid w:val="3357193D"/>
    <w:rsid w:val="335E161E"/>
    <w:rsid w:val="33800718"/>
    <w:rsid w:val="338D6019"/>
    <w:rsid w:val="339372CF"/>
    <w:rsid w:val="33B73A4E"/>
    <w:rsid w:val="33C9670A"/>
    <w:rsid w:val="33CE3CE5"/>
    <w:rsid w:val="33EF4F96"/>
    <w:rsid w:val="340E5AAB"/>
    <w:rsid w:val="34306259"/>
    <w:rsid w:val="346F3BA7"/>
    <w:rsid w:val="34740116"/>
    <w:rsid w:val="349773B0"/>
    <w:rsid w:val="349A34DB"/>
    <w:rsid w:val="34A13012"/>
    <w:rsid w:val="34B82C4A"/>
    <w:rsid w:val="34CC4B3B"/>
    <w:rsid w:val="34D17D85"/>
    <w:rsid w:val="34D752C3"/>
    <w:rsid w:val="34E70AD6"/>
    <w:rsid w:val="34E81CC2"/>
    <w:rsid w:val="3517371A"/>
    <w:rsid w:val="352908CA"/>
    <w:rsid w:val="35301450"/>
    <w:rsid w:val="35367747"/>
    <w:rsid w:val="35844C0E"/>
    <w:rsid w:val="358A3883"/>
    <w:rsid w:val="35B70AC8"/>
    <w:rsid w:val="35DA029C"/>
    <w:rsid w:val="35DF2B69"/>
    <w:rsid w:val="35E412A9"/>
    <w:rsid w:val="35E6061B"/>
    <w:rsid w:val="360665DE"/>
    <w:rsid w:val="361C403D"/>
    <w:rsid w:val="362D444E"/>
    <w:rsid w:val="362E3E38"/>
    <w:rsid w:val="364D63A5"/>
    <w:rsid w:val="36613E2D"/>
    <w:rsid w:val="366C6A61"/>
    <w:rsid w:val="368D2C61"/>
    <w:rsid w:val="36AD2677"/>
    <w:rsid w:val="36B97624"/>
    <w:rsid w:val="36BA131D"/>
    <w:rsid w:val="36BF2124"/>
    <w:rsid w:val="36D247F1"/>
    <w:rsid w:val="370E607B"/>
    <w:rsid w:val="371123B3"/>
    <w:rsid w:val="37254F27"/>
    <w:rsid w:val="37305F87"/>
    <w:rsid w:val="37612A02"/>
    <w:rsid w:val="37734130"/>
    <w:rsid w:val="377A4B26"/>
    <w:rsid w:val="377E3A62"/>
    <w:rsid w:val="3788196A"/>
    <w:rsid w:val="37BB0B21"/>
    <w:rsid w:val="37D806B0"/>
    <w:rsid w:val="37DC6E40"/>
    <w:rsid w:val="37E66CE8"/>
    <w:rsid w:val="37F720AC"/>
    <w:rsid w:val="381A023B"/>
    <w:rsid w:val="381F1BC2"/>
    <w:rsid w:val="382B20B3"/>
    <w:rsid w:val="382F1AEE"/>
    <w:rsid w:val="38414F42"/>
    <w:rsid w:val="38465EC0"/>
    <w:rsid w:val="38495459"/>
    <w:rsid w:val="38590301"/>
    <w:rsid w:val="38602546"/>
    <w:rsid w:val="387D3937"/>
    <w:rsid w:val="38811B39"/>
    <w:rsid w:val="38817344"/>
    <w:rsid w:val="38B0670F"/>
    <w:rsid w:val="38B20083"/>
    <w:rsid w:val="38B7563D"/>
    <w:rsid w:val="38BB7937"/>
    <w:rsid w:val="38C1603A"/>
    <w:rsid w:val="38DB7D7B"/>
    <w:rsid w:val="38EB003F"/>
    <w:rsid w:val="38EC6170"/>
    <w:rsid w:val="38EE3475"/>
    <w:rsid w:val="38FA517B"/>
    <w:rsid w:val="390A3637"/>
    <w:rsid w:val="391563C7"/>
    <w:rsid w:val="393978C0"/>
    <w:rsid w:val="393C7432"/>
    <w:rsid w:val="395A235D"/>
    <w:rsid w:val="3962620A"/>
    <w:rsid w:val="396665B7"/>
    <w:rsid w:val="396F3AB4"/>
    <w:rsid w:val="39B575D0"/>
    <w:rsid w:val="39BB7346"/>
    <w:rsid w:val="39C5615B"/>
    <w:rsid w:val="39D1711C"/>
    <w:rsid w:val="39DB0C8C"/>
    <w:rsid w:val="39F62CB4"/>
    <w:rsid w:val="3A016013"/>
    <w:rsid w:val="3A023586"/>
    <w:rsid w:val="3A1F0DF9"/>
    <w:rsid w:val="3A412056"/>
    <w:rsid w:val="3A5C0EAC"/>
    <w:rsid w:val="3A6B169D"/>
    <w:rsid w:val="3A767B13"/>
    <w:rsid w:val="3A8308DF"/>
    <w:rsid w:val="3A973DE2"/>
    <w:rsid w:val="3AA636D4"/>
    <w:rsid w:val="3AA86A0D"/>
    <w:rsid w:val="3ACB7183"/>
    <w:rsid w:val="3AE841F3"/>
    <w:rsid w:val="3AFF5FFA"/>
    <w:rsid w:val="3B304812"/>
    <w:rsid w:val="3B3904B1"/>
    <w:rsid w:val="3B56581D"/>
    <w:rsid w:val="3B5A19FA"/>
    <w:rsid w:val="3B5B0FEB"/>
    <w:rsid w:val="3B5F58B2"/>
    <w:rsid w:val="3B832966"/>
    <w:rsid w:val="3B856870"/>
    <w:rsid w:val="3BA744AB"/>
    <w:rsid w:val="3BB92E6A"/>
    <w:rsid w:val="3BC44F5A"/>
    <w:rsid w:val="3BC9431F"/>
    <w:rsid w:val="3BD942B1"/>
    <w:rsid w:val="3BDA7340"/>
    <w:rsid w:val="3BE130ED"/>
    <w:rsid w:val="3BF5780A"/>
    <w:rsid w:val="3C0B67F3"/>
    <w:rsid w:val="3C1115C5"/>
    <w:rsid w:val="3C16737F"/>
    <w:rsid w:val="3C264335"/>
    <w:rsid w:val="3C5B4A7D"/>
    <w:rsid w:val="3C6A38E9"/>
    <w:rsid w:val="3C7250F5"/>
    <w:rsid w:val="3C800A4A"/>
    <w:rsid w:val="3C8D681D"/>
    <w:rsid w:val="3C9806C6"/>
    <w:rsid w:val="3CA14CB8"/>
    <w:rsid w:val="3CAD4840"/>
    <w:rsid w:val="3CB128AB"/>
    <w:rsid w:val="3CC2331A"/>
    <w:rsid w:val="3CCC50F9"/>
    <w:rsid w:val="3CCC57D9"/>
    <w:rsid w:val="3CD449EB"/>
    <w:rsid w:val="3CE202A8"/>
    <w:rsid w:val="3CF32897"/>
    <w:rsid w:val="3D0038A0"/>
    <w:rsid w:val="3D0A2889"/>
    <w:rsid w:val="3D0E66D2"/>
    <w:rsid w:val="3D1A57EB"/>
    <w:rsid w:val="3D346393"/>
    <w:rsid w:val="3D577B32"/>
    <w:rsid w:val="3D730764"/>
    <w:rsid w:val="3D7F7710"/>
    <w:rsid w:val="3D891722"/>
    <w:rsid w:val="3D926561"/>
    <w:rsid w:val="3DA024F1"/>
    <w:rsid w:val="3DB37034"/>
    <w:rsid w:val="3DB54430"/>
    <w:rsid w:val="3DBC2D44"/>
    <w:rsid w:val="3DEE161E"/>
    <w:rsid w:val="3E0F7236"/>
    <w:rsid w:val="3E1A397A"/>
    <w:rsid w:val="3E3948A1"/>
    <w:rsid w:val="3E432768"/>
    <w:rsid w:val="3E4619B8"/>
    <w:rsid w:val="3E4A59B8"/>
    <w:rsid w:val="3E4B54BF"/>
    <w:rsid w:val="3E594378"/>
    <w:rsid w:val="3E597F6B"/>
    <w:rsid w:val="3E5A1C9E"/>
    <w:rsid w:val="3E6D2B00"/>
    <w:rsid w:val="3E6E3E88"/>
    <w:rsid w:val="3E721D6A"/>
    <w:rsid w:val="3E841CC2"/>
    <w:rsid w:val="3E9A6446"/>
    <w:rsid w:val="3EF1707F"/>
    <w:rsid w:val="3EF60C63"/>
    <w:rsid w:val="3F0465A7"/>
    <w:rsid w:val="3F0538C0"/>
    <w:rsid w:val="3F0F754E"/>
    <w:rsid w:val="3F192004"/>
    <w:rsid w:val="3F1E7077"/>
    <w:rsid w:val="3F5E5FB0"/>
    <w:rsid w:val="3F6525B0"/>
    <w:rsid w:val="3F682A79"/>
    <w:rsid w:val="3F7E7587"/>
    <w:rsid w:val="3F90136A"/>
    <w:rsid w:val="3F9024DC"/>
    <w:rsid w:val="3FA52AC5"/>
    <w:rsid w:val="3FAE1576"/>
    <w:rsid w:val="3FC020EA"/>
    <w:rsid w:val="3FC6431B"/>
    <w:rsid w:val="3FDF35EE"/>
    <w:rsid w:val="3FE91433"/>
    <w:rsid w:val="4042792B"/>
    <w:rsid w:val="40580236"/>
    <w:rsid w:val="40580367"/>
    <w:rsid w:val="40761F23"/>
    <w:rsid w:val="408A3931"/>
    <w:rsid w:val="40C754F7"/>
    <w:rsid w:val="40DA6EA3"/>
    <w:rsid w:val="40FD3F09"/>
    <w:rsid w:val="411128F0"/>
    <w:rsid w:val="41151554"/>
    <w:rsid w:val="41240889"/>
    <w:rsid w:val="412E1781"/>
    <w:rsid w:val="412F4D4A"/>
    <w:rsid w:val="4141765A"/>
    <w:rsid w:val="415146FD"/>
    <w:rsid w:val="415575CE"/>
    <w:rsid w:val="415F25C0"/>
    <w:rsid w:val="41613732"/>
    <w:rsid w:val="417C49FE"/>
    <w:rsid w:val="41830C75"/>
    <w:rsid w:val="418D4E4D"/>
    <w:rsid w:val="41A853A8"/>
    <w:rsid w:val="41B74D67"/>
    <w:rsid w:val="41C5325F"/>
    <w:rsid w:val="41CA788D"/>
    <w:rsid w:val="41D75A95"/>
    <w:rsid w:val="41DE196C"/>
    <w:rsid w:val="41FD48E1"/>
    <w:rsid w:val="42111767"/>
    <w:rsid w:val="421E1DAE"/>
    <w:rsid w:val="42390D6B"/>
    <w:rsid w:val="42466D10"/>
    <w:rsid w:val="426104F4"/>
    <w:rsid w:val="427F5114"/>
    <w:rsid w:val="428117D6"/>
    <w:rsid w:val="42831B60"/>
    <w:rsid w:val="428D00BE"/>
    <w:rsid w:val="42B53C84"/>
    <w:rsid w:val="42B5540E"/>
    <w:rsid w:val="42BF77FD"/>
    <w:rsid w:val="42C01F80"/>
    <w:rsid w:val="42CC5625"/>
    <w:rsid w:val="42D51BD2"/>
    <w:rsid w:val="42DE14CD"/>
    <w:rsid w:val="431203B6"/>
    <w:rsid w:val="43246398"/>
    <w:rsid w:val="43513C08"/>
    <w:rsid w:val="43661FA0"/>
    <w:rsid w:val="437C1F45"/>
    <w:rsid w:val="437D5C80"/>
    <w:rsid w:val="4383274A"/>
    <w:rsid w:val="438F0895"/>
    <w:rsid w:val="43A713BD"/>
    <w:rsid w:val="43B72161"/>
    <w:rsid w:val="43B83004"/>
    <w:rsid w:val="43B85418"/>
    <w:rsid w:val="43F00B88"/>
    <w:rsid w:val="43F1350A"/>
    <w:rsid w:val="43F33D47"/>
    <w:rsid w:val="43FA1F0C"/>
    <w:rsid w:val="44233EB0"/>
    <w:rsid w:val="44245F18"/>
    <w:rsid w:val="44282525"/>
    <w:rsid w:val="442C5BBA"/>
    <w:rsid w:val="443570D7"/>
    <w:rsid w:val="44466978"/>
    <w:rsid w:val="446D079E"/>
    <w:rsid w:val="44773193"/>
    <w:rsid w:val="44810CB0"/>
    <w:rsid w:val="448D4A83"/>
    <w:rsid w:val="44CC6C2E"/>
    <w:rsid w:val="44E341C3"/>
    <w:rsid w:val="44E87F0C"/>
    <w:rsid w:val="44FF5255"/>
    <w:rsid w:val="45045C02"/>
    <w:rsid w:val="450B0DDE"/>
    <w:rsid w:val="451A2516"/>
    <w:rsid w:val="451E246E"/>
    <w:rsid w:val="451F4D45"/>
    <w:rsid w:val="454A1A77"/>
    <w:rsid w:val="45743D1E"/>
    <w:rsid w:val="45744D38"/>
    <w:rsid w:val="45791E48"/>
    <w:rsid w:val="457E617A"/>
    <w:rsid w:val="459B1F40"/>
    <w:rsid w:val="45A476A5"/>
    <w:rsid w:val="45C11FC0"/>
    <w:rsid w:val="45CC3B1D"/>
    <w:rsid w:val="45E2495B"/>
    <w:rsid w:val="45EF0817"/>
    <w:rsid w:val="45FD4563"/>
    <w:rsid w:val="460B5851"/>
    <w:rsid w:val="461D6525"/>
    <w:rsid w:val="46460CD7"/>
    <w:rsid w:val="466F6400"/>
    <w:rsid w:val="4671303C"/>
    <w:rsid w:val="469A51FD"/>
    <w:rsid w:val="46A03143"/>
    <w:rsid w:val="46A44718"/>
    <w:rsid w:val="46B770BA"/>
    <w:rsid w:val="46D27A40"/>
    <w:rsid w:val="46D63D94"/>
    <w:rsid w:val="46E266F9"/>
    <w:rsid w:val="46ED7A5B"/>
    <w:rsid w:val="47082F5C"/>
    <w:rsid w:val="471963F9"/>
    <w:rsid w:val="471F1551"/>
    <w:rsid w:val="472165A9"/>
    <w:rsid w:val="473D7A51"/>
    <w:rsid w:val="47474688"/>
    <w:rsid w:val="475A3339"/>
    <w:rsid w:val="476844E1"/>
    <w:rsid w:val="47882E21"/>
    <w:rsid w:val="47F82CCD"/>
    <w:rsid w:val="48003CE7"/>
    <w:rsid w:val="4801084B"/>
    <w:rsid w:val="481919D5"/>
    <w:rsid w:val="48217765"/>
    <w:rsid w:val="483F6500"/>
    <w:rsid w:val="48542B15"/>
    <w:rsid w:val="485D66F7"/>
    <w:rsid w:val="48722AA6"/>
    <w:rsid w:val="487F2935"/>
    <w:rsid w:val="48A231B7"/>
    <w:rsid w:val="48A71772"/>
    <w:rsid w:val="48A802F2"/>
    <w:rsid w:val="48D549FE"/>
    <w:rsid w:val="48DB640D"/>
    <w:rsid w:val="48EC5AF0"/>
    <w:rsid w:val="48F36E7F"/>
    <w:rsid w:val="48F61DA8"/>
    <w:rsid w:val="49057512"/>
    <w:rsid w:val="49097116"/>
    <w:rsid w:val="49402F52"/>
    <w:rsid w:val="496F7255"/>
    <w:rsid w:val="4985223D"/>
    <w:rsid w:val="49901A8D"/>
    <w:rsid w:val="49A3413E"/>
    <w:rsid w:val="49AD57F9"/>
    <w:rsid w:val="49AD606D"/>
    <w:rsid w:val="49C35B92"/>
    <w:rsid w:val="49C605C2"/>
    <w:rsid w:val="49F57B95"/>
    <w:rsid w:val="49FE565F"/>
    <w:rsid w:val="4A1A65A2"/>
    <w:rsid w:val="4A696132"/>
    <w:rsid w:val="4A702F34"/>
    <w:rsid w:val="4A706FB0"/>
    <w:rsid w:val="4A8B57DA"/>
    <w:rsid w:val="4A8F0E29"/>
    <w:rsid w:val="4A947B55"/>
    <w:rsid w:val="4A9B0728"/>
    <w:rsid w:val="4AB96926"/>
    <w:rsid w:val="4AC70980"/>
    <w:rsid w:val="4AF52851"/>
    <w:rsid w:val="4B281166"/>
    <w:rsid w:val="4B4D0F13"/>
    <w:rsid w:val="4B7D41E0"/>
    <w:rsid w:val="4B9225E3"/>
    <w:rsid w:val="4BA96510"/>
    <w:rsid w:val="4BB212CB"/>
    <w:rsid w:val="4BDD4E1E"/>
    <w:rsid w:val="4BE3688A"/>
    <w:rsid w:val="4C312059"/>
    <w:rsid w:val="4C70322C"/>
    <w:rsid w:val="4C7E0954"/>
    <w:rsid w:val="4C8B19C3"/>
    <w:rsid w:val="4CA7245A"/>
    <w:rsid w:val="4CAE56BA"/>
    <w:rsid w:val="4CB714DE"/>
    <w:rsid w:val="4CBF0E61"/>
    <w:rsid w:val="4CE832B7"/>
    <w:rsid w:val="4D046F69"/>
    <w:rsid w:val="4D0535A1"/>
    <w:rsid w:val="4D1122D4"/>
    <w:rsid w:val="4D1A5DFB"/>
    <w:rsid w:val="4D224650"/>
    <w:rsid w:val="4D2F60FD"/>
    <w:rsid w:val="4D37405A"/>
    <w:rsid w:val="4D5C730D"/>
    <w:rsid w:val="4D663D60"/>
    <w:rsid w:val="4D672368"/>
    <w:rsid w:val="4D704F42"/>
    <w:rsid w:val="4D865E93"/>
    <w:rsid w:val="4DB15995"/>
    <w:rsid w:val="4DC220FC"/>
    <w:rsid w:val="4DE52644"/>
    <w:rsid w:val="4DE76D0D"/>
    <w:rsid w:val="4DE8131C"/>
    <w:rsid w:val="4DEF40B9"/>
    <w:rsid w:val="4E231AF8"/>
    <w:rsid w:val="4E28352F"/>
    <w:rsid w:val="4E2C224E"/>
    <w:rsid w:val="4E39279A"/>
    <w:rsid w:val="4E4C150B"/>
    <w:rsid w:val="4E6B0903"/>
    <w:rsid w:val="4E8A1F76"/>
    <w:rsid w:val="4E911A23"/>
    <w:rsid w:val="4E9C3083"/>
    <w:rsid w:val="4EA03605"/>
    <w:rsid w:val="4EA96124"/>
    <w:rsid w:val="4EB34D80"/>
    <w:rsid w:val="4EB50805"/>
    <w:rsid w:val="4EC004A5"/>
    <w:rsid w:val="4ED32808"/>
    <w:rsid w:val="4F0360FD"/>
    <w:rsid w:val="4F0A6251"/>
    <w:rsid w:val="4F5166AD"/>
    <w:rsid w:val="4F6943EE"/>
    <w:rsid w:val="4F967237"/>
    <w:rsid w:val="4FA04203"/>
    <w:rsid w:val="4FB75251"/>
    <w:rsid w:val="4FDE42FA"/>
    <w:rsid w:val="4FE23FBE"/>
    <w:rsid w:val="50052DD0"/>
    <w:rsid w:val="5016446C"/>
    <w:rsid w:val="501A5098"/>
    <w:rsid w:val="502B5985"/>
    <w:rsid w:val="504406C3"/>
    <w:rsid w:val="504E0E24"/>
    <w:rsid w:val="505E3468"/>
    <w:rsid w:val="50606D6B"/>
    <w:rsid w:val="50740A37"/>
    <w:rsid w:val="50762C1F"/>
    <w:rsid w:val="507749DF"/>
    <w:rsid w:val="50962304"/>
    <w:rsid w:val="50AF5037"/>
    <w:rsid w:val="50CB4010"/>
    <w:rsid w:val="50DD3122"/>
    <w:rsid w:val="50E0674F"/>
    <w:rsid w:val="50F63C05"/>
    <w:rsid w:val="510A7E4A"/>
    <w:rsid w:val="510C490D"/>
    <w:rsid w:val="51150640"/>
    <w:rsid w:val="51183927"/>
    <w:rsid w:val="512166AA"/>
    <w:rsid w:val="51350BAE"/>
    <w:rsid w:val="51360251"/>
    <w:rsid w:val="51380564"/>
    <w:rsid w:val="513C6FDD"/>
    <w:rsid w:val="51521CC1"/>
    <w:rsid w:val="51576B70"/>
    <w:rsid w:val="515F7CCD"/>
    <w:rsid w:val="5162516E"/>
    <w:rsid w:val="51676676"/>
    <w:rsid w:val="517801B5"/>
    <w:rsid w:val="5186189E"/>
    <w:rsid w:val="519570D7"/>
    <w:rsid w:val="51A11E8A"/>
    <w:rsid w:val="51BB39C9"/>
    <w:rsid w:val="51FA03AA"/>
    <w:rsid w:val="520F4294"/>
    <w:rsid w:val="52271E27"/>
    <w:rsid w:val="52285598"/>
    <w:rsid w:val="52295F56"/>
    <w:rsid w:val="52454773"/>
    <w:rsid w:val="526037D7"/>
    <w:rsid w:val="52636396"/>
    <w:rsid w:val="52694DF3"/>
    <w:rsid w:val="52822C1E"/>
    <w:rsid w:val="528843F6"/>
    <w:rsid w:val="52B225D4"/>
    <w:rsid w:val="52BD6156"/>
    <w:rsid w:val="52CA52DE"/>
    <w:rsid w:val="52F954EE"/>
    <w:rsid w:val="53005373"/>
    <w:rsid w:val="53010E8A"/>
    <w:rsid w:val="53620EEA"/>
    <w:rsid w:val="538177FA"/>
    <w:rsid w:val="539B265B"/>
    <w:rsid w:val="539F0D5A"/>
    <w:rsid w:val="53BB6F42"/>
    <w:rsid w:val="53D13541"/>
    <w:rsid w:val="53D94D3C"/>
    <w:rsid w:val="53DC181B"/>
    <w:rsid w:val="53DE1070"/>
    <w:rsid w:val="53EE23BF"/>
    <w:rsid w:val="53F96076"/>
    <w:rsid w:val="54034353"/>
    <w:rsid w:val="540910C0"/>
    <w:rsid w:val="540D34EB"/>
    <w:rsid w:val="54626DA5"/>
    <w:rsid w:val="54932160"/>
    <w:rsid w:val="549C7D90"/>
    <w:rsid w:val="54A85071"/>
    <w:rsid w:val="54B7270E"/>
    <w:rsid w:val="54BF4C96"/>
    <w:rsid w:val="54FC0B90"/>
    <w:rsid w:val="550E7B0F"/>
    <w:rsid w:val="55204C06"/>
    <w:rsid w:val="553A5043"/>
    <w:rsid w:val="5560652C"/>
    <w:rsid w:val="556C60B3"/>
    <w:rsid w:val="55A36C2C"/>
    <w:rsid w:val="55EB4403"/>
    <w:rsid w:val="55F22EC4"/>
    <w:rsid w:val="560048F2"/>
    <w:rsid w:val="560479C3"/>
    <w:rsid w:val="5605080E"/>
    <w:rsid w:val="5606068F"/>
    <w:rsid w:val="561102F0"/>
    <w:rsid w:val="5613290E"/>
    <w:rsid w:val="562C22FC"/>
    <w:rsid w:val="56346D36"/>
    <w:rsid w:val="56347BFE"/>
    <w:rsid w:val="56563C5E"/>
    <w:rsid w:val="565C2946"/>
    <w:rsid w:val="56707C68"/>
    <w:rsid w:val="56890A8D"/>
    <w:rsid w:val="569A6B8C"/>
    <w:rsid w:val="56B468D9"/>
    <w:rsid w:val="56B56163"/>
    <w:rsid w:val="56CD51B3"/>
    <w:rsid w:val="56D55EA0"/>
    <w:rsid w:val="56D76945"/>
    <w:rsid w:val="56DE15BE"/>
    <w:rsid w:val="56F31985"/>
    <w:rsid w:val="57134579"/>
    <w:rsid w:val="572820EC"/>
    <w:rsid w:val="57283E0B"/>
    <w:rsid w:val="57294F00"/>
    <w:rsid w:val="574A387E"/>
    <w:rsid w:val="574C544F"/>
    <w:rsid w:val="576B5785"/>
    <w:rsid w:val="576E69B6"/>
    <w:rsid w:val="577D3D48"/>
    <w:rsid w:val="579837F2"/>
    <w:rsid w:val="579B38A2"/>
    <w:rsid w:val="57D25DBA"/>
    <w:rsid w:val="57D270A6"/>
    <w:rsid w:val="57DE2FA7"/>
    <w:rsid w:val="57EB51CE"/>
    <w:rsid w:val="5807310F"/>
    <w:rsid w:val="582F7C9C"/>
    <w:rsid w:val="5838665C"/>
    <w:rsid w:val="58481BA9"/>
    <w:rsid w:val="585C28AB"/>
    <w:rsid w:val="58684C91"/>
    <w:rsid w:val="5895585D"/>
    <w:rsid w:val="589E7E02"/>
    <w:rsid w:val="58A16306"/>
    <w:rsid w:val="58B33F35"/>
    <w:rsid w:val="58B74EA2"/>
    <w:rsid w:val="58CD1B8D"/>
    <w:rsid w:val="58D43A36"/>
    <w:rsid w:val="58D53867"/>
    <w:rsid w:val="58DB7B6B"/>
    <w:rsid w:val="58E00368"/>
    <w:rsid w:val="58E6255C"/>
    <w:rsid w:val="58E862D4"/>
    <w:rsid w:val="58ED4F64"/>
    <w:rsid w:val="59210902"/>
    <w:rsid w:val="593202DD"/>
    <w:rsid w:val="593B3F1E"/>
    <w:rsid w:val="593E44C7"/>
    <w:rsid w:val="59517F0B"/>
    <w:rsid w:val="595A2602"/>
    <w:rsid w:val="59654336"/>
    <w:rsid w:val="5975629B"/>
    <w:rsid w:val="59837DAB"/>
    <w:rsid w:val="59853B23"/>
    <w:rsid w:val="59AA6C5E"/>
    <w:rsid w:val="59C24364"/>
    <w:rsid w:val="59FF38D6"/>
    <w:rsid w:val="5A050129"/>
    <w:rsid w:val="5A2D31D8"/>
    <w:rsid w:val="5A317220"/>
    <w:rsid w:val="5A3564F7"/>
    <w:rsid w:val="5A5E6059"/>
    <w:rsid w:val="5A766DC7"/>
    <w:rsid w:val="5A8C41F3"/>
    <w:rsid w:val="5AAD49D1"/>
    <w:rsid w:val="5AB865E5"/>
    <w:rsid w:val="5AC445F6"/>
    <w:rsid w:val="5AE453BD"/>
    <w:rsid w:val="5AEF23CB"/>
    <w:rsid w:val="5AF40348"/>
    <w:rsid w:val="5AFA040B"/>
    <w:rsid w:val="5B0373F5"/>
    <w:rsid w:val="5B073274"/>
    <w:rsid w:val="5B1A4EF4"/>
    <w:rsid w:val="5B1B5005"/>
    <w:rsid w:val="5B210F6B"/>
    <w:rsid w:val="5B265F87"/>
    <w:rsid w:val="5B3D0088"/>
    <w:rsid w:val="5B4535FC"/>
    <w:rsid w:val="5B490097"/>
    <w:rsid w:val="5B5B3570"/>
    <w:rsid w:val="5B8356C5"/>
    <w:rsid w:val="5B926618"/>
    <w:rsid w:val="5B9B0EF6"/>
    <w:rsid w:val="5BAD170D"/>
    <w:rsid w:val="5BCF1B80"/>
    <w:rsid w:val="5BEB7D0A"/>
    <w:rsid w:val="5BFF6ACC"/>
    <w:rsid w:val="5C0A6E8C"/>
    <w:rsid w:val="5C0E1B23"/>
    <w:rsid w:val="5C0F1DCA"/>
    <w:rsid w:val="5C0F75D9"/>
    <w:rsid w:val="5C136C51"/>
    <w:rsid w:val="5C160B6C"/>
    <w:rsid w:val="5C59168D"/>
    <w:rsid w:val="5C592D7D"/>
    <w:rsid w:val="5C60261B"/>
    <w:rsid w:val="5C7B745F"/>
    <w:rsid w:val="5C8E760E"/>
    <w:rsid w:val="5C91292C"/>
    <w:rsid w:val="5CB84210"/>
    <w:rsid w:val="5CBA0E18"/>
    <w:rsid w:val="5CE5335C"/>
    <w:rsid w:val="5CFD7060"/>
    <w:rsid w:val="5D072428"/>
    <w:rsid w:val="5D187049"/>
    <w:rsid w:val="5D1F70A0"/>
    <w:rsid w:val="5D235F07"/>
    <w:rsid w:val="5D2E6FEF"/>
    <w:rsid w:val="5D444EF8"/>
    <w:rsid w:val="5D5A0E23"/>
    <w:rsid w:val="5D655133"/>
    <w:rsid w:val="5D83481E"/>
    <w:rsid w:val="5D8E19F5"/>
    <w:rsid w:val="5DA4791D"/>
    <w:rsid w:val="5DA567E5"/>
    <w:rsid w:val="5DC7615E"/>
    <w:rsid w:val="5DD14A36"/>
    <w:rsid w:val="5DD67E1A"/>
    <w:rsid w:val="5DFC702A"/>
    <w:rsid w:val="5E2A03FB"/>
    <w:rsid w:val="5E2B0BA8"/>
    <w:rsid w:val="5E581E70"/>
    <w:rsid w:val="5E784311"/>
    <w:rsid w:val="5E8E1E22"/>
    <w:rsid w:val="5E8F1627"/>
    <w:rsid w:val="5E93037F"/>
    <w:rsid w:val="5EAA5A8A"/>
    <w:rsid w:val="5EB67CAE"/>
    <w:rsid w:val="5ECD5BE3"/>
    <w:rsid w:val="5EDB7057"/>
    <w:rsid w:val="5EDD1EED"/>
    <w:rsid w:val="5F0977CE"/>
    <w:rsid w:val="5F0D5B98"/>
    <w:rsid w:val="5F1A367F"/>
    <w:rsid w:val="5F1D12CB"/>
    <w:rsid w:val="5F2B1033"/>
    <w:rsid w:val="5F2F20EF"/>
    <w:rsid w:val="5F3021F3"/>
    <w:rsid w:val="5F4D3766"/>
    <w:rsid w:val="5F4D7FB0"/>
    <w:rsid w:val="5F623C70"/>
    <w:rsid w:val="5F7D646E"/>
    <w:rsid w:val="5F821A41"/>
    <w:rsid w:val="5F824C39"/>
    <w:rsid w:val="5F935AD9"/>
    <w:rsid w:val="5F9937E6"/>
    <w:rsid w:val="5FB05B4B"/>
    <w:rsid w:val="5FB50318"/>
    <w:rsid w:val="5FB9411A"/>
    <w:rsid w:val="5FC75B94"/>
    <w:rsid w:val="5FDF1ACE"/>
    <w:rsid w:val="5FE6207F"/>
    <w:rsid w:val="5FEA7730"/>
    <w:rsid w:val="5FEF2486"/>
    <w:rsid w:val="5FF92B75"/>
    <w:rsid w:val="60047ABD"/>
    <w:rsid w:val="600D3631"/>
    <w:rsid w:val="602F2A3B"/>
    <w:rsid w:val="603F25B3"/>
    <w:rsid w:val="604A7F6A"/>
    <w:rsid w:val="604D4C6F"/>
    <w:rsid w:val="60542D9C"/>
    <w:rsid w:val="606E353A"/>
    <w:rsid w:val="606F08DD"/>
    <w:rsid w:val="60C90138"/>
    <w:rsid w:val="60CD6297"/>
    <w:rsid w:val="60DB3599"/>
    <w:rsid w:val="60DB4284"/>
    <w:rsid w:val="60F6302D"/>
    <w:rsid w:val="61092F57"/>
    <w:rsid w:val="6129541F"/>
    <w:rsid w:val="612B059A"/>
    <w:rsid w:val="612E1967"/>
    <w:rsid w:val="616252E5"/>
    <w:rsid w:val="61874157"/>
    <w:rsid w:val="61AC4A11"/>
    <w:rsid w:val="61B424C8"/>
    <w:rsid w:val="61B53155"/>
    <w:rsid w:val="61DD6D7D"/>
    <w:rsid w:val="61F061FA"/>
    <w:rsid w:val="61FA0F2A"/>
    <w:rsid w:val="620718EE"/>
    <w:rsid w:val="620D6B6D"/>
    <w:rsid w:val="620F042E"/>
    <w:rsid w:val="621B7BE2"/>
    <w:rsid w:val="62543488"/>
    <w:rsid w:val="627250B6"/>
    <w:rsid w:val="627B1532"/>
    <w:rsid w:val="627B5525"/>
    <w:rsid w:val="629038C3"/>
    <w:rsid w:val="62D1432C"/>
    <w:rsid w:val="62D5531A"/>
    <w:rsid w:val="62DC331A"/>
    <w:rsid w:val="62EB53AB"/>
    <w:rsid w:val="635E1A4C"/>
    <w:rsid w:val="636A72F3"/>
    <w:rsid w:val="63831726"/>
    <w:rsid w:val="639E6594"/>
    <w:rsid w:val="63A67290"/>
    <w:rsid w:val="63DD0A6E"/>
    <w:rsid w:val="63E044E9"/>
    <w:rsid w:val="63E72249"/>
    <w:rsid w:val="63ED5BC6"/>
    <w:rsid w:val="63EE47BE"/>
    <w:rsid w:val="63FD075A"/>
    <w:rsid w:val="640E7A43"/>
    <w:rsid w:val="64176014"/>
    <w:rsid w:val="644E0B7F"/>
    <w:rsid w:val="64534AB4"/>
    <w:rsid w:val="646E06DB"/>
    <w:rsid w:val="647F7B82"/>
    <w:rsid w:val="649D1F1E"/>
    <w:rsid w:val="64AE56BF"/>
    <w:rsid w:val="64F33916"/>
    <w:rsid w:val="64F61EEB"/>
    <w:rsid w:val="64FF0C2E"/>
    <w:rsid w:val="650C350D"/>
    <w:rsid w:val="6522377E"/>
    <w:rsid w:val="652B46F8"/>
    <w:rsid w:val="6567490C"/>
    <w:rsid w:val="65A0769B"/>
    <w:rsid w:val="65BD729A"/>
    <w:rsid w:val="65D72700"/>
    <w:rsid w:val="65F3647A"/>
    <w:rsid w:val="65FE119E"/>
    <w:rsid w:val="661F153C"/>
    <w:rsid w:val="662B5608"/>
    <w:rsid w:val="663F7D97"/>
    <w:rsid w:val="664E25AF"/>
    <w:rsid w:val="665B1428"/>
    <w:rsid w:val="668B770A"/>
    <w:rsid w:val="669F7B04"/>
    <w:rsid w:val="66A001EE"/>
    <w:rsid w:val="66A47735"/>
    <w:rsid w:val="66D70BD8"/>
    <w:rsid w:val="66DB5522"/>
    <w:rsid w:val="66E8749F"/>
    <w:rsid w:val="67172DB9"/>
    <w:rsid w:val="672C4D40"/>
    <w:rsid w:val="6759039D"/>
    <w:rsid w:val="676A4950"/>
    <w:rsid w:val="67874E83"/>
    <w:rsid w:val="679A7B08"/>
    <w:rsid w:val="679C6B4C"/>
    <w:rsid w:val="67A93B2F"/>
    <w:rsid w:val="67B41765"/>
    <w:rsid w:val="67C655CA"/>
    <w:rsid w:val="67D15BF3"/>
    <w:rsid w:val="67EB7FC5"/>
    <w:rsid w:val="67EC1211"/>
    <w:rsid w:val="67EE31DB"/>
    <w:rsid w:val="68171416"/>
    <w:rsid w:val="6817356D"/>
    <w:rsid w:val="68330036"/>
    <w:rsid w:val="683B0725"/>
    <w:rsid w:val="686139AD"/>
    <w:rsid w:val="687F4C1D"/>
    <w:rsid w:val="688D4B1E"/>
    <w:rsid w:val="68923B67"/>
    <w:rsid w:val="689563B1"/>
    <w:rsid w:val="689F570B"/>
    <w:rsid w:val="68B75DEF"/>
    <w:rsid w:val="68BE1F0A"/>
    <w:rsid w:val="68C16F91"/>
    <w:rsid w:val="68C2756A"/>
    <w:rsid w:val="68CA608A"/>
    <w:rsid w:val="68CB1738"/>
    <w:rsid w:val="68EA08E2"/>
    <w:rsid w:val="68EB69EA"/>
    <w:rsid w:val="68F93C34"/>
    <w:rsid w:val="69083998"/>
    <w:rsid w:val="690C3F26"/>
    <w:rsid w:val="690F0847"/>
    <w:rsid w:val="69321A6D"/>
    <w:rsid w:val="693D1B33"/>
    <w:rsid w:val="6962097B"/>
    <w:rsid w:val="69660834"/>
    <w:rsid w:val="696C4187"/>
    <w:rsid w:val="696F20FA"/>
    <w:rsid w:val="69896C65"/>
    <w:rsid w:val="699F11A0"/>
    <w:rsid w:val="69EF71F8"/>
    <w:rsid w:val="69EF73C7"/>
    <w:rsid w:val="6A022F6E"/>
    <w:rsid w:val="6A1C0345"/>
    <w:rsid w:val="6A290000"/>
    <w:rsid w:val="6A3C4858"/>
    <w:rsid w:val="6A414D99"/>
    <w:rsid w:val="6A7241DA"/>
    <w:rsid w:val="6A7A04A4"/>
    <w:rsid w:val="6A7D0C4F"/>
    <w:rsid w:val="6A7E71DA"/>
    <w:rsid w:val="6A8D5D59"/>
    <w:rsid w:val="6AA92CE7"/>
    <w:rsid w:val="6ABD7DF6"/>
    <w:rsid w:val="6ACB5C2B"/>
    <w:rsid w:val="6ACD1429"/>
    <w:rsid w:val="6B592BA6"/>
    <w:rsid w:val="6B6C2B07"/>
    <w:rsid w:val="6B6D7597"/>
    <w:rsid w:val="6B7E5EAB"/>
    <w:rsid w:val="6BA42C5F"/>
    <w:rsid w:val="6BAF0326"/>
    <w:rsid w:val="6BCC1F64"/>
    <w:rsid w:val="6BCE62ED"/>
    <w:rsid w:val="6BD35E1F"/>
    <w:rsid w:val="6BE44ED6"/>
    <w:rsid w:val="6C141EFD"/>
    <w:rsid w:val="6C1627CA"/>
    <w:rsid w:val="6C1E59BF"/>
    <w:rsid w:val="6C2C7E2E"/>
    <w:rsid w:val="6C397724"/>
    <w:rsid w:val="6C467142"/>
    <w:rsid w:val="6C4A7F39"/>
    <w:rsid w:val="6C5A1F47"/>
    <w:rsid w:val="6C617461"/>
    <w:rsid w:val="6C6258FC"/>
    <w:rsid w:val="6C653954"/>
    <w:rsid w:val="6C6C3B45"/>
    <w:rsid w:val="6C700D4E"/>
    <w:rsid w:val="6C7035FB"/>
    <w:rsid w:val="6CBE6909"/>
    <w:rsid w:val="6CD539FE"/>
    <w:rsid w:val="6CF9320D"/>
    <w:rsid w:val="6D077341"/>
    <w:rsid w:val="6D1C23B7"/>
    <w:rsid w:val="6D2032E6"/>
    <w:rsid w:val="6D463172"/>
    <w:rsid w:val="6D871E5D"/>
    <w:rsid w:val="6D8C744C"/>
    <w:rsid w:val="6D932628"/>
    <w:rsid w:val="6D9E721F"/>
    <w:rsid w:val="6DA305C4"/>
    <w:rsid w:val="6DB7708E"/>
    <w:rsid w:val="6DBF5A2D"/>
    <w:rsid w:val="6DC16B11"/>
    <w:rsid w:val="6DC3248F"/>
    <w:rsid w:val="6DC76061"/>
    <w:rsid w:val="6DD8672B"/>
    <w:rsid w:val="6DDF4962"/>
    <w:rsid w:val="6DF8337A"/>
    <w:rsid w:val="6E027099"/>
    <w:rsid w:val="6E1C4E4E"/>
    <w:rsid w:val="6E280CCA"/>
    <w:rsid w:val="6E3F5BBC"/>
    <w:rsid w:val="6E473D1E"/>
    <w:rsid w:val="6E552A1C"/>
    <w:rsid w:val="6E643C75"/>
    <w:rsid w:val="6E66238A"/>
    <w:rsid w:val="6E664226"/>
    <w:rsid w:val="6E9047F2"/>
    <w:rsid w:val="6E981A48"/>
    <w:rsid w:val="6EAB5352"/>
    <w:rsid w:val="6EC07D65"/>
    <w:rsid w:val="6EC10D02"/>
    <w:rsid w:val="6EC30F1E"/>
    <w:rsid w:val="6EEA4801"/>
    <w:rsid w:val="6EF13D55"/>
    <w:rsid w:val="6EF35DDF"/>
    <w:rsid w:val="6F077F46"/>
    <w:rsid w:val="6F3263DC"/>
    <w:rsid w:val="6F3303EE"/>
    <w:rsid w:val="6F38017B"/>
    <w:rsid w:val="6F571666"/>
    <w:rsid w:val="6F8D0BCF"/>
    <w:rsid w:val="6F9957DB"/>
    <w:rsid w:val="6FA22549"/>
    <w:rsid w:val="6FA80114"/>
    <w:rsid w:val="6FC572DF"/>
    <w:rsid w:val="6FCE5BF7"/>
    <w:rsid w:val="6FEA6407"/>
    <w:rsid w:val="700B4188"/>
    <w:rsid w:val="700C06A3"/>
    <w:rsid w:val="702D4970"/>
    <w:rsid w:val="703449E8"/>
    <w:rsid w:val="70573D4D"/>
    <w:rsid w:val="705F156B"/>
    <w:rsid w:val="706513D6"/>
    <w:rsid w:val="7084221D"/>
    <w:rsid w:val="70995ECF"/>
    <w:rsid w:val="70A3406D"/>
    <w:rsid w:val="70C31153"/>
    <w:rsid w:val="70CD7461"/>
    <w:rsid w:val="70E37F25"/>
    <w:rsid w:val="70EC5DDE"/>
    <w:rsid w:val="71072E3B"/>
    <w:rsid w:val="710C47A1"/>
    <w:rsid w:val="710E3FF5"/>
    <w:rsid w:val="71321D8A"/>
    <w:rsid w:val="715B4FAC"/>
    <w:rsid w:val="715B781E"/>
    <w:rsid w:val="7161477F"/>
    <w:rsid w:val="716417A4"/>
    <w:rsid w:val="71717CF1"/>
    <w:rsid w:val="718E6B96"/>
    <w:rsid w:val="71925102"/>
    <w:rsid w:val="71994475"/>
    <w:rsid w:val="71D64AC4"/>
    <w:rsid w:val="71FC1939"/>
    <w:rsid w:val="720A3D8A"/>
    <w:rsid w:val="720E067A"/>
    <w:rsid w:val="723513B9"/>
    <w:rsid w:val="72401A80"/>
    <w:rsid w:val="724463AD"/>
    <w:rsid w:val="72562226"/>
    <w:rsid w:val="728B7E8D"/>
    <w:rsid w:val="72951317"/>
    <w:rsid w:val="72A4012B"/>
    <w:rsid w:val="72C6225D"/>
    <w:rsid w:val="72E64851"/>
    <w:rsid w:val="72EF46DE"/>
    <w:rsid w:val="72F17CFC"/>
    <w:rsid w:val="72F24118"/>
    <w:rsid w:val="73173CE2"/>
    <w:rsid w:val="73197B53"/>
    <w:rsid w:val="73367AF5"/>
    <w:rsid w:val="73531581"/>
    <w:rsid w:val="735E5C24"/>
    <w:rsid w:val="73627B42"/>
    <w:rsid w:val="73704370"/>
    <w:rsid w:val="73A365F5"/>
    <w:rsid w:val="73BE7EC9"/>
    <w:rsid w:val="73C02D18"/>
    <w:rsid w:val="73DC4D25"/>
    <w:rsid w:val="73DF2697"/>
    <w:rsid w:val="73ED13E7"/>
    <w:rsid w:val="741F78EA"/>
    <w:rsid w:val="74262915"/>
    <w:rsid w:val="7431777C"/>
    <w:rsid w:val="74335161"/>
    <w:rsid w:val="74475DD0"/>
    <w:rsid w:val="744A3547"/>
    <w:rsid w:val="745436E9"/>
    <w:rsid w:val="746960C4"/>
    <w:rsid w:val="74A07980"/>
    <w:rsid w:val="74CE1EDE"/>
    <w:rsid w:val="74D860D9"/>
    <w:rsid w:val="751318A0"/>
    <w:rsid w:val="75136159"/>
    <w:rsid w:val="7524581C"/>
    <w:rsid w:val="752677E6"/>
    <w:rsid w:val="753E0F61"/>
    <w:rsid w:val="754263B2"/>
    <w:rsid w:val="75556225"/>
    <w:rsid w:val="755D01AC"/>
    <w:rsid w:val="758139DD"/>
    <w:rsid w:val="7581486A"/>
    <w:rsid w:val="758B61EE"/>
    <w:rsid w:val="75933184"/>
    <w:rsid w:val="75A1130A"/>
    <w:rsid w:val="75AF5D58"/>
    <w:rsid w:val="75B4308D"/>
    <w:rsid w:val="75B855D2"/>
    <w:rsid w:val="75C15A8B"/>
    <w:rsid w:val="75C379FA"/>
    <w:rsid w:val="75F36C4E"/>
    <w:rsid w:val="75FA2D4B"/>
    <w:rsid w:val="76070574"/>
    <w:rsid w:val="76110225"/>
    <w:rsid w:val="762F086F"/>
    <w:rsid w:val="764C17F9"/>
    <w:rsid w:val="764C6B29"/>
    <w:rsid w:val="7651358C"/>
    <w:rsid w:val="765235D9"/>
    <w:rsid w:val="765571D6"/>
    <w:rsid w:val="765A05BC"/>
    <w:rsid w:val="76636B42"/>
    <w:rsid w:val="767C19B2"/>
    <w:rsid w:val="76903C34"/>
    <w:rsid w:val="76B64EC4"/>
    <w:rsid w:val="76BD6FDB"/>
    <w:rsid w:val="76C53BA5"/>
    <w:rsid w:val="76DA32A9"/>
    <w:rsid w:val="76E64FE9"/>
    <w:rsid w:val="76EC08E6"/>
    <w:rsid w:val="76EF03D6"/>
    <w:rsid w:val="76EF1C48"/>
    <w:rsid w:val="773E56F0"/>
    <w:rsid w:val="77446974"/>
    <w:rsid w:val="77503E62"/>
    <w:rsid w:val="77531CCD"/>
    <w:rsid w:val="77552E39"/>
    <w:rsid w:val="775E513F"/>
    <w:rsid w:val="77824D0B"/>
    <w:rsid w:val="77862A96"/>
    <w:rsid w:val="778B45A3"/>
    <w:rsid w:val="778B45B5"/>
    <w:rsid w:val="778B7D40"/>
    <w:rsid w:val="7791148D"/>
    <w:rsid w:val="77B61190"/>
    <w:rsid w:val="77BF1D6B"/>
    <w:rsid w:val="77D35861"/>
    <w:rsid w:val="77D65D71"/>
    <w:rsid w:val="77FF6F6D"/>
    <w:rsid w:val="781F2BD4"/>
    <w:rsid w:val="782243C2"/>
    <w:rsid w:val="782C0497"/>
    <w:rsid w:val="783D7B2B"/>
    <w:rsid w:val="783E7867"/>
    <w:rsid w:val="7841064D"/>
    <w:rsid w:val="787943FB"/>
    <w:rsid w:val="788155C2"/>
    <w:rsid w:val="78A72782"/>
    <w:rsid w:val="78B6585C"/>
    <w:rsid w:val="78BD7DA6"/>
    <w:rsid w:val="78C1101E"/>
    <w:rsid w:val="78D0665B"/>
    <w:rsid w:val="78F70677"/>
    <w:rsid w:val="79062653"/>
    <w:rsid w:val="79083FDF"/>
    <w:rsid w:val="79227A7B"/>
    <w:rsid w:val="7934793E"/>
    <w:rsid w:val="79562477"/>
    <w:rsid w:val="795A1D59"/>
    <w:rsid w:val="796F1104"/>
    <w:rsid w:val="797E7641"/>
    <w:rsid w:val="79876F3B"/>
    <w:rsid w:val="79C771E2"/>
    <w:rsid w:val="79D162FF"/>
    <w:rsid w:val="79F30AC2"/>
    <w:rsid w:val="7A196F62"/>
    <w:rsid w:val="7A1A5A52"/>
    <w:rsid w:val="7A79346C"/>
    <w:rsid w:val="7A9A52A7"/>
    <w:rsid w:val="7AC118E2"/>
    <w:rsid w:val="7AC24A2A"/>
    <w:rsid w:val="7AC25CEA"/>
    <w:rsid w:val="7ACC398D"/>
    <w:rsid w:val="7ACF2BC4"/>
    <w:rsid w:val="7AE051BD"/>
    <w:rsid w:val="7AF24B87"/>
    <w:rsid w:val="7AF74997"/>
    <w:rsid w:val="7B195632"/>
    <w:rsid w:val="7B271186"/>
    <w:rsid w:val="7B316773"/>
    <w:rsid w:val="7B334F2B"/>
    <w:rsid w:val="7B3D0893"/>
    <w:rsid w:val="7B5E4E76"/>
    <w:rsid w:val="7B673063"/>
    <w:rsid w:val="7B68690A"/>
    <w:rsid w:val="7B7242CD"/>
    <w:rsid w:val="7BA060D4"/>
    <w:rsid w:val="7BB01186"/>
    <w:rsid w:val="7BC440CE"/>
    <w:rsid w:val="7BCD5D1B"/>
    <w:rsid w:val="7BEC38D9"/>
    <w:rsid w:val="7BED1B50"/>
    <w:rsid w:val="7C1E420A"/>
    <w:rsid w:val="7C2B0D47"/>
    <w:rsid w:val="7C435E06"/>
    <w:rsid w:val="7C645E16"/>
    <w:rsid w:val="7C9450BD"/>
    <w:rsid w:val="7C9D1E6F"/>
    <w:rsid w:val="7CC63E7B"/>
    <w:rsid w:val="7CED20FC"/>
    <w:rsid w:val="7CEF6506"/>
    <w:rsid w:val="7CF66AAB"/>
    <w:rsid w:val="7CFA011A"/>
    <w:rsid w:val="7CFE4B12"/>
    <w:rsid w:val="7D1A24E7"/>
    <w:rsid w:val="7D32101D"/>
    <w:rsid w:val="7D330928"/>
    <w:rsid w:val="7D4D0E49"/>
    <w:rsid w:val="7D537911"/>
    <w:rsid w:val="7D6D684D"/>
    <w:rsid w:val="7DB96B10"/>
    <w:rsid w:val="7DBD5199"/>
    <w:rsid w:val="7DCA39FB"/>
    <w:rsid w:val="7DD41917"/>
    <w:rsid w:val="7DDD5BA1"/>
    <w:rsid w:val="7DEE7CE3"/>
    <w:rsid w:val="7E11330D"/>
    <w:rsid w:val="7E207BF6"/>
    <w:rsid w:val="7E2E171E"/>
    <w:rsid w:val="7E9E5C9C"/>
    <w:rsid w:val="7E9F7EE4"/>
    <w:rsid w:val="7EB4618D"/>
    <w:rsid w:val="7EBA4853"/>
    <w:rsid w:val="7EC42148"/>
    <w:rsid w:val="7EDA6F9B"/>
    <w:rsid w:val="7EE76BAE"/>
    <w:rsid w:val="7F0B7248"/>
    <w:rsid w:val="7F1309DC"/>
    <w:rsid w:val="7F34163C"/>
    <w:rsid w:val="7F3B019E"/>
    <w:rsid w:val="7F4A3EAE"/>
    <w:rsid w:val="7F695182"/>
    <w:rsid w:val="7F994716"/>
    <w:rsid w:val="7FA2196F"/>
    <w:rsid w:val="7FC40652"/>
    <w:rsid w:val="7FE83C65"/>
    <w:rsid w:val="7FF7186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4"/>
      <w:szCs w:val="22"/>
      <w:lang w:val="en-US" w:eastAsia="zh-CN" w:bidi="ar-SA"/>
    </w:rPr>
  </w:style>
  <w:style w:type="paragraph" w:styleId="3">
    <w:name w:val="heading 1"/>
    <w:basedOn w:val="1"/>
    <w:next w:val="1"/>
    <w:link w:val="54"/>
    <w:autoRedefine/>
    <w:qFormat/>
    <w:uiPriority w:val="9"/>
    <w:pPr>
      <w:keepNext/>
      <w:keepLines/>
      <w:numPr>
        <w:ilvl w:val="0"/>
        <w:numId w:val="1"/>
      </w:numPr>
      <w:adjustRightInd w:val="0"/>
      <w:spacing w:before="160" w:after="160" w:line="160" w:lineRule="atLeast"/>
      <w:textAlignment w:val="baseline"/>
      <w:outlineLvl w:val="0"/>
    </w:pPr>
    <w:rPr>
      <w:b/>
      <w:bCs/>
      <w:kern w:val="44"/>
      <w:sz w:val="44"/>
      <w:szCs w:val="44"/>
    </w:rPr>
  </w:style>
  <w:style w:type="paragraph" w:styleId="4">
    <w:name w:val="heading 2"/>
    <w:basedOn w:val="1"/>
    <w:next w:val="1"/>
    <w:link w:val="55"/>
    <w:autoRedefine/>
    <w:qFormat/>
    <w:uiPriority w:val="9"/>
    <w:pPr>
      <w:keepNext/>
      <w:keepLines/>
      <w:numPr>
        <w:ilvl w:val="1"/>
        <w:numId w:val="1"/>
      </w:numPr>
      <w:tabs>
        <w:tab w:val="left" w:pos="0"/>
        <w:tab w:val="left" w:pos="360"/>
      </w:tabs>
      <w:adjustRightInd w:val="0"/>
      <w:spacing w:before="160" w:after="160" w:line="160" w:lineRule="atLeast"/>
      <w:textAlignment w:val="baseline"/>
      <w:outlineLvl w:val="1"/>
    </w:pPr>
    <w:rPr>
      <w:rFonts w:ascii="Cambria" w:hAnsi="Cambria"/>
      <w:b/>
      <w:bCs/>
      <w:kern w:val="0"/>
      <w:sz w:val="32"/>
      <w:szCs w:val="32"/>
    </w:rPr>
  </w:style>
  <w:style w:type="paragraph" w:styleId="5">
    <w:name w:val="heading 3"/>
    <w:basedOn w:val="1"/>
    <w:next w:val="1"/>
    <w:link w:val="56"/>
    <w:autoRedefine/>
    <w:qFormat/>
    <w:uiPriority w:val="9"/>
    <w:pPr>
      <w:keepNext/>
      <w:keepLines/>
      <w:numPr>
        <w:ilvl w:val="2"/>
        <w:numId w:val="1"/>
      </w:numPr>
      <w:tabs>
        <w:tab w:val="left" w:pos="360"/>
      </w:tabs>
      <w:adjustRightInd w:val="0"/>
      <w:spacing w:before="160" w:after="160" w:line="160" w:lineRule="atLeast"/>
      <w:ind w:hanging="284"/>
      <w:textAlignment w:val="baseline"/>
      <w:outlineLvl w:val="2"/>
    </w:pPr>
    <w:rPr>
      <w:b/>
      <w:bCs/>
      <w:kern w:val="0"/>
      <w:sz w:val="32"/>
      <w:szCs w:val="32"/>
    </w:rPr>
  </w:style>
  <w:style w:type="paragraph" w:styleId="6">
    <w:name w:val="heading 4"/>
    <w:basedOn w:val="1"/>
    <w:next w:val="1"/>
    <w:link w:val="57"/>
    <w:autoRedefine/>
    <w:qFormat/>
    <w:uiPriority w:val="9"/>
    <w:pPr>
      <w:keepNext/>
      <w:keepLines/>
      <w:numPr>
        <w:ilvl w:val="3"/>
        <w:numId w:val="1"/>
      </w:numPr>
      <w:tabs>
        <w:tab w:val="left" w:pos="0"/>
        <w:tab w:val="left" w:pos="360"/>
      </w:tabs>
      <w:adjustRightInd w:val="0"/>
      <w:spacing w:before="280" w:after="290" w:line="376" w:lineRule="atLeast"/>
      <w:textAlignment w:val="baseline"/>
      <w:outlineLvl w:val="3"/>
    </w:pPr>
    <w:rPr>
      <w:rFonts w:ascii="Cambria" w:hAnsi="Cambria"/>
      <w:b/>
      <w:bCs/>
      <w:kern w:val="0"/>
      <w:sz w:val="28"/>
      <w:szCs w:val="28"/>
    </w:rPr>
  </w:style>
  <w:style w:type="paragraph" w:styleId="7">
    <w:name w:val="heading 5"/>
    <w:basedOn w:val="1"/>
    <w:next w:val="1"/>
    <w:link w:val="58"/>
    <w:autoRedefine/>
    <w:qFormat/>
    <w:uiPriority w:val="9"/>
    <w:pPr>
      <w:keepNext/>
      <w:keepLines/>
      <w:numPr>
        <w:ilvl w:val="4"/>
        <w:numId w:val="1"/>
      </w:numPr>
      <w:tabs>
        <w:tab w:val="left" w:pos="0"/>
        <w:tab w:val="left" w:pos="360"/>
      </w:tabs>
      <w:adjustRightInd w:val="0"/>
      <w:spacing w:before="280" w:after="290" w:line="376" w:lineRule="atLeast"/>
      <w:textAlignment w:val="baseline"/>
      <w:outlineLvl w:val="4"/>
    </w:pPr>
    <w:rPr>
      <w:b/>
      <w:bCs/>
      <w:kern w:val="0"/>
      <w:sz w:val="28"/>
      <w:szCs w:val="28"/>
    </w:rPr>
  </w:style>
  <w:style w:type="paragraph" w:styleId="8">
    <w:name w:val="heading 6"/>
    <w:basedOn w:val="1"/>
    <w:next w:val="1"/>
    <w:link w:val="59"/>
    <w:autoRedefine/>
    <w:qFormat/>
    <w:uiPriority w:val="9"/>
    <w:pPr>
      <w:keepNext/>
      <w:keepLines/>
      <w:numPr>
        <w:ilvl w:val="5"/>
        <w:numId w:val="1"/>
      </w:numPr>
      <w:tabs>
        <w:tab w:val="left" w:pos="0"/>
        <w:tab w:val="left" w:pos="360"/>
      </w:tabs>
      <w:adjustRightInd w:val="0"/>
      <w:spacing w:before="240" w:after="64" w:line="320" w:lineRule="atLeast"/>
      <w:textAlignment w:val="baseline"/>
      <w:outlineLvl w:val="5"/>
    </w:pPr>
    <w:rPr>
      <w:rFonts w:ascii="Cambria" w:hAnsi="Cambria"/>
      <w:b/>
      <w:bCs/>
      <w:kern w:val="0"/>
      <w:szCs w:val="24"/>
    </w:rPr>
  </w:style>
  <w:style w:type="paragraph" w:styleId="9">
    <w:name w:val="heading 7"/>
    <w:basedOn w:val="1"/>
    <w:next w:val="1"/>
    <w:link w:val="60"/>
    <w:autoRedefine/>
    <w:qFormat/>
    <w:uiPriority w:val="9"/>
    <w:pPr>
      <w:keepNext/>
      <w:keepLines/>
      <w:numPr>
        <w:ilvl w:val="6"/>
        <w:numId w:val="1"/>
      </w:numPr>
      <w:tabs>
        <w:tab w:val="left" w:pos="0"/>
        <w:tab w:val="left" w:pos="360"/>
      </w:tabs>
      <w:adjustRightInd w:val="0"/>
      <w:spacing w:before="240" w:after="64" w:line="320" w:lineRule="atLeast"/>
      <w:textAlignment w:val="baseline"/>
      <w:outlineLvl w:val="6"/>
    </w:pPr>
    <w:rPr>
      <w:b/>
      <w:bCs/>
      <w:kern w:val="0"/>
      <w:szCs w:val="24"/>
    </w:rPr>
  </w:style>
  <w:style w:type="paragraph" w:styleId="10">
    <w:name w:val="heading 8"/>
    <w:basedOn w:val="1"/>
    <w:next w:val="1"/>
    <w:link w:val="61"/>
    <w:autoRedefine/>
    <w:qFormat/>
    <w:uiPriority w:val="9"/>
    <w:pPr>
      <w:keepNext/>
      <w:keepLines/>
      <w:numPr>
        <w:ilvl w:val="7"/>
        <w:numId w:val="1"/>
      </w:numPr>
      <w:tabs>
        <w:tab w:val="left" w:pos="0"/>
        <w:tab w:val="left" w:pos="360"/>
      </w:tabs>
      <w:adjustRightInd w:val="0"/>
      <w:spacing w:before="240" w:after="64" w:line="320" w:lineRule="atLeast"/>
      <w:textAlignment w:val="baseline"/>
      <w:outlineLvl w:val="7"/>
    </w:pPr>
    <w:rPr>
      <w:rFonts w:ascii="Cambria" w:hAnsi="Cambria"/>
      <w:kern w:val="0"/>
      <w:szCs w:val="24"/>
    </w:rPr>
  </w:style>
  <w:style w:type="paragraph" w:styleId="11">
    <w:name w:val="heading 9"/>
    <w:basedOn w:val="1"/>
    <w:next w:val="1"/>
    <w:link w:val="62"/>
    <w:autoRedefine/>
    <w:qFormat/>
    <w:uiPriority w:val="9"/>
    <w:pPr>
      <w:keepNext/>
      <w:keepLines/>
      <w:numPr>
        <w:ilvl w:val="8"/>
        <w:numId w:val="1"/>
      </w:numPr>
      <w:tabs>
        <w:tab w:val="left" w:pos="0"/>
        <w:tab w:val="left" w:pos="360"/>
      </w:tabs>
      <w:adjustRightInd w:val="0"/>
      <w:spacing w:before="240" w:after="64" w:line="320" w:lineRule="atLeast"/>
      <w:textAlignment w:val="baseline"/>
      <w:outlineLvl w:val="8"/>
    </w:pPr>
    <w:rPr>
      <w:rFonts w:ascii="Cambria" w:hAnsi="Cambria"/>
      <w:kern w:val="0"/>
      <w:sz w:val="20"/>
      <w:szCs w:val="21"/>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styleId="12">
    <w:name w:val="List 3"/>
    <w:basedOn w:val="1"/>
    <w:autoRedefine/>
    <w:qFormat/>
    <w:uiPriority w:val="99"/>
    <w:pPr>
      <w:ind w:left="600" w:leftChars="400" w:hanging="200" w:hangingChars="200"/>
    </w:pPr>
    <w:rPr>
      <w:rFonts w:ascii="Times New Roman" w:hAnsi="Times New Roman"/>
      <w:szCs w:val="20"/>
    </w:rPr>
  </w:style>
  <w:style w:type="paragraph" w:styleId="13">
    <w:name w:val="Normal Indent"/>
    <w:basedOn w:val="1"/>
    <w:autoRedefine/>
    <w:qFormat/>
    <w:uiPriority w:val="0"/>
    <w:pPr>
      <w:ind w:firstLine="420"/>
    </w:pPr>
    <w:rPr>
      <w:rFonts w:ascii="Times New Roman" w:hAnsi="Times New Roman"/>
      <w:sz w:val="28"/>
      <w:szCs w:val="20"/>
    </w:rPr>
  </w:style>
  <w:style w:type="paragraph" w:styleId="14">
    <w:name w:val="caption"/>
    <w:basedOn w:val="1"/>
    <w:next w:val="1"/>
    <w:autoRedefine/>
    <w:qFormat/>
    <w:uiPriority w:val="99"/>
    <w:pPr>
      <w:spacing w:before="152" w:after="160"/>
    </w:pPr>
    <w:rPr>
      <w:rFonts w:ascii="Arial" w:hAnsi="Arial" w:eastAsia="黑体" w:cs="Arial"/>
      <w:sz w:val="20"/>
      <w:szCs w:val="20"/>
    </w:rPr>
  </w:style>
  <w:style w:type="paragraph" w:styleId="15">
    <w:name w:val="annotation text"/>
    <w:basedOn w:val="1"/>
    <w:next w:val="13"/>
    <w:link w:val="63"/>
    <w:autoRedefine/>
    <w:qFormat/>
    <w:uiPriority w:val="0"/>
    <w:pPr>
      <w:jc w:val="left"/>
    </w:pPr>
    <w:rPr>
      <w:kern w:val="0"/>
      <w:sz w:val="20"/>
      <w:szCs w:val="20"/>
    </w:rPr>
  </w:style>
  <w:style w:type="paragraph" w:styleId="16">
    <w:name w:val="Body Text 3"/>
    <w:basedOn w:val="1"/>
    <w:link w:val="65"/>
    <w:autoRedefine/>
    <w:qFormat/>
    <w:uiPriority w:val="99"/>
    <w:pPr>
      <w:spacing w:after="120"/>
    </w:pPr>
    <w:rPr>
      <w:kern w:val="0"/>
      <w:sz w:val="16"/>
      <w:szCs w:val="16"/>
    </w:rPr>
  </w:style>
  <w:style w:type="paragraph" w:styleId="17">
    <w:name w:val="Body Text"/>
    <w:basedOn w:val="1"/>
    <w:next w:val="18"/>
    <w:link w:val="66"/>
    <w:autoRedefine/>
    <w:qFormat/>
    <w:uiPriority w:val="99"/>
    <w:pPr>
      <w:spacing w:line="360" w:lineRule="auto"/>
    </w:pPr>
    <w:rPr>
      <w:kern w:val="0"/>
      <w:sz w:val="20"/>
      <w:szCs w:val="20"/>
    </w:rPr>
  </w:style>
  <w:style w:type="paragraph" w:customStyle="1" w:styleId="18">
    <w:name w:val="Default"/>
    <w:next w:val="19"/>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大标题"/>
    <w:basedOn w:val="1"/>
    <w:next w:val="20"/>
    <w:autoRedefine/>
    <w:qFormat/>
    <w:uiPriority w:val="0"/>
    <w:pPr>
      <w:jc w:val="center"/>
    </w:pPr>
    <w:rPr>
      <w:rFonts w:ascii="Arial" w:hAnsi="Arial"/>
      <w:b/>
      <w:sz w:val="28"/>
      <w:szCs w:val="24"/>
    </w:rPr>
  </w:style>
  <w:style w:type="paragraph" w:styleId="20">
    <w:name w:val="Body Text First Indent 2"/>
    <w:basedOn w:val="21"/>
    <w:next w:val="17"/>
    <w:autoRedefine/>
    <w:qFormat/>
    <w:locked/>
    <w:uiPriority w:val="0"/>
    <w:pPr>
      <w:ind w:firstLine="0"/>
    </w:pPr>
  </w:style>
  <w:style w:type="paragraph" w:styleId="21">
    <w:name w:val="Body Text Indent"/>
    <w:basedOn w:val="1"/>
    <w:next w:val="17"/>
    <w:link w:val="67"/>
    <w:autoRedefine/>
    <w:qFormat/>
    <w:uiPriority w:val="99"/>
    <w:pPr>
      <w:ind w:firstLine="645"/>
    </w:pPr>
    <w:rPr>
      <w:kern w:val="0"/>
      <w:sz w:val="20"/>
      <w:szCs w:val="20"/>
    </w:rPr>
  </w:style>
  <w:style w:type="paragraph" w:styleId="22">
    <w:name w:val="List 2"/>
    <w:basedOn w:val="1"/>
    <w:autoRedefine/>
    <w:qFormat/>
    <w:uiPriority w:val="99"/>
    <w:pPr>
      <w:ind w:left="400" w:leftChars="200" w:hanging="200" w:hangingChars="200"/>
    </w:pPr>
    <w:rPr>
      <w:rFonts w:ascii="Times New Roman" w:hAnsi="Times New Roman"/>
      <w:szCs w:val="20"/>
    </w:rPr>
  </w:style>
  <w:style w:type="paragraph" w:styleId="23">
    <w:name w:val="Block Text"/>
    <w:basedOn w:val="1"/>
    <w:autoRedefine/>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autoRedefine/>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68"/>
    <w:autoRedefine/>
    <w:qFormat/>
    <w:uiPriority w:val="99"/>
    <w:pPr>
      <w:spacing w:line="360" w:lineRule="auto"/>
      <w:ind w:firstLine="200" w:firstLineChars="200"/>
    </w:pPr>
    <w:rPr>
      <w:rFonts w:ascii="宋体" w:hAnsi="Courier New"/>
      <w:kern w:val="0"/>
      <w:sz w:val="20"/>
      <w:szCs w:val="21"/>
    </w:rPr>
  </w:style>
  <w:style w:type="paragraph" w:styleId="26">
    <w:name w:val="Date"/>
    <w:basedOn w:val="1"/>
    <w:next w:val="1"/>
    <w:link w:val="69"/>
    <w:autoRedefine/>
    <w:qFormat/>
    <w:uiPriority w:val="99"/>
    <w:pPr>
      <w:ind w:left="2500" w:leftChars="2500"/>
    </w:pPr>
    <w:rPr>
      <w:kern w:val="0"/>
      <w:sz w:val="20"/>
      <w:szCs w:val="20"/>
    </w:rPr>
  </w:style>
  <w:style w:type="paragraph" w:styleId="27">
    <w:name w:val="Body Text Indent 2"/>
    <w:basedOn w:val="1"/>
    <w:link w:val="70"/>
    <w:autoRedefine/>
    <w:qFormat/>
    <w:uiPriority w:val="99"/>
    <w:pPr>
      <w:ind w:firstLine="630"/>
    </w:pPr>
    <w:rPr>
      <w:kern w:val="0"/>
      <w:sz w:val="20"/>
      <w:szCs w:val="20"/>
    </w:rPr>
  </w:style>
  <w:style w:type="paragraph" w:styleId="28">
    <w:name w:val="List Continue 5"/>
    <w:basedOn w:val="1"/>
    <w:autoRedefine/>
    <w:qFormat/>
    <w:uiPriority w:val="99"/>
    <w:pPr>
      <w:spacing w:after="120"/>
      <w:ind w:left="1000" w:leftChars="1000"/>
    </w:pPr>
    <w:rPr>
      <w:rFonts w:ascii="Times New Roman" w:hAnsi="Times New Roman"/>
      <w:szCs w:val="20"/>
    </w:rPr>
  </w:style>
  <w:style w:type="paragraph" w:styleId="29">
    <w:name w:val="Balloon Text"/>
    <w:basedOn w:val="1"/>
    <w:link w:val="71"/>
    <w:autoRedefine/>
    <w:qFormat/>
    <w:uiPriority w:val="99"/>
    <w:rPr>
      <w:kern w:val="0"/>
      <w:sz w:val="0"/>
      <w:szCs w:val="0"/>
    </w:rPr>
  </w:style>
  <w:style w:type="paragraph" w:styleId="30">
    <w:name w:val="footer"/>
    <w:basedOn w:val="1"/>
    <w:link w:val="72"/>
    <w:autoRedefine/>
    <w:qFormat/>
    <w:uiPriority w:val="99"/>
    <w:pPr>
      <w:tabs>
        <w:tab w:val="center" w:pos="4153"/>
        <w:tab w:val="right" w:pos="8306"/>
      </w:tabs>
      <w:snapToGrid w:val="0"/>
      <w:jc w:val="left"/>
    </w:pPr>
    <w:rPr>
      <w:kern w:val="0"/>
      <w:sz w:val="18"/>
      <w:szCs w:val="18"/>
    </w:rPr>
  </w:style>
  <w:style w:type="paragraph" w:styleId="31">
    <w:name w:val="header"/>
    <w:basedOn w:val="1"/>
    <w:link w:val="73"/>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autoRedefine/>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autoRedefine/>
    <w:qFormat/>
    <w:uiPriority w:val="99"/>
    <w:pPr>
      <w:spacing w:after="120"/>
      <w:ind w:left="800" w:leftChars="800"/>
    </w:pPr>
    <w:rPr>
      <w:rFonts w:ascii="Times New Roman" w:hAnsi="Times New Roman"/>
      <w:szCs w:val="20"/>
    </w:rPr>
  </w:style>
  <w:style w:type="paragraph" w:styleId="34">
    <w:name w:val="List"/>
    <w:basedOn w:val="1"/>
    <w:autoRedefine/>
    <w:qFormat/>
    <w:uiPriority w:val="99"/>
    <w:pPr>
      <w:ind w:left="200" w:hanging="200" w:hangingChars="200"/>
    </w:pPr>
    <w:rPr>
      <w:rFonts w:ascii="Times New Roman" w:hAnsi="Times New Roman"/>
      <w:szCs w:val="20"/>
    </w:rPr>
  </w:style>
  <w:style w:type="paragraph" w:styleId="35">
    <w:name w:val="footnote text"/>
    <w:basedOn w:val="1"/>
    <w:link w:val="74"/>
    <w:autoRedefine/>
    <w:qFormat/>
    <w:uiPriority w:val="99"/>
    <w:pPr>
      <w:adjustRightInd w:val="0"/>
      <w:spacing w:line="312" w:lineRule="atLeast"/>
      <w:jc w:val="left"/>
    </w:pPr>
    <w:rPr>
      <w:kern w:val="0"/>
      <w:sz w:val="18"/>
      <w:szCs w:val="18"/>
    </w:rPr>
  </w:style>
  <w:style w:type="paragraph" w:styleId="36">
    <w:name w:val="List 5"/>
    <w:basedOn w:val="1"/>
    <w:autoRedefine/>
    <w:qFormat/>
    <w:uiPriority w:val="99"/>
    <w:pPr>
      <w:ind w:left="1000" w:leftChars="800" w:hanging="200" w:hangingChars="200"/>
    </w:pPr>
    <w:rPr>
      <w:rFonts w:ascii="Times New Roman" w:hAnsi="Times New Roman"/>
      <w:szCs w:val="20"/>
    </w:rPr>
  </w:style>
  <w:style w:type="paragraph" w:styleId="37">
    <w:name w:val="Body Text Indent 3"/>
    <w:basedOn w:val="1"/>
    <w:link w:val="75"/>
    <w:autoRedefine/>
    <w:qFormat/>
    <w:uiPriority w:val="99"/>
    <w:pPr>
      <w:spacing w:line="360" w:lineRule="auto"/>
      <w:ind w:firstLine="468"/>
    </w:pPr>
    <w:rPr>
      <w:kern w:val="0"/>
      <w:sz w:val="16"/>
      <w:szCs w:val="16"/>
    </w:rPr>
  </w:style>
  <w:style w:type="paragraph" w:styleId="38">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39">
    <w:name w:val="Body Text 2"/>
    <w:basedOn w:val="1"/>
    <w:link w:val="76"/>
    <w:autoRedefine/>
    <w:qFormat/>
    <w:uiPriority w:val="99"/>
    <w:pPr>
      <w:spacing w:after="120" w:line="480" w:lineRule="auto"/>
    </w:pPr>
    <w:rPr>
      <w:kern w:val="0"/>
      <w:sz w:val="20"/>
      <w:szCs w:val="20"/>
    </w:rPr>
  </w:style>
  <w:style w:type="paragraph" w:styleId="40">
    <w:name w:val="List 4"/>
    <w:basedOn w:val="1"/>
    <w:autoRedefine/>
    <w:qFormat/>
    <w:uiPriority w:val="99"/>
    <w:pPr>
      <w:ind w:left="800" w:leftChars="600" w:hanging="200" w:hangingChars="200"/>
    </w:pPr>
    <w:rPr>
      <w:rFonts w:ascii="Times New Roman" w:hAnsi="Times New Roman"/>
      <w:szCs w:val="20"/>
    </w:rPr>
  </w:style>
  <w:style w:type="paragraph" w:styleId="41">
    <w:name w:val="List Continue 2"/>
    <w:basedOn w:val="1"/>
    <w:autoRedefine/>
    <w:qFormat/>
    <w:uiPriority w:val="99"/>
    <w:pPr>
      <w:spacing w:after="120"/>
      <w:ind w:left="400" w:leftChars="400"/>
    </w:pPr>
    <w:rPr>
      <w:rFonts w:ascii="Times New Roman" w:hAnsi="Times New Roman"/>
      <w:szCs w:val="20"/>
    </w:rPr>
  </w:style>
  <w:style w:type="paragraph" w:styleId="42">
    <w:name w:val="Normal (Web)"/>
    <w:basedOn w:val="1"/>
    <w:autoRedefine/>
    <w:qFormat/>
    <w:uiPriority w:val="99"/>
    <w:pPr>
      <w:widowControl/>
      <w:spacing w:before="100" w:beforeAutospacing="1" w:after="100" w:afterAutospacing="1"/>
      <w:jc w:val="left"/>
    </w:pPr>
    <w:rPr>
      <w:rFonts w:ascii="宋体"/>
      <w:kern w:val="0"/>
      <w:szCs w:val="24"/>
    </w:rPr>
  </w:style>
  <w:style w:type="paragraph" w:styleId="43">
    <w:name w:val="List Continue 3"/>
    <w:basedOn w:val="1"/>
    <w:autoRedefine/>
    <w:qFormat/>
    <w:uiPriority w:val="99"/>
    <w:pPr>
      <w:spacing w:after="120"/>
      <w:ind w:left="600" w:leftChars="600"/>
    </w:pPr>
    <w:rPr>
      <w:rFonts w:ascii="Times New Roman" w:hAnsi="Times New Roman"/>
      <w:szCs w:val="20"/>
    </w:rPr>
  </w:style>
  <w:style w:type="paragraph" w:styleId="44">
    <w:name w:val="annotation subject"/>
    <w:basedOn w:val="15"/>
    <w:next w:val="15"/>
    <w:link w:val="64"/>
    <w:autoRedefine/>
    <w:qFormat/>
    <w:uiPriority w:val="99"/>
    <w:rPr>
      <w:b/>
      <w:bCs/>
    </w:rPr>
  </w:style>
  <w:style w:type="table" w:styleId="46">
    <w:name w:val="Table Grid"/>
    <w:basedOn w:val="45"/>
    <w:autoRedefine/>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page number"/>
    <w:autoRedefine/>
    <w:qFormat/>
    <w:uiPriority w:val="0"/>
    <w:rPr>
      <w:rFonts w:cs="Times New Roman"/>
    </w:rPr>
  </w:style>
  <w:style w:type="character" w:styleId="49">
    <w:name w:val="FollowedHyperlink"/>
    <w:autoRedefine/>
    <w:qFormat/>
    <w:uiPriority w:val="99"/>
    <w:rPr>
      <w:rFonts w:cs="Times New Roman"/>
      <w:color w:val="800080"/>
      <w:u w:val="single"/>
    </w:rPr>
  </w:style>
  <w:style w:type="character" w:styleId="50">
    <w:name w:val="Hyperlink"/>
    <w:autoRedefine/>
    <w:qFormat/>
    <w:uiPriority w:val="99"/>
    <w:rPr>
      <w:rFonts w:cs="Times New Roman"/>
      <w:color w:val="0000FF"/>
      <w:u w:val="single"/>
    </w:rPr>
  </w:style>
  <w:style w:type="character" w:styleId="51">
    <w:name w:val="annotation reference"/>
    <w:autoRedefine/>
    <w:qFormat/>
    <w:uiPriority w:val="99"/>
    <w:rPr>
      <w:rFonts w:cs="Times New Roman"/>
      <w:sz w:val="21"/>
      <w:szCs w:val="21"/>
    </w:rPr>
  </w:style>
  <w:style w:type="paragraph" w:customStyle="1" w:styleId="52">
    <w:name w:val="No Spacing_5b4ffbee-0cfe-4b89-bb79-b81f4a6849b6"/>
    <w:basedOn w:val="1"/>
    <w:autoRedefine/>
    <w:qFormat/>
    <w:uiPriority w:val="1"/>
    <w:pPr>
      <w:spacing w:after="0" w:line="400" w:lineRule="exact"/>
    </w:pPr>
    <w:rPr>
      <w:rFonts w:eastAsia="宋体"/>
      <w:sz w:val="24"/>
    </w:rPr>
  </w:style>
  <w:style w:type="paragraph" w:customStyle="1" w:styleId="53">
    <w:name w:val="文档正文"/>
    <w:basedOn w:val="1"/>
    <w:autoRedefine/>
    <w:qFormat/>
    <w:uiPriority w:val="99"/>
    <w:pPr>
      <w:adjustRightInd w:val="0"/>
      <w:spacing w:line="480" w:lineRule="atLeast"/>
      <w:ind w:firstLine="567"/>
      <w:textAlignment w:val="baseline"/>
    </w:pPr>
    <w:rPr>
      <w:rFonts w:ascii="仿宋_GB2312" w:eastAsia="仿宋_GB2312"/>
      <w:kern w:val="0"/>
      <w:sz w:val="28"/>
      <w:szCs w:val="20"/>
    </w:rPr>
  </w:style>
  <w:style w:type="character" w:customStyle="1" w:styleId="54">
    <w:name w:val="标题 1 字符"/>
    <w:link w:val="3"/>
    <w:autoRedefine/>
    <w:qFormat/>
    <w:uiPriority w:val="9"/>
    <w:rPr>
      <w:rFonts w:ascii="Calibri" w:hAnsi="Calibri"/>
      <w:b/>
      <w:bCs/>
      <w:kern w:val="44"/>
      <w:sz w:val="44"/>
      <w:szCs w:val="44"/>
    </w:rPr>
  </w:style>
  <w:style w:type="character" w:customStyle="1" w:styleId="55">
    <w:name w:val="标题 2 字符"/>
    <w:link w:val="4"/>
    <w:autoRedefine/>
    <w:semiHidden/>
    <w:qFormat/>
    <w:uiPriority w:val="9"/>
    <w:rPr>
      <w:rFonts w:ascii="Cambria" w:hAnsi="Cambria" w:eastAsia="宋体" w:cs="Times New Roman"/>
      <w:b/>
      <w:bCs/>
      <w:sz w:val="32"/>
      <w:szCs w:val="32"/>
    </w:rPr>
  </w:style>
  <w:style w:type="character" w:customStyle="1" w:styleId="56">
    <w:name w:val="标题 3 字符"/>
    <w:link w:val="5"/>
    <w:autoRedefine/>
    <w:semiHidden/>
    <w:qFormat/>
    <w:uiPriority w:val="9"/>
    <w:rPr>
      <w:rFonts w:ascii="Calibri" w:hAnsi="Calibri"/>
      <w:b/>
      <w:bCs/>
      <w:sz w:val="32"/>
      <w:szCs w:val="32"/>
    </w:rPr>
  </w:style>
  <w:style w:type="character" w:customStyle="1" w:styleId="57">
    <w:name w:val="标题 4 字符"/>
    <w:link w:val="6"/>
    <w:autoRedefine/>
    <w:semiHidden/>
    <w:qFormat/>
    <w:uiPriority w:val="9"/>
    <w:rPr>
      <w:rFonts w:ascii="Cambria" w:hAnsi="Cambria" w:eastAsia="宋体" w:cs="Times New Roman"/>
      <w:b/>
      <w:bCs/>
      <w:sz w:val="28"/>
      <w:szCs w:val="28"/>
    </w:rPr>
  </w:style>
  <w:style w:type="character" w:customStyle="1" w:styleId="58">
    <w:name w:val="标题 5 字符"/>
    <w:link w:val="7"/>
    <w:autoRedefine/>
    <w:semiHidden/>
    <w:qFormat/>
    <w:uiPriority w:val="9"/>
    <w:rPr>
      <w:rFonts w:ascii="Calibri" w:hAnsi="Calibri"/>
      <w:b/>
      <w:bCs/>
      <w:sz w:val="28"/>
      <w:szCs w:val="28"/>
    </w:rPr>
  </w:style>
  <w:style w:type="character" w:customStyle="1" w:styleId="59">
    <w:name w:val="标题 6 字符"/>
    <w:link w:val="8"/>
    <w:autoRedefine/>
    <w:semiHidden/>
    <w:qFormat/>
    <w:uiPriority w:val="9"/>
    <w:rPr>
      <w:rFonts w:ascii="Cambria" w:hAnsi="Cambria" w:eastAsia="宋体" w:cs="Times New Roman"/>
      <w:b/>
      <w:bCs/>
      <w:sz w:val="24"/>
      <w:szCs w:val="24"/>
    </w:rPr>
  </w:style>
  <w:style w:type="character" w:customStyle="1" w:styleId="60">
    <w:name w:val="标题 7 字符"/>
    <w:link w:val="9"/>
    <w:autoRedefine/>
    <w:semiHidden/>
    <w:qFormat/>
    <w:uiPriority w:val="9"/>
    <w:rPr>
      <w:rFonts w:ascii="Calibri" w:hAnsi="Calibri"/>
      <w:b/>
      <w:bCs/>
      <w:sz w:val="24"/>
      <w:szCs w:val="24"/>
    </w:rPr>
  </w:style>
  <w:style w:type="character" w:customStyle="1" w:styleId="61">
    <w:name w:val="标题 8 字符"/>
    <w:link w:val="10"/>
    <w:autoRedefine/>
    <w:semiHidden/>
    <w:qFormat/>
    <w:uiPriority w:val="9"/>
    <w:rPr>
      <w:rFonts w:ascii="Cambria" w:hAnsi="Cambria" w:eastAsia="宋体" w:cs="Times New Roman"/>
      <w:sz w:val="24"/>
      <w:szCs w:val="24"/>
    </w:rPr>
  </w:style>
  <w:style w:type="character" w:customStyle="1" w:styleId="62">
    <w:name w:val="标题 9 字符"/>
    <w:link w:val="11"/>
    <w:autoRedefine/>
    <w:semiHidden/>
    <w:qFormat/>
    <w:uiPriority w:val="9"/>
    <w:rPr>
      <w:rFonts w:ascii="Cambria" w:hAnsi="Cambria" w:eastAsia="宋体" w:cs="Times New Roman"/>
      <w:szCs w:val="21"/>
    </w:rPr>
  </w:style>
  <w:style w:type="character" w:customStyle="1" w:styleId="63">
    <w:name w:val="批注文字 字符"/>
    <w:link w:val="15"/>
    <w:autoRedefine/>
    <w:qFormat/>
    <w:uiPriority w:val="0"/>
    <w:rPr>
      <w:rFonts w:ascii="Calibri" w:hAnsi="Calibri"/>
    </w:rPr>
  </w:style>
  <w:style w:type="character" w:customStyle="1" w:styleId="64">
    <w:name w:val="批注主题 字符"/>
    <w:link w:val="44"/>
    <w:autoRedefine/>
    <w:semiHidden/>
    <w:qFormat/>
    <w:uiPriority w:val="99"/>
    <w:rPr>
      <w:rFonts w:ascii="Calibri" w:hAnsi="Calibri"/>
      <w:b/>
      <w:bCs/>
    </w:rPr>
  </w:style>
  <w:style w:type="character" w:customStyle="1" w:styleId="65">
    <w:name w:val="正文文本 3 字符"/>
    <w:link w:val="16"/>
    <w:autoRedefine/>
    <w:semiHidden/>
    <w:qFormat/>
    <w:uiPriority w:val="99"/>
    <w:rPr>
      <w:rFonts w:ascii="Calibri" w:hAnsi="Calibri"/>
      <w:sz w:val="16"/>
      <w:szCs w:val="16"/>
    </w:rPr>
  </w:style>
  <w:style w:type="character" w:customStyle="1" w:styleId="66">
    <w:name w:val="正文文本 字符"/>
    <w:link w:val="17"/>
    <w:autoRedefine/>
    <w:semiHidden/>
    <w:qFormat/>
    <w:uiPriority w:val="99"/>
    <w:rPr>
      <w:rFonts w:ascii="Calibri" w:hAnsi="Calibri"/>
    </w:rPr>
  </w:style>
  <w:style w:type="character" w:customStyle="1" w:styleId="67">
    <w:name w:val="正文文本缩进 字符"/>
    <w:link w:val="21"/>
    <w:autoRedefine/>
    <w:semiHidden/>
    <w:qFormat/>
    <w:uiPriority w:val="99"/>
    <w:rPr>
      <w:rFonts w:ascii="Calibri" w:hAnsi="Calibri"/>
    </w:rPr>
  </w:style>
  <w:style w:type="character" w:customStyle="1" w:styleId="68">
    <w:name w:val="纯文本 字符"/>
    <w:link w:val="25"/>
    <w:autoRedefine/>
    <w:semiHidden/>
    <w:qFormat/>
    <w:uiPriority w:val="99"/>
    <w:rPr>
      <w:rFonts w:ascii="宋体" w:hAnsi="Courier New" w:cs="Courier New"/>
      <w:szCs w:val="21"/>
    </w:rPr>
  </w:style>
  <w:style w:type="character" w:customStyle="1" w:styleId="69">
    <w:name w:val="日期 字符"/>
    <w:link w:val="26"/>
    <w:autoRedefine/>
    <w:semiHidden/>
    <w:qFormat/>
    <w:uiPriority w:val="99"/>
    <w:rPr>
      <w:rFonts w:ascii="Calibri" w:hAnsi="Calibri"/>
    </w:rPr>
  </w:style>
  <w:style w:type="character" w:customStyle="1" w:styleId="70">
    <w:name w:val="正文文本缩进 2 字符"/>
    <w:link w:val="27"/>
    <w:autoRedefine/>
    <w:semiHidden/>
    <w:qFormat/>
    <w:uiPriority w:val="99"/>
    <w:rPr>
      <w:rFonts w:ascii="Calibri" w:hAnsi="Calibri"/>
    </w:rPr>
  </w:style>
  <w:style w:type="character" w:customStyle="1" w:styleId="71">
    <w:name w:val="批注框文本 字符"/>
    <w:link w:val="29"/>
    <w:autoRedefine/>
    <w:semiHidden/>
    <w:qFormat/>
    <w:uiPriority w:val="99"/>
    <w:rPr>
      <w:rFonts w:ascii="Calibri" w:hAnsi="Calibri"/>
      <w:sz w:val="0"/>
      <w:szCs w:val="0"/>
    </w:rPr>
  </w:style>
  <w:style w:type="character" w:customStyle="1" w:styleId="72">
    <w:name w:val="页脚 字符"/>
    <w:link w:val="30"/>
    <w:autoRedefine/>
    <w:qFormat/>
    <w:uiPriority w:val="99"/>
    <w:rPr>
      <w:rFonts w:ascii="Calibri" w:hAnsi="Calibri"/>
      <w:sz w:val="18"/>
      <w:szCs w:val="18"/>
    </w:rPr>
  </w:style>
  <w:style w:type="character" w:customStyle="1" w:styleId="73">
    <w:name w:val="页眉 字符"/>
    <w:link w:val="31"/>
    <w:autoRedefine/>
    <w:semiHidden/>
    <w:qFormat/>
    <w:uiPriority w:val="99"/>
    <w:rPr>
      <w:rFonts w:ascii="Calibri" w:hAnsi="Calibri"/>
      <w:sz w:val="18"/>
      <w:szCs w:val="18"/>
    </w:rPr>
  </w:style>
  <w:style w:type="character" w:customStyle="1" w:styleId="74">
    <w:name w:val="脚注文本 字符"/>
    <w:link w:val="35"/>
    <w:autoRedefine/>
    <w:semiHidden/>
    <w:qFormat/>
    <w:uiPriority w:val="99"/>
    <w:rPr>
      <w:rFonts w:ascii="Calibri" w:hAnsi="Calibri"/>
      <w:sz w:val="18"/>
      <w:szCs w:val="18"/>
    </w:rPr>
  </w:style>
  <w:style w:type="character" w:customStyle="1" w:styleId="75">
    <w:name w:val="正文文本缩进 3 字符"/>
    <w:link w:val="37"/>
    <w:autoRedefine/>
    <w:semiHidden/>
    <w:qFormat/>
    <w:uiPriority w:val="99"/>
    <w:rPr>
      <w:rFonts w:ascii="Calibri" w:hAnsi="Calibri"/>
      <w:sz w:val="16"/>
      <w:szCs w:val="16"/>
    </w:rPr>
  </w:style>
  <w:style w:type="character" w:customStyle="1" w:styleId="76">
    <w:name w:val="正文文本 2 字符"/>
    <w:link w:val="39"/>
    <w:autoRedefine/>
    <w:semiHidden/>
    <w:qFormat/>
    <w:uiPriority w:val="99"/>
    <w:rPr>
      <w:rFonts w:ascii="Calibri" w:hAnsi="Calibri"/>
    </w:rPr>
  </w:style>
  <w:style w:type="paragraph" w:customStyle="1" w:styleId="77">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78">
    <w:name w:val="简单回函地址"/>
    <w:basedOn w:val="1"/>
    <w:autoRedefine/>
    <w:qFormat/>
    <w:uiPriority w:val="99"/>
    <w:rPr>
      <w:rFonts w:ascii="Times New Roman" w:hAnsi="Times New Roman"/>
      <w:szCs w:val="20"/>
    </w:rPr>
  </w:style>
  <w:style w:type="paragraph" w:customStyle="1" w:styleId="79">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0">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1">
    <w:name w:val="font6"/>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2">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3">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4">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5">
    <w:name w:val="xl26"/>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6">
    <w:name w:val="正文内容"/>
    <w:basedOn w:val="1"/>
    <w:autoRedefine/>
    <w:qFormat/>
    <w:uiPriority w:val="99"/>
    <w:pPr>
      <w:widowControl/>
      <w:jc w:val="left"/>
    </w:pPr>
    <w:rPr>
      <w:rFonts w:ascii="宋体" w:cs="宋体"/>
      <w:kern w:val="0"/>
      <w:sz w:val="28"/>
      <w:szCs w:val="24"/>
    </w:rPr>
  </w:style>
  <w:style w:type="paragraph" w:customStyle="1" w:styleId="87">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88">
    <w:name w:val="_Style 6"/>
    <w:basedOn w:val="1"/>
    <w:autoRedefine/>
    <w:qFormat/>
    <w:uiPriority w:val="99"/>
    <w:pPr>
      <w:adjustRightInd w:val="0"/>
      <w:spacing w:line="360" w:lineRule="atLeast"/>
    </w:pPr>
    <w:rPr>
      <w:rFonts w:ascii="Times New Roman" w:hAnsi="Times New Roman"/>
      <w:szCs w:val="24"/>
    </w:rPr>
  </w:style>
  <w:style w:type="paragraph" w:customStyle="1" w:styleId="89">
    <w:name w:val="p0"/>
    <w:basedOn w:val="1"/>
    <w:autoRedefine/>
    <w:qFormat/>
    <w:uiPriority w:val="99"/>
    <w:pPr>
      <w:widowControl/>
    </w:pPr>
    <w:rPr>
      <w:rFonts w:ascii="Times New Roman" w:hAnsi="Times New Roman"/>
      <w:kern w:val="0"/>
      <w:szCs w:val="21"/>
    </w:rPr>
  </w:style>
  <w:style w:type="character" w:customStyle="1" w:styleId="90">
    <w:name w:val="1051"/>
    <w:autoRedefine/>
    <w:qFormat/>
    <w:uiPriority w:val="99"/>
    <w:rPr>
      <w:rFonts w:cs="Times New Roman"/>
      <w:sz w:val="21"/>
      <w:szCs w:val="21"/>
    </w:rPr>
  </w:style>
  <w:style w:type="character" w:customStyle="1" w:styleId="91">
    <w:name w:val="ca-10"/>
    <w:basedOn w:val="47"/>
    <w:autoRedefine/>
    <w:qFormat/>
    <w:uiPriority w:val="0"/>
  </w:style>
  <w:style w:type="character" w:customStyle="1" w:styleId="92">
    <w:name w:val="ca-12"/>
    <w:basedOn w:val="47"/>
    <w:autoRedefine/>
    <w:qFormat/>
    <w:uiPriority w:val="0"/>
  </w:style>
  <w:style w:type="character" w:customStyle="1" w:styleId="93">
    <w:name w:val="页眉 Char"/>
    <w:autoRedefine/>
    <w:qFormat/>
    <w:uiPriority w:val="0"/>
    <w:rPr>
      <w:sz w:val="18"/>
      <w:szCs w:val="18"/>
    </w:rPr>
  </w:style>
  <w:style w:type="character" w:customStyle="1" w:styleId="94">
    <w:name w:val="页脚 Char"/>
    <w:autoRedefine/>
    <w:qFormat/>
    <w:uiPriority w:val="99"/>
    <w:rPr>
      <w:sz w:val="18"/>
      <w:szCs w:val="18"/>
    </w:rPr>
  </w:style>
  <w:style w:type="paragraph" w:styleId="95">
    <w:name w:val="List Paragraph"/>
    <w:basedOn w:val="1"/>
    <w:autoRedefine/>
    <w:qFormat/>
    <w:uiPriority w:val="34"/>
    <w:pPr>
      <w:widowControl/>
      <w:spacing w:after="160" w:line="259" w:lineRule="auto"/>
      <w:ind w:left="720"/>
      <w:contextualSpacing/>
      <w:jc w:val="left"/>
    </w:pPr>
    <w:rPr>
      <w:kern w:val="0"/>
      <w:sz w:val="22"/>
      <w:lang w:bidi="he-IL"/>
    </w:rPr>
  </w:style>
  <w:style w:type="paragraph" w:customStyle="1" w:styleId="96">
    <w:name w:val="样式 标题 2 + 仿宋_GB2312"/>
    <w:basedOn w:val="4"/>
    <w:autoRedefine/>
    <w:qFormat/>
    <w:uiPriority w:val="0"/>
    <w:pPr>
      <w:tabs>
        <w:tab w:val="left" w:pos="576"/>
        <w:tab w:val="clear" w:pos="0"/>
        <w:tab w:val="clear" w:pos="360"/>
      </w:tabs>
      <w:spacing w:before="0"/>
      <w:ind w:left="578" w:hanging="578"/>
    </w:pPr>
    <w:rPr>
      <w:rFonts w:ascii="仿宋_GB2312" w:hAnsi="仿宋_GB2312"/>
    </w:rPr>
  </w:style>
  <w:style w:type="character" w:customStyle="1" w:styleId="97">
    <w:name w:val="font31"/>
    <w:basedOn w:val="47"/>
    <w:autoRedefine/>
    <w:qFormat/>
    <w:uiPriority w:val="0"/>
    <w:rPr>
      <w:rFonts w:hint="default" w:ascii="楷体_GB2312" w:eastAsia="楷体_GB2312" w:cs="楷体_GB2312"/>
      <w:color w:val="000000"/>
      <w:sz w:val="21"/>
      <w:szCs w:val="21"/>
      <w:u w:val="none"/>
    </w:rPr>
  </w:style>
  <w:style w:type="character" w:customStyle="1" w:styleId="98">
    <w:name w:val="font71"/>
    <w:basedOn w:val="47"/>
    <w:autoRedefine/>
    <w:qFormat/>
    <w:uiPriority w:val="0"/>
    <w:rPr>
      <w:rFonts w:hint="default" w:ascii="Times New Roman" w:hAnsi="Times New Roman" w:cs="Times New Roman"/>
      <w:color w:val="000000"/>
      <w:sz w:val="21"/>
      <w:szCs w:val="21"/>
      <w:u w:val="none"/>
    </w:rPr>
  </w:style>
  <w:style w:type="character" w:customStyle="1" w:styleId="99">
    <w:name w:val="font81"/>
    <w:basedOn w:val="47"/>
    <w:autoRedefine/>
    <w:qFormat/>
    <w:uiPriority w:val="0"/>
    <w:rPr>
      <w:rFonts w:hint="eastAsia" w:ascii="宋体" w:hAnsi="宋体" w:eastAsia="宋体" w:cs="宋体"/>
      <w:color w:val="000000"/>
      <w:sz w:val="21"/>
      <w:szCs w:val="21"/>
      <w:u w:val="none"/>
    </w:rPr>
  </w:style>
  <w:style w:type="character" w:customStyle="1" w:styleId="100">
    <w:name w:val="font91"/>
    <w:basedOn w:val="47"/>
    <w:autoRedefine/>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324514-045B-47F6-93BD-77FA1E4039D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43645</Words>
  <Characters>46083</Characters>
  <Lines>135</Lines>
  <Paragraphs>38</Paragraphs>
  <TotalTime>18</TotalTime>
  <ScaleCrop>false</ScaleCrop>
  <LinksUpToDate>false</LinksUpToDate>
  <CharactersWithSpaces>46713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2015-03-17T03:45:00Z</dcterms:created>
  <dc:creator>张鹏飞</dc:creator>
  <cp:lastModifiedBy>ff</cp:lastModifiedBy>
  <cp:lastPrinted>2021-02-25T09:35:00Z</cp:lastPrinted>
  <dcterms:modified xsi:type="dcterms:W3CDTF">2024-08-22T11:09:49Z</dcterms:modified>
  <dc:title>洛</dc:title>
  <cp:revision>475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849307998EA440768859AF4D63D01C4D_13</vt:lpwstr>
  </property>
</Properties>
</file>