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8D36F">
      <w:pPr>
        <w:jc w:val="center"/>
        <w:rPr>
          <w:rFonts w:hint="eastAsia" w:ascii="宋体" w:hAnsi="宋体"/>
          <w:b/>
          <w:color w:val="auto"/>
          <w:sz w:val="48"/>
          <w:szCs w:val="48"/>
        </w:rPr>
      </w:pPr>
    </w:p>
    <w:p w14:paraId="0986550A">
      <w:pPr>
        <w:widowControl/>
        <w:spacing w:before="480" w:beforeLines="200" w:line="360" w:lineRule="auto"/>
        <w:jc w:val="center"/>
        <w:rPr>
          <w:rFonts w:hint="eastAsia" w:ascii="宋体" w:hAnsi="宋体"/>
          <w:b/>
          <w:color w:val="auto"/>
          <w:sz w:val="48"/>
          <w:szCs w:val="48"/>
        </w:rPr>
      </w:pPr>
    </w:p>
    <w:p w14:paraId="52AF7A28">
      <w:pPr>
        <w:spacing w:line="360" w:lineRule="auto"/>
        <w:jc w:val="center"/>
        <w:rPr>
          <w:rFonts w:hint="eastAsia" w:ascii="宋体" w:hAnsi="宋体"/>
          <w:b/>
          <w:color w:val="auto"/>
          <w:sz w:val="48"/>
          <w:szCs w:val="48"/>
        </w:rPr>
      </w:pPr>
      <w:r>
        <w:rPr>
          <w:rFonts w:hint="eastAsia" w:ascii="宋体" w:hAnsi="宋体"/>
          <w:b/>
          <w:color w:val="auto"/>
          <w:sz w:val="48"/>
          <w:szCs w:val="48"/>
        </w:rPr>
        <w:t>洛宁山水文苑营销分销合作续签合同</w:t>
      </w:r>
    </w:p>
    <w:p w14:paraId="4390FEC1">
      <w:pPr>
        <w:pStyle w:val="12"/>
        <w:jc w:val="center"/>
        <w:rPr>
          <w:bCs/>
          <w:color w:val="auto"/>
          <w:highlight w:val="none"/>
        </w:rPr>
      </w:pPr>
      <w:r>
        <w:rPr>
          <w:rFonts w:hint="eastAsia" w:hAnsi="宋体"/>
          <w:bCs/>
          <w:color w:val="auto"/>
          <w:sz w:val="40"/>
          <w:szCs w:val="40"/>
          <w:highlight w:val="none"/>
        </w:rPr>
        <w:t>（202</w:t>
      </w:r>
      <w:r>
        <w:rPr>
          <w:rFonts w:hAnsi="宋体"/>
          <w:bCs/>
          <w:color w:val="auto"/>
          <w:sz w:val="40"/>
          <w:szCs w:val="40"/>
          <w:highlight w:val="none"/>
        </w:rPr>
        <w:t>4</w:t>
      </w:r>
      <w:r>
        <w:rPr>
          <w:rFonts w:hint="eastAsia" w:hAnsi="宋体"/>
          <w:bCs/>
          <w:color w:val="auto"/>
          <w:sz w:val="40"/>
          <w:szCs w:val="40"/>
          <w:highlight w:val="none"/>
        </w:rPr>
        <w:t>年</w:t>
      </w:r>
      <w:r>
        <w:rPr>
          <w:rFonts w:hint="eastAsia" w:hAnsi="宋体"/>
          <w:bCs/>
          <w:color w:val="auto"/>
          <w:sz w:val="40"/>
          <w:szCs w:val="40"/>
          <w:highlight w:val="none"/>
          <w:lang w:val="en-US" w:eastAsia="zh-CN"/>
        </w:rPr>
        <w:t>9月</w:t>
      </w:r>
      <w:r>
        <w:rPr>
          <w:rFonts w:hint="eastAsia" w:hAnsi="宋体"/>
          <w:bCs/>
          <w:color w:val="auto"/>
          <w:sz w:val="40"/>
          <w:szCs w:val="40"/>
          <w:highlight w:val="none"/>
        </w:rPr>
        <w:t>-</w:t>
      </w:r>
      <w:r>
        <w:rPr>
          <w:rFonts w:hint="eastAsia" w:hAnsi="宋体"/>
          <w:bCs/>
          <w:color w:val="auto"/>
          <w:sz w:val="40"/>
          <w:szCs w:val="40"/>
          <w:highlight w:val="none"/>
          <w:lang w:val="en-US" w:eastAsia="zh-CN"/>
        </w:rPr>
        <w:t>2025年2</w:t>
      </w:r>
      <w:r>
        <w:rPr>
          <w:rFonts w:hint="eastAsia" w:hAnsi="宋体"/>
          <w:bCs/>
          <w:color w:val="auto"/>
          <w:sz w:val="40"/>
          <w:szCs w:val="40"/>
          <w:highlight w:val="none"/>
        </w:rPr>
        <w:t>月）</w:t>
      </w:r>
    </w:p>
    <w:p w14:paraId="7BCDBCE8">
      <w:pPr>
        <w:jc w:val="center"/>
        <w:rPr>
          <w:rFonts w:hint="eastAsia" w:ascii="宋体" w:hAnsi="宋体"/>
          <w:color w:val="auto"/>
          <w:sz w:val="44"/>
          <w:szCs w:val="44"/>
        </w:rPr>
      </w:pPr>
    </w:p>
    <w:p w14:paraId="53C74285">
      <w:pPr>
        <w:jc w:val="center"/>
        <w:rPr>
          <w:rFonts w:ascii="宋体" w:hAnsi="宋体"/>
          <w:color w:val="auto"/>
          <w:sz w:val="44"/>
          <w:szCs w:val="44"/>
        </w:rPr>
      </w:pPr>
    </w:p>
    <w:p w14:paraId="45538084">
      <w:pPr>
        <w:jc w:val="center"/>
        <w:rPr>
          <w:rFonts w:ascii="宋体" w:hAnsi="宋体"/>
          <w:color w:val="auto"/>
          <w:sz w:val="44"/>
          <w:szCs w:val="44"/>
        </w:rPr>
      </w:pPr>
    </w:p>
    <w:p w14:paraId="35F42CF6">
      <w:pPr>
        <w:jc w:val="center"/>
        <w:rPr>
          <w:rFonts w:ascii="宋体" w:hAnsi="宋体"/>
          <w:color w:val="auto"/>
          <w:sz w:val="44"/>
          <w:szCs w:val="44"/>
        </w:rPr>
      </w:pPr>
    </w:p>
    <w:p w14:paraId="61199E22">
      <w:pPr>
        <w:spacing w:line="360" w:lineRule="auto"/>
        <w:rPr>
          <w:rFonts w:ascii="宋体" w:hAnsi="宋体" w:cs="宋体"/>
          <w:b/>
          <w:color w:val="auto"/>
          <w:sz w:val="28"/>
          <w:szCs w:val="28"/>
        </w:rPr>
      </w:pPr>
      <w:r>
        <w:rPr>
          <w:rFonts w:hint="eastAsia" w:ascii="宋体" w:hAnsi="宋体" w:cs="宋体"/>
          <w:color w:val="auto"/>
          <w:sz w:val="30"/>
          <w:szCs w:val="30"/>
        </w:rPr>
        <w:t xml:space="preserve">         </w:t>
      </w:r>
      <w:bookmarkStart w:id="0" w:name="_Hlk36566518"/>
      <w:r>
        <w:rPr>
          <w:rFonts w:ascii="宋体" w:hAnsi="宋体" w:cs="宋体"/>
          <w:color w:val="auto"/>
          <w:sz w:val="30"/>
          <w:szCs w:val="30"/>
        </w:rPr>
        <w:t xml:space="preserve">   </w:t>
      </w:r>
      <w:r>
        <w:rPr>
          <w:rFonts w:hint="eastAsia" w:ascii="宋体" w:hAnsi="宋体" w:cs="宋体"/>
          <w:color w:val="auto"/>
          <w:sz w:val="30"/>
          <w:szCs w:val="30"/>
        </w:rPr>
        <w:t xml:space="preserve"> </w:t>
      </w:r>
      <w:r>
        <w:rPr>
          <w:rFonts w:ascii="宋体" w:hAnsi="宋体" w:cs="宋体"/>
          <w:color w:val="auto"/>
          <w:sz w:val="30"/>
          <w:szCs w:val="30"/>
        </w:rPr>
        <w:t xml:space="preserve"> </w:t>
      </w:r>
      <w:r>
        <w:rPr>
          <w:rFonts w:hint="eastAsia" w:ascii="宋体" w:hAnsi="宋体" w:cs="宋体"/>
          <w:b/>
          <w:color w:val="auto"/>
          <w:sz w:val="28"/>
          <w:szCs w:val="28"/>
        </w:rPr>
        <w:t xml:space="preserve">      </w:t>
      </w:r>
    </w:p>
    <w:p w14:paraId="29A32E6D">
      <w:pPr>
        <w:spacing w:line="360" w:lineRule="auto"/>
        <w:rPr>
          <w:rFonts w:ascii="宋体" w:hAnsi="宋体" w:cs="宋体"/>
          <w:b/>
          <w:color w:val="auto"/>
          <w:sz w:val="28"/>
          <w:szCs w:val="28"/>
        </w:rPr>
      </w:pPr>
    </w:p>
    <w:p w14:paraId="73FFAC84">
      <w:pPr>
        <w:spacing w:line="360" w:lineRule="auto"/>
        <w:rPr>
          <w:rFonts w:ascii="宋体" w:hAnsi="宋体" w:cs="宋体"/>
          <w:b/>
          <w:color w:val="auto"/>
          <w:sz w:val="28"/>
          <w:szCs w:val="28"/>
        </w:rPr>
      </w:pPr>
    </w:p>
    <w:p w14:paraId="0A94E24F">
      <w:pPr>
        <w:spacing w:line="360" w:lineRule="auto"/>
        <w:rPr>
          <w:rFonts w:hint="eastAsia" w:ascii="宋体" w:hAnsi="宋体" w:cs="宋体"/>
          <w:b/>
          <w:color w:val="auto"/>
          <w:sz w:val="28"/>
          <w:szCs w:val="28"/>
        </w:rPr>
      </w:pPr>
    </w:p>
    <w:p w14:paraId="7447492E">
      <w:pPr>
        <w:pStyle w:val="2"/>
        <w:ind w:firstLine="562"/>
        <w:rPr>
          <w:rFonts w:ascii="宋体" w:hAnsi="宋体" w:cs="宋体"/>
          <w:b/>
          <w:color w:val="auto"/>
          <w:sz w:val="28"/>
          <w:szCs w:val="28"/>
        </w:rPr>
      </w:pPr>
    </w:p>
    <w:p w14:paraId="02B1A523">
      <w:pPr>
        <w:pStyle w:val="2"/>
        <w:ind w:firstLine="562"/>
        <w:rPr>
          <w:rFonts w:ascii="宋体" w:hAnsi="宋体" w:cs="宋体"/>
          <w:b/>
          <w:color w:val="auto"/>
          <w:sz w:val="28"/>
          <w:szCs w:val="28"/>
        </w:rPr>
      </w:pPr>
    </w:p>
    <w:p w14:paraId="01B8E8C2">
      <w:pPr>
        <w:pStyle w:val="2"/>
        <w:ind w:firstLine="562"/>
        <w:rPr>
          <w:rFonts w:ascii="宋体" w:hAnsi="宋体" w:cs="宋体"/>
          <w:b/>
          <w:color w:val="auto"/>
          <w:sz w:val="28"/>
          <w:szCs w:val="28"/>
        </w:rPr>
      </w:pPr>
    </w:p>
    <w:p w14:paraId="71621DF4">
      <w:pPr>
        <w:pStyle w:val="2"/>
        <w:ind w:firstLine="562"/>
        <w:rPr>
          <w:rFonts w:ascii="宋体" w:hAnsi="宋体" w:cs="宋体"/>
          <w:b/>
          <w:color w:val="auto"/>
          <w:sz w:val="28"/>
          <w:szCs w:val="28"/>
        </w:rPr>
      </w:pPr>
    </w:p>
    <w:p w14:paraId="158CD4FE">
      <w:pPr>
        <w:pStyle w:val="2"/>
        <w:ind w:firstLine="562"/>
        <w:rPr>
          <w:rFonts w:ascii="宋体" w:hAnsi="宋体" w:cs="宋体"/>
          <w:b/>
          <w:color w:val="auto"/>
          <w:sz w:val="28"/>
          <w:szCs w:val="28"/>
        </w:rPr>
      </w:pPr>
    </w:p>
    <w:bookmarkEnd w:id="0"/>
    <w:p w14:paraId="19BEAB54">
      <w:pPr>
        <w:spacing w:line="360" w:lineRule="auto"/>
        <w:ind w:firstLine="2409" w:firstLineChars="800"/>
        <w:jc w:val="left"/>
        <w:outlineLvl w:val="0"/>
        <w:rPr>
          <w:rFonts w:hint="default" w:ascii="宋体" w:hAnsi="宋体" w:eastAsia="宋体"/>
          <w:b/>
          <w:bCs/>
          <w:color w:val="auto"/>
          <w:sz w:val="48"/>
          <w:szCs w:val="48"/>
          <w:lang w:val="en-US" w:eastAsia="zh-CN"/>
        </w:rPr>
      </w:pPr>
      <w:r>
        <w:rPr>
          <w:rFonts w:hint="eastAsia" w:ascii="宋体" w:hAnsi="宋体"/>
          <w:b/>
          <w:bCs/>
          <w:color w:val="auto"/>
          <w:sz w:val="30"/>
          <w:szCs w:val="30"/>
        </w:rPr>
        <w:t>合同编号：</w:t>
      </w:r>
      <w:r>
        <w:rPr>
          <w:rFonts w:hint="eastAsia" w:ascii="宋体" w:hAnsi="宋体" w:cs="Times New Roman"/>
          <w:b/>
          <w:color w:val="auto"/>
          <w:kern w:val="2"/>
          <w:sz w:val="30"/>
          <w:szCs w:val="30"/>
        </w:rPr>
        <w:t>LNSSWY-YX-</w:t>
      </w:r>
      <w:r>
        <w:rPr>
          <w:rFonts w:hint="eastAsia" w:ascii="宋体" w:hAnsi="宋体" w:cs="Times New Roman"/>
          <w:b/>
          <w:color w:val="auto"/>
          <w:kern w:val="2"/>
          <w:sz w:val="30"/>
          <w:szCs w:val="30"/>
          <w:lang w:val="en-US" w:eastAsia="zh-CN"/>
        </w:rPr>
        <w:t>092</w:t>
      </w:r>
    </w:p>
    <w:p w14:paraId="29D946A0">
      <w:pPr>
        <w:spacing w:line="360" w:lineRule="auto"/>
        <w:ind w:firstLine="2409" w:firstLineChars="800"/>
        <w:jc w:val="left"/>
        <w:outlineLvl w:val="0"/>
        <w:rPr>
          <w:rFonts w:hint="eastAsia" w:ascii="宋体" w:hAnsi="宋体"/>
          <w:b/>
          <w:bCs/>
          <w:color w:val="auto"/>
          <w:sz w:val="30"/>
          <w:szCs w:val="30"/>
          <w:u w:val="single"/>
        </w:rPr>
      </w:pPr>
      <w:r>
        <w:rPr>
          <w:rFonts w:hint="eastAsia" w:ascii="宋体" w:hAnsi="宋体"/>
          <w:b/>
          <w:bCs/>
          <w:color w:val="auto"/>
          <w:sz w:val="30"/>
          <w:szCs w:val="30"/>
        </w:rPr>
        <w:t>甲    方：</w:t>
      </w:r>
      <w:r>
        <w:rPr>
          <w:rFonts w:hint="eastAsia" w:ascii="宋体" w:hAnsi="宋体" w:cs="宋体"/>
          <w:b/>
          <w:color w:val="auto"/>
          <w:sz w:val="30"/>
          <w:szCs w:val="30"/>
          <w:u w:val="single"/>
          <w:lang w:bidi="ar"/>
        </w:rPr>
        <w:t>洛阳浩德浩康置业有限公司</w:t>
      </w:r>
    </w:p>
    <w:p w14:paraId="1CF1F24B">
      <w:pPr>
        <w:spacing w:line="360" w:lineRule="auto"/>
        <w:ind w:firstLine="2409" w:firstLineChars="800"/>
        <w:jc w:val="left"/>
        <w:outlineLvl w:val="0"/>
        <w:rPr>
          <w:rFonts w:ascii="宋体" w:hAnsi="宋体"/>
          <w:b/>
          <w:bCs/>
          <w:color w:val="auto"/>
          <w:sz w:val="30"/>
          <w:szCs w:val="30"/>
          <w:u w:val="single"/>
        </w:rPr>
      </w:pPr>
      <w:r>
        <w:rPr>
          <w:rFonts w:hint="eastAsia" w:ascii="宋体" w:hAnsi="宋体"/>
          <w:b/>
          <w:bCs/>
          <w:color w:val="auto"/>
          <w:sz w:val="30"/>
          <w:szCs w:val="30"/>
        </w:rPr>
        <w:t>乙    方：</w:t>
      </w:r>
      <w:r>
        <w:rPr>
          <w:rFonts w:hint="eastAsia" w:ascii="宋体" w:hAnsi="宋体" w:cs="宋体"/>
          <w:b/>
          <w:color w:val="auto"/>
          <w:sz w:val="30"/>
          <w:szCs w:val="30"/>
          <w:u w:val="single"/>
          <w:lang w:bidi="ar"/>
        </w:rPr>
        <w:t>洛阳</w:t>
      </w:r>
      <w:r>
        <w:rPr>
          <w:rFonts w:hint="eastAsia" w:ascii="宋体" w:hAnsi="宋体" w:cs="宋体"/>
          <w:b/>
          <w:color w:val="auto"/>
          <w:sz w:val="30"/>
          <w:szCs w:val="30"/>
          <w:u w:val="single"/>
          <w:lang w:val="en-US" w:eastAsia="zh-CN" w:bidi="ar"/>
        </w:rPr>
        <w:t>懿居</w:t>
      </w:r>
      <w:r>
        <w:rPr>
          <w:rFonts w:hint="eastAsia" w:ascii="宋体" w:hAnsi="宋体" w:cs="宋体"/>
          <w:b/>
          <w:color w:val="auto"/>
          <w:sz w:val="30"/>
          <w:szCs w:val="30"/>
          <w:u w:val="single"/>
          <w:lang w:bidi="ar"/>
        </w:rPr>
        <w:t>房产</w:t>
      </w:r>
      <w:r>
        <w:rPr>
          <w:rFonts w:hint="eastAsia" w:ascii="宋体" w:hAnsi="宋体" w:cs="宋体"/>
          <w:b/>
          <w:color w:val="auto"/>
          <w:sz w:val="30"/>
          <w:szCs w:val="30"/>
          <w:u w:val="single"/>
          <w:lang w:val="en-US" w:eastAsia="zh-CN" w:bidi="ar"/>
        </w:rPr>
        <w:t>经纪</w:t>
      </w:r>
      <w:r>
        <w:rPr>
          <w:rFonts w:hint="eastAsia" w:ascii="宋体" w:hAnsi="宋体" w:cs="宋体"/>
          <w:b/>
          <w:color w:val="auto"/>
          <w:sz w:val="30"/>
          <w:szCs w:val="30"/>
          <w:u w:val="single"/>
          <w:lang w:bidi="ar"/>
        </w:rPr>
        <w:t>有限公司</w:t>
      </w:r>
    </w:p>
    <w:p w14:paraId="5D094290">
      <w:pPr>
        <w:ind w:firstLine="2409" w:firstLineChars="800"/>
        <w:rPr>
          <w:rFonts w:ascii="黑体" w:eastAsia="黑体"/>
          <w:b/>
          <w:color w:val="auto"/>
          <w:sz w:val="36"/>
          <w:szCs w:val="36"/>
        </w:rPr>
      </w:pPr>
      <w:r>
        <w:rPr>
          <w:rFonts w:hint="eastAsia" w:ascii="宋体" w:hAnsi="宋体"/>
          <w:b/>
          <w:bCs/>
          <w:color w:val="auto"/>
          <w:sz w:val="30"/>
          <w:szCs w:val="30"/>
        </w:rPr>
        <w:t>签订时间：2</w:t>
      </w:r>
      <w:r>
        <w:rPr>
          <w:rFonts w:ascii="宋体" w:hAnsi="宋体"/>
          <w:b/>
          <w:bCs/>
          <w:color w:val="auto"/>
          <w:sz w:val="30"/>
          <w:szCs w:val="30"/>
        </w:rPr>
        <w:t>024</w:t>
      </w:r>
      <w:r>
        <w:rPr>
          <w:rFonts w:hint="eastAsia" w:ascii="宋体" w:hAnsi="宋体"/>
          <w:b/>
          <w:bCs/>
          <w:color w:val="auto"/>
          <w:sz w:val="30"/>
          <w:szCs w:val="30"/>
        </w:rPr>
        <w:t>年</w:t>
      </w:r>
      <w:r>
        <w:rPr>
          <w:rFonts w:hint="eastAsia" w:ascii="宋体" w:hAnsi="宋体"/>
          <w:b/>
          <w:bCs/>
          <w:color w:val="auto"/>
          <w:sz w:val="30"/>
          <w:szCs w:val="30"/>
          <w:lang w:val="en-US" w:eastAsia="zh-CN"/>
        </w:rPr>
        <w:t>9</w:t>
      </w:r>
      <w:r>
        <w:rPr>
          <w:rFonts w:hint="eastAsia" w:ascii="宋体" w:hAnsi="宋体"/>
          <w:b/>
          <w:bCs/>
          <w:color w:val="auto"/>
          <w:sz w:val="30"/>
          <w:szCs w:val="30"/>
        </w:rPr>
        <w:t>月1日</w:t>
      </w:r>
    </w:p>
    <w:p w14:paraId="2778A465">
      <w:pPr>
        <w:widowControl/>
        <w:spacing w:before="480" w:beforeLines="200" w:line="360" w:lineRule="auto"/>
        <w:rPr>
          <w:rFonts w:hint="eastAsia" w:ascii="宋体" w:hAnsi="宋体"/>
          <w:b/>
          <w:color w:val="auto"/>
          <w:kern w:val="1"/>
          <w:sz w:val="32"/>
          <w:szCs w:val="32"/>
        </w:rPr>
      </w:pPr>
    </w:p>
    <w:p w14:paraId="0EBF538D">
      <w:pPr>
        <w:pStyle w:val="12"/>
        <w:rPr>
          <w:rFonts w:hint="eastAsia" w:hAnsi="宋体"/>
          <w:b/>
          <w:color w:val="auto"/>
          <w:kern w:val="1"/>
          <w:sz w:val="32"/>
          <w:szCs w:val="32"/>
        </w:rPr>
      </w:pPr>
    </w:p>
    <w:p w14:paraId="7673D894">
      <w:pPr>
        <w:pStyle w:val="13"/>
        <w:rPr>
          <w:rFonts w:hint="eastAsia"/>
          <w:color w:val="auto"/>
        </w:rPr>
      </w:pPr>
    </w:p>
    <w:p w14:paraId="48CCF7D4">
      <w:pPr>
        <w:spacing w:line="360" w:lineRule="auto"/>
        <w:jc w:val="center"/>
        <w:rPr>
          <w:rFonts w:hint="eastAsia" w:ascii="宋体" w:hAnsi="宋体"/>
          <w:b/>
          <w:color w:val="auto"/>
          <w:kern w:val="1"/>
          <w:sz w:val="32"/>
          <w:szCs w:val="32"/>
        </w:rPr>
      </w:pPr>
      <w:r>
        <w:rPr>
          <w:rFonts w:hint="eastAsia" w:ascii="宋体" w:hAnsi="宋体"/>
          <w:b/>
          <w:color w:val="auto"/>
          <w:kern w:val="1"/>
          <w:sz w:val="32"/>
          <w:szCs w:val="32"/>
        </w:rPr>
        <w:t>洛宁山水文苑营销分销合作续签合同</w:t>
      </w:r>
    </w:p>
    <w:p w14:paraId="4F73D649">
      <w:pPr>
        <w:spacing w:line="360" w:lineRule="auto"/>
        <w:jc w:val="center"/>
        <w:rPr>
          <w:rFonts w:hint="eastAsia" w:ascii="宋体" w:hAnsi="宋体"/>
          <w:b/>
          <w:color w:val="auto"/>
          <w:kern w:val="1"/>
          <w:sz w:val="32"/>
          <w:szCs w:val="32"/>
          <w:highlight w:val="none"/>
        </w:rPr>
      </w:pPr>
      <w:r>
        <w:rPr>
          <w:rFonts w:hint="eastAsia" w:ascii="宋体" w:hAnsi="宋体"/>
          <w:b/>
          <w:color w:val="auto"/>
          <w:kern w:val="1"/>
          <w:sz w:val="32"/>
          <w:szCs w:val="32"/>
          <w:highlight w:val="none"/>
        </w:rPr>
        <w:t>（202</w:t>
      </w:r>
      <w:r>
        <w:rPr>
          <w:rFonts w:ascii="宋体" w:hAnsi="宋体"/>
          <w:b/>
          <w:color w:val="auto"/>
          <w:kern w:val="1"/>
          <w:sz w:val="32"/>
          <w:szCs w:val="32"/>
          <w:highlight w:val="none"/>
        </w:rPr>
        <w:t>4</w:t>
      </w:r>
      <w:r>
        <w:rPr>
          <w:rFonts w:hint="eastAsia" w:ascii="宋体" w:hAnsi="宋体"/>
          <w:b/>
          <w:color w:val="auto"/>
          <w:kern w:val="1"/>
          <w:sz w:val="32"/>
          <w:szCs w:val="32"/>
          <w:highlight w:val="none"/>
        </w:rPr>
        <w:t>年</w:t>
      </w:r>
      <w:r>
        <w:rPr>
          <w:rFonts w:hint="eastAsia" w:ascii="宋体" w:hAnsi="宋体"/>
          <w:b/>
          <w:color w:val="auto"/>
          <w:kern w:val="1"/>
          <w:sz w:val="32"/>
          <w:szCs w:val="32"/>
          <w:highlight w:val="none"/>
          <w:lang w:val="en-US" w:eastAsia="zh-CN"/>
        </w:rPr>
        <w:t>9月</w:t>
      </w:r>
      <w:r>
        <w:rPr>
          <w:rFonts w:hint="eastAsia" w:ascii="宋体" w:hAnsi="宋体"/>
          <w:b/>
          <w:color w:val="auto"/>
          <w:kern w:val="1"/>
          <w:sz w:val="32"/>
          <w:szCs w:val="32"/>
          <w:highlight w:val="none"/>
        </w:rPr>
        <w:t>-</w:t>
      </w:r>
      <w:r>
        <w:rPr>
          <w:rFonts w:hint="eastAsia" w:ascii="宋体" w:hAnsi="宋体"/>
          <w:b/>
          <w:color w:val="auto"/>
          <w:kern w:val="1"/>
          <w:sz w:val="32"/>
          <w:szCs w:val="32"/>
          <w:highlight w:val="none"/>
          <w:lang w:val="en-US" w:eastAsia="zh-CN"/>
        </w:rPr>
        <w:t>2025年2</w:t>
      </w:r>
      <w:r>
        <w:rPr>
          <w:rFonts w:hint="eastAsia" w:ascii="宋体" w:hAnsi="宋体"/>
          <w:b/>
          <w:color w:val="auto"/>
          <w:kern w:val="1"/>
          <w:sz w:val="32"/>
          <w:szCs w:val="32"/>
          <w:highlight w:val="none"/>
        </w:rPr>
        <w:t>月）</w:t>
      </w:r>
    </w:p>
    <w:p w14:paraId="54E585EE">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olor w:val="auto"/>
          <w:sz w:val="24"/>
          <w:szCs w:val="24"/>
          <w:highlight w:val="none"/>
        </w:rPr>
        <w:t>（委托单位）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洛阳浩德浩康置业有限公司</w:t>
      </w:r>
    </w:p>
    <w:p w14:paraId="6B061CB1">
      <w:pPr>
        <w:pStyle w:val="3"/>
        <w:rPr>
          <w:color w:val="auto"/>
          <w:highlight w:val="none"/>
        </w:rPr>
      </w:pPr>
      <w:r>
        <w:rPr>
          <w:rFonts w:hint="eastAsia" w:hAnsi="宋体" w:cs="宋体"/>
          <w:color w:val="auto"/>
          <w:highlight w:val="none"/>
        </w:rPr>
        <w:t>统一社会信用代码：</w:t>
      </w:r>
      <w:r>
        <w:rPr>
          <w:rFonts w:hint="eastAsia" w:ascii="宋体" w:hAnsi="宋体" w:cs="Calibri"/>
          <w:color w:val="auto"/>
          <w:kern w:val="0"/>
          <w:szCs w:val="24"/>
          <w:highlight w:val="none"/>
          <w:u w:val="single"/>
        </w:rPr>
        <w:t xml:space="preserve">91410328MA9K9J8A5F </w:t>
      </w:r>
    </w:p>
    <w:p w14:paraId="00A1A6F5">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乙方</w:t>
      </w:r>
      <w:r>
        <w:rPr>
          <w:rFonts w:hint="eastAsia" w:ascii="宋体" w:hAnsi="宋体"/>
          <w:color w:val="auto"/>
          <w:sz w:val="24"/>
          <w:szCs w:val="24"/>
          <w:highlight w:val="none"/>
        </w:rPr>
        <w:t>（受托单位）</w:t>
      </w:r>
      <w:r>
        <w:rPr>
          <w:rFonts w:hint="eastAsia" w:ascii="宋体" w:hAnsi="宋体" w:cs="宋体"/>
          <w:color w:val="auto"/>
          <w:sz w:val="24"/>
          <w:szCs w:val="24"/>
          <w:highlight w:val="none"/>
        </w:rPr>
        <w:t>：洛阳</w:t>
      </w:r>
      <w:r>
        <w:rPr>
          <w:rFonts w:hint="eastAsia" w:ascii="宋体" w:hAnsi="宋体" w:cs="宋体"/>
          <w:color w:val="auto"/>
          <w:sz w:val="24"/>
          <w:szCs w:val="24"/>
          <w:highlight w:val="none"/>
          <w:lang w:val="en-US" w:eastAsia="zh-CN"/>
        </w:rPr>
        <w:t>懿居</w:t>
      </w:r>
      <w:r>
        <w:rPr>
          <w:rFonts w:hint="eastAsia" w:ascii="宋体" w:hAnsi="宋体" w:cs="宋体"/>
          <w:color w:val="auto"/>
          <w:sz w:val="24"/>
          <w:szCs w:val="24"/>
          <w:highlight w:val="none"/>
        </w:rPr>
        <w:t>房产</w:t>
      </w:r>
      <w:r>
        <w:rPr>
          <w:rFonts w:hint="eastAsia" w:ascii="宋体" w:hAnsi="宋体" w:cs="宋体"/>
          <w:color w:val="auto"/>
          <w:sz w:val="24"/>
          <w:szCs w:val="24"/>
          <w:highlight w:val="none"/>
          <w:lang w:val="en-US" w:eastAsia="zh-CN"/>
        </w:rPr>
        <w:t>经纪有限公司</w:t>
      </w:r>
    </w:p>
    <w:p w14:paraId="75CE5A6D">
      <w:pPr>
        <w:pStyle w:val="3"/>
        <w:rPr>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91410328MADP8GUH00</w:t>
      </w:r>
      <w:r>
        <w:rPr>
          <w:rFonts w:hint="eastAsia" w:hAnsi="宋体" w:cs="宋体"/>
          <w:color w:val="auto"/>
          <w:highlight w:val="none"/>
        </w:rPr>
        <w:t xml:space="preserve"> </w:t>
      </w:r>
    </w:p>
    <w:p w14:paraId="498CB664">
      <w:pPr>
        <w:spacing w:line="360" w:lineRule="auto"/>
        <w:ind w:firstLine="480" w:firstLineChars="200"/>
        <w:rPr>
          <w:rFonts w:hint="eastAsia" w:ascii="宋体" w:hAnsi="宋体" w:cs="宋体"/>
          <w:color w:val="auto"/>
          <w:kern w:val="2"/>
          <w:sz w:val="24"/>
          <w:szCs w:val="24"/>
          <w:highlight w:val="none"/>
        </w:rPr>
      </w:pPr>
      <w:r>
        <w:rPr>
          <w:rFonts w:hint="eastAsia" w:ascii="宋体" w:hAnsi="宋体" w:cs="微软雅黑"/>
          <w:color w:val="auto"/>
          <w:sz w:val="24"/>
          <w:szCs w:val="24"/>
          <w:highlight w:val="none"/>
        </w:rPr>
        <w:t>为了共同开辟甲方房产在</w:t>
      </w:r>
      <w:r>
        <w:rPr>
          <w:rFonts w:hint="eastAsia" w:ascii="宋体" w:hAnsi="宋体" w:cs="微软雅黑"/>
          <w:color w:val="auto"/>
          <w:sz w:val="24"/>
          <w:szCs w:val="24"/>
          <w:highlight w:val="none"/>
          <w:u w:val="single"/>
        </w:rPr>
        <w:t>洛宁县</w:t>
      </w:r>
      <w:r>
        <w:rPr>
          <w:rFonts w:hint="eastAsia" w:ascii="宋体" w:hAnsi="宋体" w:cs="微软雅黑"/>
          <w:color w:val="auto"/>
          <w:sz w:val="24"/>
          <w:szCs w:val="24"/>
          <w:highlight w:val="none"/>
        </w:rPr>
        <w:t>的销售市场，甲、乙双方本着互惠互利，诚实信用的原则，根据《中华人民共和国民</w:t>
      </w:r>
      <w:r>
        <w:rPr>
          <w:rFonts w:ascii="宋体" w:hAnsi="宋体" w:cs="微软雅黑"/>
          <w:color w:val="auto"/>
          <w:sz w:val="24"/>
          <w:szCs w:val="24"/>
          <w:highlight w:val="none"/>
        </w:rPr>
        <w:t>法典</w:t>
      </w:r>
      <w:r>
        <w:rPr>
          <w:rFonts w:hint="eastAsia" w:ascii="宋体" w:hAnsi="宋体" w:cs="微软雅黑"/>
          <w:color w:val="auto"/>
          <w:sz w:val="24"/>
          <w:szCs w:val="24"/>
          <w:highlight w:val="none"/>
        </w:rPr>
        <w:t>》的有关规定，经友好协商，就甲方委托乙方推荐客户购买洛宁山水文苑（以下简称该项目）商品房的有关事宜，经过充分协商，达成以下协议，以资双方共同遵守。</w:t>
      </w:r>
    </w:p>
    <w:p w14:paraId="0EF4FAC7">
      <w:pPr>
        <w:spacing w:line="360" w:lineRule="auto"/>
        <w:rPr>
          <w:rFonts w:ascii="宋体" w:hAnsi="宋体"/>
          <w:b/>
          <w:bCs/>
          <w:color w:val="auto"/>
          <w:sz w:val="24"/>
          <w:szCs w:val="32"/>
          <w:highlight w:val="none"/>
        </w:rPr>
      </w:pPr>
      <w:r>
        <w:rPr>
          <w:rFonts w:hint="eastAsia" w:ascii="宋体" w:hAnsi="宋体"/>
          <w:b/>
          <w:bCs/>
          <w:color w:val="auto"/>
          <w:sz w:val="24"/>
          <w:szCs w:val="32"/>
          <w:highlight w:val="none"/>
        </w:rPr>
        <w:t>第一条：</w:t>
      </w:r>
      <w:r>
        <w:rPr>
          <w:rFonts w:hint="eastAsia" w:ascii="宋体" w:hAnsi="宋体" w:cs="微软雅黑"/>
          <w:b/>
          <w:color w:val="auto"/>
          <w:sz w:val="24"/>
          <w:szCs w:val="24"/>
          <w:highlight w:val="none"/>
        </w:rPr>
        <w:t>合作内容及范围</w:t>
      </w:r>
    </w:p>
    <w:p w14:paraId="6ECD254B">
      <w:pPr>
        <w:spacing w:line="360" w:lineRule="auto"/>
        <w:ind w:firstLine="480" w:firstLineChars="200"/>
        <w:outlineLvl w:val="0"/>
        <w:rPr>
          <w:rFonts w:hint="eastAsia" w:ascii="宋体" w:hAnsi="宋体"/>
          <w:color w:val="auto"/>
          <w:sz w:val="24"/>
          <w:szCs w:val="32"/>
          <w:highlight w:val="none"/>
        </w:rPr>
      </w:pPr>
      <w:r>
        <w:rPr>
          <w:rFonts w:hint="eastAsia" w:ascii="宋体" w:hAnsi="宋体" w:cs="微软雅黑"/>
          <w:color w:val="auto"/>
          <w:sz w:val="24"/>
          <w:szCs w:val="24"/>
          <w:highlight w:val="none"/>
        </w:rPr>
        <w:t>甲方委托乙方为位于洛宁浩德山水文苑项目（以下简称“本项目”）提供居间代理服务，并促成甲方与乙方招揽的客户签订《认购书》、《商品房买卖合同》等相关合同文件（以下统称为《商品房买卖合同》），实现甲方售出商品房的目的。乙方为本项目的居间代理合作方之一，甲方有权同时委托其他单位或个人提供居间代理或者销售代理服务，乙方同时具有代理其他项目的权利。</w:t>
      </w:r>
    </w:p>
    <w:p w14:paraId="41D7961B">
      <w:pPr>
        <w:spacing w:line="360" w:lineRule="auto"/>
        <w:rPr>
          <w:rFonts w:hint="eastAsia" w:ascii="宋体" w:hAnsi="宋体"/>
          <w:b/>
          <w:bCs/>
          <w:color w:val="auto"/>
          <w:sz w:val="24"/>
          <w:szCs w:val="32"/>
          <w:highlight w:val="none"/>
        </w:rPr>
      </w:pPr>
      <w:r>
        <w:rPr>
          <w:rFonts w:hint="eastAsia" w:ascii="宋体" w:hAnsi="宋体"/>
          <w:b/>
          <w:bCs/>
          <w:color w:val="auto"/>
          <w:sz w:val="24"/>
          <w:szCs w:val="32"/>
          <w:highlight w:val="none"/>
        </w:rPr>
        <w:t>第二条：</w:t>
      </w:r>
      <w:r>
        <w:rPr>
          <w:rFonts w:hint="eastAsia" w:ascii="宋体" w:hAnsi="宋体" w:cs="微软雅黑"/>
          <w:b/>
          <w:color w:val="auto"/>
          <w:sz w:val="24"/>
          <w:szCs w:val="24"/>
          <w:highlight w:val="none"/>
        </w:rPr>
        <w:t>合同</w:t>
      </w:r>
      <w:r>
        <w:rPr>
          <w:rFonts w:hint="eastAsia" w:ascii="宋体" w:hAnsi="宋体" w:cs="微软雅黑"/>
          <w:b/>
          <w:color w:val="auto"/>
          <w:kern w:val="28"/>
          <w:sz w:val="24"/>
          <w:szCs w:val="24"/>
          <w:highlight w:val="none"/>
        </w:rPr>
        <w:t>期限</w:t>
      </w:r>
    </w:p>
    <w:p w14:paraId="247A9762">
      <w:pPr>
        <w:spacing w:line="360" w:lineRule="auto"/>
        <w:ind w:firstLine="480" w:firstLineChars="200"/>
        <w:rPr>
          <w:rFonts w:hint="eastAsia" w:ascii="宋体" w:hAnsi="宋体" w:cs="微软雅黑"/>
          <w:color w:val="auto"/>
          <w:kern w:val="28"/>
          <w:sz w:val="24"/>
          <w:szCs w:val="24"/>
          <w:highlight w:val="none"/>
        </w:rPr>
      </w:pPr>
      <w:r>
        <w:rPr>
          <w:rFonts w:hint="eastAsia" w:ascii="宋体" w:hAnsi="宋体" w:cs="微软雅黑"/>
          <w:color w:val="auto"/>
          <w:kern w:val="28"/>
          <w:sz w:val="24"/>
          <w:szCs w:val="24"/>
          <w:highlight w:val="none"/>
        </w:rPr>
        <w:t>本合同合作起止时间为</w:t>
      </w:r>
      <w:r>
        <w:rPr>
          <w:rFonts w:hint="eastAsia" w:ascii="宋体" w:hAnsi="宋体" w:cs="微软雅黑"/>
          <w:color w:val="auto"/>
          <w:kern w:val="28"/>
          <w:sz w:val="24"/>
          <w:szCs w:val="24"/>
          <w:highlight w:val="none"/>
          <w:u w:val="single"/>
        </w:rPr>
        <w:t>202</w:t>
      </w:r>
      <w:r>
        <w:rPr>
          <w:rFonts w:ascii="宋体" w:hAnsi="宋体" w:cs="微软雅黑"/>
          <w:color w:val="auto"/>
          <w:kern w:val="28"/>
          <w:sz w:val="24"/>
          <w:szCs w:val="24"/>
          <w:highlight w:val="none"/>
          <w:u w:val="single"/>
        </w:rPr>
        <w:t>4</w:t>
      </w:r>
      <w:r>
        <w:rPr>
          <w:rFonts w:hint="eastAsia" w:ascii="宋体" w:hAnsi="宋体" w:cs="微软雅黑"/>
          <w:color w:val="auto"/>
          <w:kern w:val="28"/>
          <w:sz w:val="24"/>
          <w:szCs w:val="24"/>
          <w:highlight w:val="none"/>
        </w:rPr>
        <w:t>年</w:t>
      </w:r>
      <w:r>
        <w:rPr>
          <w:rFonts w:hint="eastAsia" w:ascii="宋体" w:hAnsi="宋体" w:cs="微软雅黑"/>
          <w:color w:val="auto"/>
          <w:kern w:val="28"/>
          <w:sz w:val="24"/>
          <w:szCs w:val="24"/>
          <w:highlight w:val="none"/>
          <w:u w:val="single"/>
          <w:lang w:val="en-US" w:eastAsia="zh-CN"/>
        </w:rPr>
        <w:t>9</w:t>
      </w:r>
      <w:r>
        <w:rPr>
          <w:rFonts w:hint="eastAsia" w:ascii="宋体" w:hAnsi="宋体" w:cs="微软雅黑"/>
          <w:color w:val="auto"/>
          <w:kern w:val="28"/>
          <w:sz w:val="24"/>
          <w:szCs w:val="24"/>
          <w:highlight w:val="none"/>
        </w:rPr>
        <w:t>月</w:t>
      </w:r>
      <w:r>
        <w:rPr>
          <w:rFonts w:ascii="宋体" w:hAnsi="宋体" w:cs="微软雅黑"/>
          <w:color w:val="auto"/>
          <w:kern w:val="28"/>
          <w:sz w:val="24"/>
          <w:szCs w:val="24"/>
          <w:highlight w:val="none"/>
          <w:u w:val="single"/>
        </w:rPr>
        <w:t>1</w:t>
      </w:r>
      <w:r>
        <w:rPr>
          <w:rFonts w:hint="eastAsia" w:ascii="宋体" w:hAnsi="宋体" w:cs="微软雅黑"/>
          <w:color w:val="auto"/>
          <w:kern w:val="28"/>
          <w:sz w:val="24"/>
          <w:szCs w:val="24"/>
          <w:highlight w:val="none"/>
        </w:rPr>
        <w:t>日起至</w:t>
      </w:r>
      <w:r>
        <w:rPr>
          <w:rFonts w:hint="eastAsia" w:ascii="宋体" w:hAnsi="宋体" w:cs="微软雅黑"/>
          <w:color w:val="auto"/>
          <w:kern w:val="28"/>
          <w:sz w:val="24"/>
          <w:szCs w:val="24"/>
          <w:highlight w:val="none"/>
          <w:u w:val="single"/>
        </w:rPr>
        <w:t>202</w:t>
      </w:r>
      <w:r>
        <w:rPr>
          <w:rFonts w:hint="eastAsia" w:ascii="宋体" w:hAnsi="宋体" w:cs="微软雅黑"/>
          <w:color w:val="auto"/>
          <w:kern w:val="28"/>
          <w:sz w:val="24"/>
          <w:szCs w:val="24"/>
          <w:highlight w:val="none"/>
          <w:u w:val="single"/>
          <w:lang w:val="en-US" w:eastAsia="zh-CN"/>
        </w:rPr>
        <w:t>5</w:t>
      </w:r>
      <w:r>
        <w:rPr>
          <w:rFonts w:hint="eastAsia" w:ascii="宋体" w:hAnsi="宋体" w:cs="微软雅黑"/>
          <w:color w:val="auto"/>
          <w:kern w:val="28"/>
          <w:sz w:val="24"/>
          <w:szCs w:val="24"/>
          <w:highlight w:val="none"/>
        </w:rPr>
        <w:t>年</w:t>
      </w:r>
      <w:r>
        <w:rPr>
          <w:rFonts w:hint="eastAsia" w:ascii="宋体" w:hAnsi="宋体" w:cs="微软雅黑"/>
          <w:color w:val="auto"/>
          <w:kern w:val="28"/>
          <w:sz w:val="24"/>
          <w:szCs w:val="24"/>
          <w:highlight w:val="none"/>
          <w:u w:val="single"/>
          <w:lang w:val="en-US" w:eastAsia="zh-CN"/>
        </w:rPr>
        <w:t>2</w:t>
      </w:r>
      <w:r>
        <w:rPr>
          <w:rFonts w:hint="eastAsia" w:ascii="宋体" w:hAnsi="宋体" w:cs="微软雅黑"/>
          <w:color w:val="auto"/>
          <w:kern w:val="28"/>
          <w:sz w:val="24"/>
          <w:szCs w:val="24"/>
          <w:highlight w:val="none"/>
        </w:rPr>
        <w:t>月</w:t>
      </w:r>
      <w:r>
        <w:rPr>
          <w:rFonts w:hint="eastAsia" w:ascii="宋体" w:hAnsi="宋体" w:cs="微软雅黑"/>
          <w:color w:val="auto"/>
          <w:kern w:val="28"/>
          <w:sz w:val="24"/>
          <w:szCs w:val="24"/>
          <w:highlight w:val="none"/>
          <w:u w:val="single"/>
          <w:lang w:val="en-US" w:eastAsia="zh-CN"/>
        </w:rPr>
        <w:t>28</w:t>
      </w:r>
      <w:r>
        <w:rPr>
          <w:rFonts w:hint="eastAsia" w:ascii="宋体" w:hAnsi="宋体" w:cs="微软雅黑"/>
          <w:color w:val="auto"/>
          <w:kern w:val="28"/>
          <w:sz w:val="24"/>
          <w:szCs w:val="24"/>
          <w:highlight w:val="none"/>
        </w:rPr>
        <w:t>日止。</w:t>
      </w:r>
    </w:p>
    <w:p w14:paraId="160E633D">
      <w:pPr>
        <w:spacing w:line="360" w:lineRule="auto"/>
        <w:rPr>
          <w:rFonts w:ascii="宋体" w:hAnsi="宋体"/>
          <w:b/>
          <w:bCs/>
          <w:color w:val="auto"/>
          <w:sz w:val="24"/>
          <w:szCs w:val="32"/>
          <w:highlight w:val="none"/>
        </w:rPr>
      </w:pPr>
      <w:r>
        <w:rPr>
          <w:rFonts w:hint="eastAsia" w:ascii="宋体" w:hAnsi="宋体"/>
          <w:b/>
          <w:bCs/>
          <w:color w:val="auto"/>
          <w:sz w:val="24"/>
          <w:szCs w:val="32"/>
          <w:highlight w:val="none"/>
        </w:rPr>
        <w:t>第三条：合同金额</w:t>
      </w:r>
    </w:p>
    <w:p w14:paraId="6B723C49">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1、合同金额：</w:t>
      </w:r>
    </w:p>
    <w:p w14:paraId="7B4C4D86">
      <w:pPr>
        <w:spacing w:line="360" w:lineRule="auto"/>
        <w:ind w:firstLine="480" w:firstLineChars="200"/>
        <w:jc w:val="left"/>
        <w:rPr>
          <w:rFonts w:hint="eastAsia" w:ascii="宋体" w:hAnsi="宋体" w:cs="宋体"/>
          <w:bCs/>
          <w:color w:val="auto"/>
          <w:sz w:val="24"/>
        </w:rPr>
      </w:pPr>
      <w:r>
        <w:rPr>
          <w:rFonts w:hint="eastAsia" w:ascii="宋体" w:hAnsi="宋体" w:cs="微软雅黑"/>
          <w:color w:val="auto"/>
          <w:kern w:val="28"/>
          <w:sz w:val="24"/>
          <w:szCs w:val="24"/>
        </w:rPr>
        <w:t>合同总价：本合同暂定含税总金额</w:t>
      </w:r>
      <w:r>
        <w:rPr>
          <w:rFonts w:hint="eastAsia" w:ascii="宋体" w:hAnsi="宋体" w:cs="微软雅黑"/>
          <w:color w:val="auto"/>
          <w:kern w:val="28"/>
          <w:sz w:val="24"/>
          <w:szCs w:val="24"/>
          <w:u w:val="single"/>
        </w:rPr>
        <w:t xml:space="preserve"> </w:t>
      </w:r>
      <w:r>
        <w:rPr>
          <w:rFonts w:hint="eastAsia" w:ascii="宋体" w:hAnsi="宋体" w:cs="微软雅黑"/>
          <w:color w:val="auto"/>
          <w:kern w:val="28"/>
          <w:sz w:val="24"/>
          <w:szCs w:val="24"/>
          <w:u w:val="single"/>
          <w:lang w:val="en-US" w:eastAsia="zh-CN"/>
        </w:rPr>
        <w:t>20</w:t>
      </w:r>
      <w:r>
        <w:rPr>
          <w:rFonts w:hint="eastAsia" w:ascii="宋体" w:hAnsi="宋体" w:cs="微软雅黑"/>
          <w:color w:val="auto"/>
          <w:kern w:val="28"/>
          <w:sz w:val="24"/>
          <w:szCs w:val="24"/>
          <w:u w:val="single"/>
        </w:rPr>
        <w:t xml:space="preserve">0000 </w:t>
      </w:r>
      <w:r>
        <w:rPr>
          <w:rFonts w:hint="eastAsia" w:ascii="宋体" w:hAnsi="宋体" w:cs="微软雅黑"/>
          <w:color w:val="auto"/>
          <w:kern w:val="28"/>
          <w:sz w:val="24"/>
          <w:szCs w:val="24"/>
        </w:rPr>
        <w:t>元，大写</w:t>
      </w:r>
      <w:r>
        <w:rPr>
          <w:rFonts w:hint="eastAsia" w:ascii="宋体" w:hAnsi="宋体" w:cs="微软雅黑"/>
          <w:color w:val="auto"/>
          <w:kern w:val="28"/>
          <w:sz w:val="24"/>
          <w:szCs w:val="24"/>
          <w:u w:val="single"/>
        </w:rPr>
        <w:t xml:space="preserve"> </w:t>
      </w:r>
      <w:r>
        <w:rPr>
          <w:rFonts w:hint="eastAsia" w:ascii="宋体" w:hAnsi="宋体" w:cs="微软雅黑"/>
          <w:color w:val="auto"/>
          <w:kern w:val="28"/>
          <w:sz w:val="24"/>
          <w:szCs w:val="24"/>
          <w:u w:val="single"/>
          <w:lang w:val="en-US" w:eastAsia="zh-CN"/>
        </w:rPr>
        <w:t>贰</w:t>
      </w:r>
      <w:r>
        <w:rPr>
          <w:rFonts w:hint="eastAsia" w:ascii="宋体" w:hAnsi="宋体" w:cs="微软雅黑"/>
          <w:color w:val="auto"/>
          <w:kern w:val="28"/>
          <w:sz w:val="24"/>
          <w:szCs w:val="24"/>
          <w:u w:val="single"/>
        </w:rPr>
        <w:t xml:space="preserve">拾万元 </w:t>
      </w:r>
      <w:r>
        <w:rPr>
          <w:rFonts w:hint="eastAsia" w:ascii="宋体" w:hAnsi="宋体" w:cs="微软雅黑"/>
          <w:color w:val="auto"/>
          <w:kern w:val="28"/>
          <w:sz w:val="24"/>
          <w:szCs w:val="24"/>
        </w:rPr>
        <w:t>整，其中，不含税金额</w:t>
      </w:r>
      <w:r>
        <w:rPr>
          <w:rFonts w:hint="eastAsia" w:ascii="宋体" w:hAnsi="宋体" w:cs="微软雅黑"/>
          <w:color w:val="auto"/>
          <w:kern w:val="28"/>
          <w:sz w:val="24"/>
          <w:szCs w:val="24"/>
          <w:u w:val="single"/>
        </w:rPr>
        <w:t xml:space="preserve"> </w:t>
      </w:r>
      <w:r>
        <w:rPr>
          <w:rFonts w:ascii="Arial" w:hAnsi="Arial" w:cs="Arial"/>
          <w:color w:val="auto"/>
          <w:kern w:val="28"/>
          <w:sz w:val="24"/>
          <w:szCs w:val="24"/>
          <w:u w:val="single"/>
        </w:rPr>
        <w:t>¥</w:t>
      </w:r>
      <w:r>
        <w:rPr>
          <w:rFonts w:hint="eastAsia" w:ascii="宋体" w:hAnsi="宋体" w:cs="微软雅黑"/>
          <w:color w:val="auto"/>
          <w:kern w:val="28"/>
          <w:sz w:val="24"/>
          <w:szCs w:val="24"/>
          <w:u w:val="single"/>
          <w:lang w:val="en-US" w:eastAsia="zh-CN"/>
        </w:rPr>
        <w:t>198020</w:t>
      </w:r>
      <w:r>
        <w:rPr>
          <w:rFonts w:hint="eastAsia" w:ascii="宋体" w:hAnsi="宋体" w:cs="微软雅黑"/>
          <w:color w:val="auto"/>
          <w:kern w:val="28"/>
          <w:sz w:val="24"/>
          <w:szCs w:val="24"/>
        </w:rPr>
        <w:t>元（大写</w:t>
      </w:r>
      <w:r>
        <w:rPr>
          <w:rFonts w:hint="eastAsia" w:ascii="宋体" w:hAnsi="宋体" w:cs="微软雅黑"/>
          <w:color w:val="auto"/>
          <w:kern w:val="28"/>
          <w:sz w:val="24"/>
          <w:szCs w:val="24"/>
          <w:u w:val="single"/>
          <w:lang w:val="en-US" w:eastAsia="zh-CN"/>
        </w:rPr>
        <w:t>壹拾玖万捌仟零贰拾元整</w:t>
      </w:r>
      <w:r>
        <w:rPr>
          <w:rFonts w:hint="eastAsia" w:ascii="宋体" w:hAnsi="宋体" w:cs="微软雅黑"/>
          <w:color w:val="auto"/>
          <w:kern w:val="28"/>
          <w:sz w:val="24"/>
          <w:szCs w:val="24"/>
        </w:rPr>
        <w:t>），增值税专用发票税率</w:t>
      </w:r>
      <w:r>
        <w:rPr>
          <w:rFonts w:ascii="宋体" w:hAnsi="宋体" w:cs="微软雅黑"/>
          <w:color w:val="auto"/>
          <w:kern w:val="28"/>
          <w:sz w:val="24"/>
          <w:szCs w:val="24"/>
          <w:u w:val="single"/>
        </w:rPr>
        <w:t xml:space="preserve"> </w:t>
      </w:r>
      <w:r>
        <w:rPr>
          <w:rFonts w:hint="eastAsia" w:ascii="宋体" w:hAnsi="宋体" w:cs="微软雅黑"/>
          <w:color w:val="auto"/>
          <w:kern w:val="28"/>
          <w:sz w:val="24"/>
          <w:szCs w:val="24"/>
          <w:u w:val="single"/>
        </w:rPr>
        <w:t>1</w:t>
      </w:r>
      <w:r>
        <w:rPr>
          <w:rFonts w:ascii="宋体" w:hAnsi="宋体" w:cs="微软雅黑"/>
          <w:color w:val="auto"/>
          <w:kern w:val="28"/>
          <w:sz w:val="24"/>
          <w:szCs w:val="24"/>
          <w:u w:val="single"/>
        </w:rPr>
        <w:t xml:space="preserve"> </w:t>
      </w:r>
      <w:r>
        <w:rPr>
          <w:rFonts w:hint="eastAsia" w:ascii="宋体" w:hAnsi="宋体" w:cs="微软雅黑"/>
          <w:color w:val="auto"/>
          <w:kern w:val="28"/>
          <w:sz w:val="24"/>
          <w:szCs w:val="24"/>
        </w:rPr>
        <w:t>%，增值税额</w:t>
      </w:r>
      <w:r>
        <w:rPr>
          <w:rFonts w:hint="eastAsia" w:ascii="宋体" w:hAnsi="宋体" w:cs="微软雅黑"/>
          <w:color w:val="auto"/>
          <w:kern w:val="28"/>
          <w:sz w:val="24"/>
          <w:szCs w:val="24"/>
          <w:u w:val="single"/>
          <w:lang w:val="en-US" w:eastAsia="zh-CN"/>
        </w:rPr>
        <w:t>1</w:t>
      </w:r>
      <w:r>
        <w:rPr>
          <w:rFonts w:hint="eastAsia" w:ascii="宋体" w:hAnsi="宋体" w:eastAsia="宋体" w:cs="微软雅黑"/>
          <w:color w:val="auto"/>
          <w:kern w:val="28"/>
          <w:sz w:val="24"/>
          <w:szCs w:val="24"/>
          <w:u w:val="single"/>
          <w:lang w:val="en-US" w:eastAsia="zh-CN"/>
        </w:rPr>
        <w:t>980.20</w:t>
      </w:r>
      <w:r>
        <w:rPr>
          <w:rFonts w:hint="eastAsia" w:ascii="宋体" w:hAnsi="宋体" w:eastAsia="宋体" w:cs="微软雅黑"/>
          <w:color w:val="auto"/>
          <w:kern w:val="28"/>
          <w:sz w:val="24"/>
          <w:szCs w:val="24"/>
          <w:u w:val="single"/>
        </w:rPr>
        <w:t>元</w:t>
      </w:r>
      <w:r>
        <w:rPr>
          <w:rFonts w:hint="eastAsia" w:ascii="宋体" w:hAnsi="宋体" w:cs="微软雅黑"/>
          <w:color w:val="auto"/>
          <w:kern w:val="28"/>
          <w:sz w:val="24"/>
          <w:szCs w:val="24"/>
        </w:rPr>
        <w:t>（大写</w:t>
      </w:r>
      <w:r>
        <w:rPr>
          <w:rFonts w:hint="eastAsia" w:ascii="宋体" w:hAnsi="宋体" w:cs="微软雅黑"/>
          <w:color w:val="auto"/>
          <w:kern w:val="28"/>
          <w:sz w:val="24"/>
          <w:szCs w:val="24"/>
          <w:u w:val="single"/>
          <w:lang w:val="en-US" w:eastAsia="zh-CN"/>
        </w:rPr>
        <w:t>壹仟玖佰捌拾元贰角</w:t>
      </w:r>
      <w:r>
        <w:rPr>
          <w:rFonts w:hint="eastAsia" w:ascii="宋体" w:hAnsi="宋体" w:cs="微软雅黑"/>
          <w:color w:val="auto"/>
          <w:kern w:val="28"/>
          <w:sz w:val="24"/>
          <w:szCs w:val="24"/>
        </w:rPr>
        <w:t>）。具体</w:t>
      </w:r>
      <w:r>
        <w:rPr>
          <w:rFonts w:ascii="宋体" w:hAnsi="宋体" w:cs="微软雅黑"/>
          <w:color w:val="auto"/>
          <w:kern w:val="28"/>
          <w:sz w:val="24"/>
          <w:szCs w:val="24"/>
        </w:rPr>
        <w:t>金额以实际发生为准。</w:t>
      </w:r>
    </w:p>
    <w:p w14:paraId="3D4A2BA8">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2、增值税税率说明：</w:t>
      </w:r>
    </w:p>
    <w:p w14:paraId="356534D1">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2.1、合同价增值税税率按</w:t>
      </w:r>
      <w:r>
        <w:rPr>
          <w:rFonts w:hint="eastAsia" w:ascii="宋体" w:hAnsi="宋体" w:cs="微软雅黑"/>
          <w:color w:val="auto"/>
          <w:kern w:val="28"/>
          <w:sz w:val="24"/>
          <w:szCs w:val="24"/>
          <w:u w:val="single"/>
        </w:rPr>
        <w:t xml:space="preserve"> 1 </w:t>
      </w:r>
      <w:r>
        <w:rPr>
          <w:rFonts w:hint="eastAsia" w:ascii="宋体" w:hAnsi="宋体" w:cs="微软雅黑"/>
          <w:color w:val="auto"/>
          <w:kern w:val="28"/>
          <w:sz w:val="24"/>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312F6779">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2.2、如因乙方纳税资格变更引起增值税税率变化，风险由乙方自行承担（税率增加的，甲方仍按原税率支付税金；税率减小的，甲方按减小后的税率支付税金）。</w:t>
      </w:r>
    </w:p>
    <w:p w14:paraId="0A60D475">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2.3、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02C0D1F">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2.4、乙方提供的发票为增值税专用发票的，因乙方迟延送达、开具错误等原因导致其提供的增值税专用发票没有通过税务部门认证，造成甲方不能抵扣的，甲方有权拒绝接收。</w:t>
      </w:r>
    </w:p>
    <w:p w14:paraId="61259FC6">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2.5、乙方开具虚假、作废等无效发票或者违反国家法律法规开具、提供发票的，乙方应自行承担相应法律责任，赔偿由此给甲方造成的全部损失并应向甲方支付合同总价20%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B8394FA">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2.6、如果甲方丢失增值税专用发票联和抵扣联，乙方应向甲方提供专用发票记账联复印件，并加盖乙方发票专用章。</w:t>
      </w:r>
    </w:p>
    <w:p w14:paraId="7409BBEE">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2.7、如果获得开具的汇总专用发票，则乙方应提供其防伪税控系统开具的《销售货物或者提供应税劳务清单》，并加盖发票专用章。</w:t>
      </w:r>
    </w:p>
    <w:p w14:paraId="73559F32">
      <w:pPr>
        <w:spacing w:line="360" w:lineRule="auto"/>
        <w:rPr>
          <w:rFonts w:ascii="宋体" w:hAnsi="宋体"/>
          <w:b/>
          <w:bCs/>
          <w:color w:val="auto"/>
          <w:sz w:val="24"/>
          <w:szCs w:val="32"/>
        </w:rPr>
      </w:pPr>
      <w:r>
        <w:rPr>
          <w:rFonts w:hint="eastAsia" w:ascii="宋体" w:hAnsi="宋体"/>
          <w:b/>
          <w:bCs/>
          <w:color w:val="auto"/>
          <w:sz w:val="24"/>
          <w:szCs w:val="32"/>
        </w:rPr>
        <w:t>第四条：</w:t>
      </w:r>
      <w:r>
        <w:rPr>
          <w:rFonts w:hint="eastAsia" w:ascii="宋体" w:hAnsi="宋体" w:cs="微软雅黑"/>
          <w:b/>
          <w:color w:val="auto"/>
          <w:kern w:val="28"/>
          <w:sz w:val="24"/>
          <w:szCs w:val="24"/>
        </w:rPr>
        <w:t>推介流程及佣金方案</w:t>
      </w:r>
    </w:p>
    <w:p w14:paraId="6191C1D3">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甲乙双方确认，推介流程及计佣方式按照以下约定处理：</w:t>
      </w:r>
    </w:p>
    <w:p w14:paraId="08BD01A9">
      <w:pPr>
        <w:pStyle w:val="3"/>
        <w:rPr>
          <w:rFonts w:hint="eastAsia"/>
          <w:color w:val="auto"/>
        </w:rPr>
      </w:pPr>
      <w:r>
        <w:rPr>
          <w:rFonts w:hint="eastAsia"/>
          <w:color w:val="auto"/>
        </w:rPr>
        <w:t xml:space="preserve"> </w:t>
      </w:r>
      <w:r>
        <w:rPr>
          <w:color w:val="auto"/>
        </w:rPr>
        <w:t xml:space="preserve">   1</w:t>
      </w:r>
      <w:r>
        <w:rPr>
          <w:rFonts w:hint="eastAsia"/>
          <w:color w:val="auto"/>
        </w:rPr>
        <w:t>、推介流程及客户约定</w:t>
      </w:r>
    </w:p>
    <w:p w14:paraId="50BAD2D0">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（1）客户入口：乙方通过浩客通系统将客户信息进行报备，报备时间应提前30分钟报备，报备成功后由甲方关联至明源系统由置业顾问跟踪记录。</w:t>
      </w:r>
    </w:p>
    <w:p w14:paraId="530560C1">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（2）报备：乙方推荐客户报备之日起15天（自然日）内到访的，</w:t>
      </w:r>
      <w:r>
        <w:rPr>
          <w:rFonts w:hint="eastAsia" w:ascii="宋体" w:hAnsi="宋体" w:cs="微软雅黑"/>
          <w:color w:val="auto"/>
          <w:kern w:val="28"/>
          <w:sz w:val="24"/>
          <w:szCs w:val="24"/>
          <w:lang w:val="en-US" w:eastAsia="zh-CN"/>
        </w:rPr>
        <w:t>自</w:t>
      </w:r>
      <w:r>
        <w:rPr>
          <w:rFonts w:hint="eastAsia" w:ascii="宋体" w:hAnsi="宋体" w:cs="微软雅黑"/>
          <w:color w:val="auto"/>
          <w:kern w:val="28"/>
          <w:sz w:val="24"/>
          <w:szCs w:val="24"/>
        </w:rPr>
        <w:t>到访之日起享有30天保护期。报备之日起15天内客户未到访的（超15日），报备失效且不享有30天保护期，所有渠道均可追踪直接约访，最终以带访为准，自带访之日起重新计算保护期15日。</w:t>
      </w:r>
    </w:p>
    <w:p w14:paraId="18D06736">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3）到访：乙方推荐客户报备之日起15天（自然日）内到访，享有30天保护期（自首次到访之日起），30天内成交的归属第一推荐人，超过30日未成交的该客户失效，成为公共资源。所有渠道均可带访，自带访之日起重新计算保护期15日。客户到访后由甲方统一对推荐客户进行客户登记和接待分配。客户</w:t>
      </w:r>
      <w:r>
        <w:rPr>
          <w:rFonts w:ascii="宋体" w:hAnsi="宋体" w:cs="微软雅黑"/>
          <w:color w:val="auto"/>
          <w:kern w:val="28"/>
          <w:sz w:val="24"/>
          <w:szCs w:val="24"/>
        </w:rPr>
        <w:t>由</w:t>
      </w:r>
      <w:r>
        <w:rPr>
          <w:rFonts w:hint="eastAsia" w:ascii="宋体" w:hAnsi="宋体" w:cs="微软雅黑"/>
          <w:color w:val="auto"/>
          <w:kern w:val="28"/>
          <w:sz w:val="24"/>
          <w:szCs w:val="24"/>
        </w:rPr>
        <w:t>案场接待后，置业顾问及甲方授权对接人须为</w:t>
      </w:r>
      <w:r>
        <w:rPr>
          <w:rFonts w:ascii="宋体" w:hAnsi="宋体" w:cs="微软雅黑"/>
          <w:color w:val="auto"/>
          <w:kern w:val="28"/>
          <w:sz w:val="24"/>
          <w:szCs w:val="24"/>
        </w:rPr>
        <w:t>乙方经纪人</w:t>
      </w:r>
      <w:r>
        <w:rPr>
          <w:rFonts w:hint="eastAsia" w:ascii="宋体" w:hAnsi="宋体" w:cs="微软雅黑"/>
          <w:color w:val="auto"/>
          <w:kern w:val="28"/>
          <w:sz w:val="24"/>
          <w:szCs w:val="24"/>
        </w:rPr>
        <w:t>签署</w:t>
      </w:r>
      <w:r>
        <w:rPr>
          <w:rFonts w:hint="eastAsia" w:ascii="宋体" w:hAnsi="宋体" w:cs="宋体"/>
          <w:color w:val="auto"/>
          <w:kern w:val="2"/>
          <w:sz w:val="24"/>
          <w:szCs w:val="24"/>
        </w:rPr>
        <w:t>《客户带看确认表》</w:t>
      </w:r>
      <w:r>
        <w:rPr>
          <w:rFonts w:hint="eastAsia" w:ascii="宋体" w:hAnsi="宋体" w:cs="微软雅黑"/>
          <w:color w:val="auto"/>
          <w:kern w:val="28"/>
          <w:sz w:val="24"/>
          <w:szCs w:val="24"/>
        </w:rPr>
        <w:t>（见附件二），作为确认接待客户凭证</w:t>
      </w:r>
      <w:r>
        <w:rPr>
          <w:rFonts w:ascii="宋体" w:hAnsi="宋体" w:cs="微软雅黑"/>
          <w:color w:val="auto"/>
          <w:kern w:val="28"/>
          <w:sz w:val="24"/>
          <w:szCs w:val="24"/>
        </w:rPr>
        <w:t>，</w:t>
      </w:r>
      <w:r>
        <w:rPr>
          <w:rFonts w:hint="eastAsia" w:ascii="宋体" w:hAnsi="宋体" w:cs="微软雅黑"/>
          <w:color w:val="auto"/>
          <w:kern w:val="28"/>
          <w:sz w:val="24"/>
          <w:szCs w:val="24"/>
        </w:rPr>
        <w:t>以便双方</w:t>
      </w:r>
      <w:r>
        <w:rPr>
          <w:rFonts w:ascii="宋体" w:hAnsi="宋体" w:cs="微软雅黑"/>
          <w:color w:val="auto"/>
          <w:kern w:val="28"/>
          <w:sz w:val="24"/>
          <w:szCs w:val="24"/>
        </w:rPr>
        <w:t>后期</w:t>
      </w:r>
      <w:r>
        <w:rPr>
          <w:rFonts w:hint="eastAsia" w:ascii="宋体" w:hAnsi="宋体" w:cs="微软雅黑"/>
          <w:color w:val="auto"/>
          <w:kern w:val="28"/>
          <w:sz w:val="24"/>
          <w:szCs w:val="24"/>
        </w:rPr>
        <w:t>核对确认。</w:t>
      </w:r>
    </w:p>
    <w:p w14:paraId="6DD1A423">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（4）自然到访：本项目所有自然到访客户（含来电客户，以甲方置业顾问录明源系统的数据为准）为甲方永久客户。</w:t>
      </w:r>
    </w:p>
    <w:p w14:paraId="26CDD1FB">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（5）过期资源：所有过有效保护期的客户均以带访为准，自带访之日起享有15日的保护期（自然来电来访客户除外）。</w:t>
      </w:r>
    </w:p>
    <w:p w14:paraId="230813D1">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（6）除前述</w:t>
      </w:r>
      <w:r>
        <w:rPr>
          <w:rFonts w:hint="eastAsia" w:ascii="宋体" w:hAnsi="宋体" w:cs="宋体"/>
          <w:color w:val="auto"/>
          <w:kern w:val="2"/>
          <w:sz w:val="24"/>
          <w:szCs w:val="24"/>
        </w:rPr>
        <w:t>《客户带看确认表》</w:t>
      </w:r>
      <w:r>
        <w:rPr>
          <w:rFonts w:hint="eastAsia" w:ascii="宋体" w:hAnsi="宋体" w:cs="微软雅黑"/>
          <w:color w:val="auto"/>
          <w:kern w:val="28"/>
          <w:sz w:val="24"/>
          <w:szCs w:val="24"/>
        </w:rPr>
        <w:t>中所载客户外，乙方不得在本项目周边1.5公里（以“浩德山水文苑销售中心”为中心，向四周扩散1</w:t>
      </w:r>
      <w:r>
        <w:rPr>
          <w:rFonts w:ascii="宋体" w:hAnsi="宋体" w:cs="微软雅黑"/>
          <w:color w:val="auto"/>
          <w:kern w:val="28"/>
          <w:sz w:val="24"/>
          <w:szCs w:val="24"/>
        </w:rPr>
        <w:t>.5</w:t>
      </w:r>
      <w:r>
        <w:rPr>
          <w:rFonts w:hint="eastAsia" w:ascii="宋体" w:hAnsi="宋体" w:cs="微软雅黑"/>
          <w:color w:val="auto"/>
          <w:kern w:val="28"/>
          <w:sz w:val="24"/>
          <w:szCs w:val="24"/>
        </w:rPr>
        <w:t xml:space="preserve">公里，见下图）内进行销售活动，在此范围内拓客视为截访甲方客户。该客户推荐无效，与此同时，乙方应向甲方支付违约金5000元/人次；若前述行为达2次及以上的，甲方有权解除本合同，且不支付剩余应付佣金/报酬，剩余的所有分销佣金作为乙方违约的违约金，甲方不另行安排支付佣金。 </w:t>
      </w:r>
      <w:r>
        <w:rPr>
          <w:rFonts w:ascii="宋体" w:hAnsi="宋体" w:cs="微软雅黑"/>
          <w:color w:val="auto"/>
          <w:kern w:val="28"/>
          <w:sz w:val="24"/>
          <w:szCs w:val="24"/>
        </w:rPr>
        <w:t xml:space="preserve">   </w:t>
      </w:r>
      <w:r>
        <w:rPr>
          <w:rFonts w:hint="eastAsia" w:ascii="宋体" w:hAnsi="宋体" w:cs="微软雅黑"/>
          <w:color w:val="auto"/>
          <w:kern w:val="28"/>
          <w:sz w:val="24"/>
          <w:szCs w:val="24"/>
        </w:rPr>
        <w:drawing>
          <wp:inline distT="0" distB="0" distL="114300" distR="114300">
            <wp:extent cx="4838700" cy="2768600"/>
            <wp:effectExtent l="0" t="0" r="0" b="12700"/>
            <wp:docPr id="4" name="图片 1" descr="1932300365095b3b30327722d273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932300365095b3b30327722d27324a"/>
                    <pic:cNvPicPr>
                      <a:picLocks noChangeAspect="1"/>
                    </pic:cNvPicPr>
                  </pic:nvPicPr>
                  <pic:blipFill>
                    <a:blip r:embed="rId8"/>
                    <a:stretch>
                      <a:fillRect/>
                    </a:stretch>
                  </pic:blipFill>
                  <pic:spPr>
                    <a:xfrm>
                      <a:off x="0" y="0"/>
                      <a:ext cx="4838700" cy="2768600"/>
                    </a:xfrm>
                    <a:prstGeom prst="rect">
                      <a:avLst/>
                    </a:prstGeom>
                    <a:noFill/>
                    <a:ln>
                      <a:noFill/>
                    </a:ln>
                  </pic:spPr>
                </pic:pic>
              </a:graphicData>
            </a:graphic>
          </wp:inline>
        </w:drawing>
      </w:r>
      <w:r>
        <w:rPr>
          <w:rFonts w:hint="eastAsia" w:ascii="宋体" w:hAnsi="宋体" w:cs="微软雅黑"/>
          <w:color w:val="auto"/>
          <w:kern w:val="28"/>
          <w:sz w:val="24"/>
          <w:szCs w:val="24"/>
        </w:rPr>
        <w:t>。</w:t>
      </w:r>
    </w:p>
    <w:p w14:paraId="1523420B">
      <w:pPr>
        <w:spacing w:line="360" w:lineRule="auto"/>
        <w:ind w:firstLine="480" w:firstLineChars="200"/>
        <w:rPr>
          <w:rFonts w:hint="eastAsia" w:ascii="宋体" w:hAnsi="宋体" w:cs="微软雅黑"/>
          <w:color w:val="auto"/>
          <w:kern w:val="28"/>
          <w:sz w:val="24"/>
          <w:szCs w:val="24"/>
        </w:rPr>
      </w:pPr>
      <w:r>
        <w:rPr>
          <w:rFonts w:ascii="宋体" w:hAnsi="宋体" w:cs="微软雅黑"/>
          <w:color w:val="auto"/>
          <w:kern w:val="28"/>
          <w:sz w:val="24"/>
          <w:szCs w:val="24"/>
        </w:rPr>
        <w:t>2</w:t>
      </w:r>
      <w:r>
        <w:rPr>
          <w:rFonts w:hint="eastAsia" w:ascii="宋体" w:hAnsi="宋体" w:cs="微软雅黑"/>
          <w:color w:val="auto"/>
          <w:kern w:val="28"/>
          <w:sz w:val="24"/>
          <w:szCs w:val="24"/>
        </w:rPr>
        <w:t>、佣金方案</w:t>
      </w:r>
    </w:p>
    <w:p w14:paraId="0EFF0F5A">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（1）乙方按照本合同约定成功促成甲方销售商品房（</w:t>
      </w:r>
      <w:r>
        <w:rPr>
          <w:rFonts w:hint="eastAsia" w:ascii="宋体" w:hAnsi="宋体" w:cs="宋体"/>
          <w:color w:val="auto"/>
          <w:sz w:val="24"/>
          <w:szCs w:val="24"/>
          <w:shd w:val="clear" w:color="auto" w:fill="FFFFFF"/>
        </w:rPr>
        <w:t>指：乙方推介客户在保护期内签约《商品房买卖合同》）</w:t>
      </w:r>
      <w:r>
        <w:rPr>
          <w:rFonts w:hint="eastAsia" w:ascii="宋体" w:hAnsi="宋体" w:cs="宋体"/>
          <w:color w:val="auto"/>
          <w:kern w:val="28"/>
          <w:sz w:val="24"/>
          <w:szCs w:val="24"/>
        </w:rPr>
        <w:t>的代理佣金计算方式为：（注：取当月销售套数总值相应的佣金）</w:t>
      </w:r>
    </w:p>
    <w:p w14:paraId="6FD0C054">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销售佣金：住宅按自然月成功促成销售套数累计计提，其中1-4套含税综合单价佣金为2</w:t>
      </w:r>
      <w:r>
        <w:rPr>
          <w:rFonts w:ascii="宋体" w:hAnsi="宋体" w:cs="宋体"/>
          <w:color w:val="auto"/>
          <w:kern w:val="28"/>
          <w:sz w:val="24"/>
          <w:szCs w:val="24"/>
        </w:rPr>
        <w:t>5</w:t>
      </w:r>
      <w:r>
        <w:rPr>
          <w:rFonts w:hint="eastAsia" w:ascii="宋体" w:hAnsi="宋体" w:cs="宋体"/>
          <w:color w:val="auto"/>
          <w:kern w:val="28"/>
          <w:sz w:val="24"/>
          <w:szCs w:val="24"/>
        </w:rPr>
        <w:t>000元/套；5套及以上含税综合单价佣金为</w:t>
      </w:r>
      <w:r>
        <w:rPr>
          <w:rFonts w:ascii="宋体" w:hAnsi="宋体" w:cs="宋体"/>
          <w:color w:val="auto"/>
          <w:kern w:val="28"/>
          <w:sz w:val="24"/>
          <w:szCs w:val="24"/>
        </w:rPr>
        <w:t>3</w:t>
      </w:r>
      <w:r>
        <w:rPr>
          <w:rFonts w:hint="eastAsia" w:ascii="宋体" w:hAnsi="宋体" w:cs="宋体"/>
          <w:color w:val="auto"/>
          <w:kern w:val="28"/>
          <w:sz w:val="24"/>
          <w:szCs w:val="24"/>
        </w:rPr>
        <w:t>0000元/套；根据月度总套数统提佣金（累计计取套数，含当月所有已售的套数），无基础固定费用）</w:t>
      </w:r>
    </w:p>
    <w:p w14:paraId="50CA2973">
      <w:pPr>
        <w:spacing w:line="360" w:lineRule="auto"/>
        <w:ind w:firstLine="480" w:firstLineChars="200"/>
        <w:rPr>
          <w:rFonts w:hint="eastAsia" w:ascii="宋体" w:hAnsi="宋体" w:cs="微软雅黑"/>
          <w:color w:val="auto"/>
          <w:kern w:val="28"/>
          <w:sz w:val="24"/>
          <w:szCs w:val="24"/>
        </w:rPr>
      </w:pPr>
      <w:r>
        <w:rPr>
          <w:rFonts w:ascii="宋体" w:hAnsi="宋体" w:cs="微软雅黑"/>
          <w:color w:val="auto"/>
          <w:sz w:val="24"/>
          <w:szCs w:val="24"/>
        </w:rPr>
        <w:t>3</w:t>
      </w:r>
      <w:r>
        <w:rPr>
          <w:rFonts w:hint="eastAsia" w:ascii="宋体" w:hAnsi="宋体" w:cs="微软雅黑"/>
          <w:color w:val="auto"/>
          <w:sz w:val="24"/>
          <w:szCs w:val="24"/>
        </w:rPr>
        <w:t>、若非因甲方原因导致《商品房买卖合同》签订后又解除的，则甲方无须支付对应的佣金给乙方，如甲方已支付佣金的，则甲方可在上述行为发生的当月从须发放的佣金中扣除；如因合同解除导致佣金变动的，将按变动后的佣金对之前的佣金差，乙方需在5个工作日内退还给甲方。</w:t>
      </w:r>
    </w:p>
    <w:p w14:paraId="0EED6423">
      <w:pPr>
        <w:spacing w:line="360" w:lineRule="auto"/>
        <w:rPr>
          <w:rFonts w:ascii="宋体" w:hAnsi="宋体"/>
          <w:color w:val="auto"/>
          <w:sz w:val="24"/>
          <w:szCs w:val="32"/>
        </w:rPr>
      </w:pPr>
      <w:r>
        <w:rPr>
          <w:rFonts w:hint="eastAsia" w:ascii="宋体" w:hAnsi="宋体"/>
          <w:b/>
          <w:bCs/>
          <w:color w:val="auto"/>
          <w:sz w:val="24"/>
          <w:szCs w:val="32"/>
        </w:rPr>
        <w:t>第五条：</w:t>
      </w:r>
      <w:r>
        <w:rPr>
          <w:rFonts w:hint="eastAsia" w:ascii="宋体" w:hAnsi="宋体" w:cs="微软雅黑"/>
          <w:b/>
          <w:color w:val="auto"/>
          <w:sz w:val="24"/>
          <w:szCs w:val="24"/>
        </w:rPr>
        <w:t>佣金支付条件</w:t>
      </w:r>
      <w:r>
        <w:rPr>
          <w:rFonts w:ascii="宋体" w:hAnsi="宋体"/>
          <w:color w:val="auto"/>
          <w:sz w:val="24"/>
          <w:szCs w:val="32"/>
        </w:rPr>
        <w:t> </w:t>
      </w:r>
    </w:p>
    <w:p w14:paraId="6C5AA1E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1、乙方推介的客户已成功认购并签署《商品房买卖合同》的，根据付款方式不同，佣金结算条件不同，具体如下：</w:t>
      </w:r>
    </w:p>
    <w:p w14:paraId="68CCCA77">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（1）按揭付款客户：首付款</w:t>
      </w:r>
      <w:r>
        <w:rPr>
          <w:rFonts w:ascii="宋体" w:hAnsi="宋体" w:cs="微软雅黑"/>
          <w:color w:val="auto"/>
          <w:sz w:val="24"/>
          <w:szCs w:val="24"/>
        </w:rPr>
        <w:t>2</w:t>
      </w:r>
      <w:r>
        <w:rPr>
          <w:rFonts w:hint="eastAsia" w:ascii="宋体" w:hAnsi="宋体" w:cs="微软雅黑"/>
          <w:color w:val="auto"/>
          <w:sz w:val="24"/>
          <w:szCs w:val="24"/>
        </w:rPr>
        <w:t>0%缴纳到位或首付分期第一笔款项缴纳到位，且通过银行面签、网签完成后；</w:t>
      </w:r>
    </w:p>
    <w:p w14:paraId="3DDEFA5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（2）一次性付款客户：客户全部缴清购房款；</w:t>
      </w:r>
    </w:p>
    <w:p w14:paraId="5452BE70">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2、如因甲方原因，未能签署《商品房买卖合同》不影响对乙方佣金的正常支付。支付条件具体依照：</w:t>
      </w:r>
    </w:p>
    <w:p w14:paraId="1FE200E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（1）一次性全款客户：客户签署《商品房认购书》并缴清全部购房款；</w:t>
      </w:r>
    </w:p>
    <w:p w14:paraId="00BC9A2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（2）按揭客户：客户签署《商品房认购书》并缴清首付款；</w:t>
      </w:r>
    </w:p>
    <w:p w14:paraId="48F50F8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shd w:val="clear" w:color="auto" w:fill="FFFFFF"/>
        </w:rPr>
        <w:t>（3）首付分期客户：客户签署《商品房认购书》，缴清第一期首付分期借款且通过银行面签、网签完成后。</w:t>
      </w:r>
    </w:p>
    <w:p w14:paraId="4981A803">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3、如在客户与甲方签订《商品房买卖合同》前，客户提出退房，且甲方同意退房的，视为乙方未推荐成功，乙方需退还前期甲方所支付乙方的该套佣金。</w:t>
      </w:r>
    </w:p>
    <w:p w14:paraId="38312BC2">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 xml:space="preserve">4、甲乙双方约定以下人员作为信息传递、客户确认、客户状态确认、客户确认单、成销确认单、对账单、服务费结算等相关文件的签收和确认的负责人： </w:t>
      </w:r>
    </w:p>
    <w:p w14:paraId="45E534A7">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甲方授权</w:t>
      </w:r>
      <w:r>
        <w:rPr>
          <w:rFonts w:hint="eastAsia" w:ascii="宋体" w:hAnsi="宋体" w:cs="宋体"/>
          <w:color w:val="auto"/>
          <w:sz w:val="24"/>
          <w:szCs w:val="24"/>
          <w:u w:val="single"/>
          <w:shd w:val="clear" w:color="auto" w:fill="FFFFFF"/>
          <w:lang w:val="en-US" w:eastAsia="zh-CN"/>
        </w:rPr>
        <w:t>赵瑞波</w:t>
      </w:r>
      <w:r>
        <w:rPr>
          <w:rFonts w:hint="eastAsia" w:ascii="宋体" w:hAnsi="宋体" w:cs="宋体"/>
          <w:color w:val="auto"/>
          <w:sz w:val="24"/>
          <w:szCs w:val="24"/>
          <w:shd w:val="clear" w:color="auto" w:fill="FFFFFF"/>
        </w:rPr>
        <w:t>全权对接，电话：</w:t>
      </w:r>
      <w:r>
        <w:rPr>
          <w:rFonts w:hint="eastAsia" w:ascii="宋体" w:hAnsi="宋体" w:cs="宋体"/>
          <w:color w:val="auto"/>
          <w:sz w:val="24"/>
          <w:szCs w:val="24"/>
          <w:u w:val="single"/>
          <w:shd w:val="clear" w:color="auto" w:fill="FFFFFF"/>
        </w:rPr>
        <w:t>15</w:t>
      </w:r>
      <w:r>
        <w:rPr>
          <w:rFonts w:hint="eastAsia" w:ascii="宋体" w:hAnsi="宋体" w:cs="宋体"/>
          <w:color w:val="auto"/>
          <w:sz w:val="24"/>
          <w:szCs w:val="24"/>
          <w:u w:val="single"/>
          <w:shd w:val="clear" w:color="auto" w:fill="FFFFFF"/>
          <w:lang w:val="en-US" w:eastAsia="zh-CN"/>
        </w:rPr>
        <w:t>515985875</w:t>
      </w:r>
      <w:r>
        <w:rPr>
          <w:rFonts w:hint="eastAsia" w:ascii="宋体" w:hAnsi="宋体" w:cs="宋体"/>
          <w:color w:val="auto"/>
          <w:sz w:val="24"/>
          <w:szCs w:val="24"/>
          <w:shd w:val="clear" w:color="auto" w:fill="FFFFFF"/>
        </w:rPr>
        <w:t xml:space="preserve">（签字字样）  </w:t>
      </w:r>
      <w:r>
        <w:rPr>
          <w:rFonts w:ascii="宋体" w:hAnsi="宋体" w:cs="宋体"/>
          <w:color w:val="auto"/>
          <w:sz w:val="24"/>
          <w:szCs w:val="24"/>
          <w:shd w:val="clear" w:color="auto" w:fill="FFFFFF"/>
        </w:rPr>
        <w:t xml:space="preserve"> </w:t>
      </w:r>
      <w:r>
        <w:rPr>
          <w:rFonts w:hint="eastAsia" w:ascii="宋体" w:hAnsi="宋体" w:cs="宋体"/>
          <w:color w:val="auto"/>
          <w:sz w:val="24"/>
          <w:szCs w:val="24"/>
          <w:shd w:val="clear" w:color="auto" w:fill="FFFFFF"/>
        </w:rPr>
        <w:t xml:space="preserve">                   </w:t>
      </w:r>
    </w:p>
    <w:p w14:paraId="5F9B8B3F">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highlight w:val="none"/>
          <w:shd w:val="clear" w:color="auto" w:fill="FFFFFF"/>
        </w:rPr>
        <w:t>乙方授权</w:t>
      </w:r>
      <w:r>
        <w:rPr>
          <w:rFonts w:hint="eastAsia" w:ascii="宋体" w:hAnsi="宋体" w:cs="宋体"/>
          <w:color w:val="auto"/>
          <w:sz w:val="24"/>
          <w:szCs w:val="24"/>
          <w:highlight w:val="none"/>
          <w:u w:val="single"/>
          <w:shd w:val="clear" w:color="auto" w:fill="FFFFFF"/>
          <w:lang w:val="en-US" w:eastAsia="zh-CN"/>
        </w:rPr>
        <w:t>王东伟</w:t>
      </w:r>
      <w:r>
        <w:rPr>
          <w:rFonts w:hint="eastAsia" w:ascii="宋体" w:hAnsi="宋体" w:cs="宋体"/>
          <w:color w:val="auto"/>
          <w:sz w:val="24"/>
          <w:szCs w:val="24"/>
          <w:highlight w:val="none"/>
          <w:shd w:val="clear" w:color="auto" w:fill="FFFFFF"/>
        </w:rPr>
        <w:t>全权对接，电话：</w:t>
      </w:r>
      <w:r>
        <w:rPr>
          <w:rFonts w:hint="eastAsia" w:ascii="宋体" w:hAnsi="宋体" w:cs="宋体"/>
          <w:color w:val="auto"/>
          <w:sz w:val="24"/>
          <w:szCs w:val="24"/>
          <w:highlight w:val="none"/>
          <w:u w:val="single"/>
          <w:shd w:val="clear" w:color="auto" w:fill="FFFFFF"/>
          <w:lang w:eastAsia="zh-CN"/>
        </w:rPr>
        <w:t>1</w:t>
      </w:r>
      <w:r>
        <w:rPr>
          <w:rFonts w:hint="eastAsia" w:ascii="宋体" w:hAnsi="宋体" w:cs="宋体"/>
          <w:color w:val="auto"/>
          <w:sz w:val="24"/>
          <w:szCs w:val="24"/>
          <w:highlight w:val="none"/>
          <w:u w:val="single"/>
          <w:shd w:val="clear" w:color="auto" w:fill="FFFFFF"/>
          <w:lang w:val="en-US" w:eastAsia="zh-CN"/>
        </w:rPr>
        <w:t>3213685552</w:t>
      </w:r>
      <w:r>
        <w:rPr>
          <w:rFonts w:hint="eastAsia" w:ascii="宋体" w:hAnsi="宋体" w:cs="宋体"/>
          <w:color w:val="auto"/>
          <w:sz w:val="24"/>
          <w:szCs w:val="24"/>
          <w:highlight w:val="none"/>
          <w:shd w:val="clear" w:color="auto" w:fill="FFFFFF"/>
        </w:rPr>
        <w:t xml:space="preserve">（签字字样）      </w:t>
      </w:r>
      <w:r>
        <w:rPr>
          <w:rFonts w:ascii="宋体" w:hAnsi="宋体" w:cs="宋体"/>
          <w:color w:val="auto"/>
          <w:sz w:val="24"/>
          <w:szCs w:val="24"/>
          <w:highlight w:val="none"/>
          <w:shd w:val="clear" w:color="auto" w:fill="FFFFFF"/>
        </w:rPr>
        <w:t xml:space="preserve"> </w:t>
      </w:r>
      <w:r>
        <w:rPr>
          <w:rFonts w:hint="eastAsia" w:ascii="宋体" w:hAnsi="宋体" w:cs="宋体"/>
          <w:color w:val="auto"/>
          <w:sz w:val="24"/>
          <w:szCs w:val="24"/>
          <w:shd w:val="clear" w:color="auto" w:fill="FFFFFF"/>
        </w:rPr>
        <w:t xml:space="preserve">   </w:t>
      </w:r>
    </w:p>
    <w:p w14:paraId="22B66AB1">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如以上授权代理人发生变动，一方须提前三个工作日以书面形式告知另一方，自另一方确认收到告知之日起生效，否则因人</w:t>
      </w:r>
      <w:bookmarkStart w:id="1" w:name="_GoBack"/>
      <w:bookmarkEnd w:id="1"/>
      <w:r>
        <w:rPr>
          <w:rFonts w:hint="eastAsia" w:ascii="宋体" w:hAnsi="宋体" w:cs="宋体"/>
          <w:color w:val="auto"/>
          <w:sz w:val="24"/>
          <w:szCs w:val="24"/>
          <w:shd w:val="clear" w:color="auto" w:fill="FFFFFF"/>
        </w:rPr>
        <w:t>员变动带来的不利后果由该一方自行承担。</w:t>
      </w:r>
    </w:p>
    <w:p w14:paraId="1CA71653">
      <w:pPr>
        <w:spacing w:line="360" w:lineRule="auto"/>
        <w:rPr>
          <w:rFonts w:ascii="宋体" w:hAnsi="宋体"/>
          <w:b/>
          <w:color w:val="auto"/>
          <w:sz w:val="24"/>
        </w:rPr>
      </w:pPr>
      <w:r>
        <w:rPr>
          <w:rFonts w:hint="eastAsia" w:ascii="宋体" w:hAnsi="宋体"/>
          <w:b/>
          <w:color w:val="auto"/>
          <w:sz w:val="24"/>
        </w:rPr>
        <w:t>第六条：</w:t>
      </w:r>
      <w:r>
        <w:rPr>
          <w:rFonts w:hint="eastAsia" w:ascii="宋体" w:hAnsi="宋体" w:cs="微软雅黑"/>
          <w:b/>
          <w:color w:val="auto"/>
          <w:sz w:val="24"/>
          <w:szCs w:val="24"/>
        </w:rPr>
        <w:t>佣金支付时间</w:t>
      </w:r>
    </w:p>
    <w:p w14:paraId="40B5C2C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支付时间及方式：甲方按照首付款到位且通过银行面签且网签完成的房源佣金，甲方与乙方在次月15日前核对上月1号至31号符合计佣房源佣金。甲方须在明细核对完成之日起2日内将当期佣金数额告知给乙方，乙方收款前须开具合法等额有效的增值税专用发票给甲方，甲方收到乙方发票之日起5个工作日内将前述应付佣金支付至乙方账号。</w:t>
      </w:r>
    </w:p>
    <w:p w14:paraId="55A2DD6D">
      <w:pPr>
        <w:spacing w:line="360" w:lineRule="auto"/>
        <w:ind w:firstLine="480" w:firstLineChars="200"/>
        <w:rPr>
          <w:rFonts w:hint="eastAsia" w:ascii="宋体" w:hAnsi="宋体" w:cs="微软雅黑"/>
          <w:color w:val="auto"/>
          <w:sz w:val="24"/>
          <w:szCs w:val="24"/>
          <w:highlight w:val="none"/>
        </w:rPr>
      </w:pPr>
      <w:r>
        <w:rPr>
          <w:rFonts w:hint="eastAsia" w:ascii="宋体" w:hAnsi="宋体" w:cs="微软雅黑"/>
          <w:color w:val="auto"/>
          <w:sz w:val="24"/>
          <w:szCs w:val="24"/>
          <w:highlight w:val="none"/>
        </w:rPr>
        <w:t>乙方账号信息如下，乙方保证其提供的银行账号能够收到汇款，否则后果自负：</w:t>
      </w:r>
    </w:p>
    <w:p w14:paraId="7B17A5AD">
      <w:pPr>
        <w:spacing w:line="360" w:lineRule="auto"/>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公司全称：</w:t>
      </w:r>
      <w:r>
        <w:rPr>
          <w:rFonts w:hint="eastAsia" w:ascii="宋体" w:hAnsi="宋体" w:cs="微软雅黑"/>
          <w:color w:val="auto"/>
          <w:sz w:val="24"/>
          <w:szCs w:val="24"/>
          <w:highlight w:val="none"/>
          <w:lang w:val="en-US" w:eastAsia="zh-CN"/>
        </w:rPr>
        <w:t>洛阳懿居房产经纪有限公司</w:t>
      </w:r>
      <w:r>
        <w:rPr>
          <w:rFonts w:hint="eastAsia" w:ascii="宋体" w:hAnsi="宋体" w:cs="微软雅黑"/>
          <w:color w:val="auto"/>
          <w:sz w:val="24"/>
          <w:szCs w:val="24"/>
          <w:highlight w:val="none"/>
        </w:rPr>
        <w:t xml:space="preserve">        </w:t>
      </w:r>
    </w:p>
    <w:p w14:paraId="5A80C2CD">
      <w:pPr>
        <w:spacing w:line="360" w:lineRule="auto"/>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银行账号：</w:t>
      </w:r>
      <w:r>
        <w:rPr>
          <w:rFonts w:hint="eastAsia" w:ascii="宋体" w:hAnsi="宋体" w:cs="微软雅黑"/>
          <w:color w:val="auto"/>
          <w:sz w:val="24"/>
          <w:szCs w:val="24"/>
          <w:highlight w:val="none"/>
          <w:lang w:eastAsia="zh-CN"/>
        </w:rPr>
        <w:t>9</w:t>
      </w:r>
      <w:r>
        <w:rPr>
          <w:rFonts w:hint="eastAsia" w:ascii="宋体" w:hAnsi="宋体" w:cs="微软雅黑"/>
          <w:color w:val="auto"/>
          <w:sz w:val="24"/>
          <w:szCs w:val="24"/>
          <w:highlight w:val="none"/>
          <w:lang w:val="en-US" w:eastAsia="zh-CN"/>
        </w:rPr>
        <w:t>41039013000181981</w:t>
      </w:r>
      <w:r>
        <w:rPr>
          <w:rFonts w:hint="eastAsia" w:ascii="宋体" w:hAnsi="宋体" w:cs="微软雅黑"/>
          <w:color w:val="auto"/>
          <w:sz w:val="24"/>
          <w:szCs w:val="24"/>
          <w:highlight w:val="none"/>
        </w:rPr>
        <w:t xml:space="preserve">         </w:t>
      </w:r>
    </w:p>
    <w:p w14:paraId="43DD02CB">
      <w:pPr>
        <w:spacing w:line="360" w:lineRule="auto"/>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开户银行：</w:t>
      </w:r>
      <w:r>
        <w:rPr>
          <w:rFonts w:hint="eastAsia" w:ascii="宋体" w:hAnsi="宋体" w:cs="微软雅黑"/>
          <w:color w:val="auto"/>
          <w:sz w:val="24"/>
          <w:szCs w:val="24"/>
          <w:highlight w:val="none"/>
          <w:lang w:val="en-US" w:eastAsia="zh-CN"/>
        </w:rPr>
        <w:t>中国邮政储蓄银行股份有限公司洛宁县长虹支行</w:t>
      </w:r>
      <w:r>
        <w:rPr>
          <w:rFonts w:hint="eastAsia" w:ascii="宋体" w:hAnsi="宋体" w:cs="微软雅黑"/>
          <w:color w:val="auto"/>
          <w:sz w:val="24"/>
          <w:szCs w:val="24"/>
          <w:highlight w:val="none"/>
        </w:rPr>
        <w:t xml:space="preserve">   </w:t>
      </w:r>
      <w:r>
        <w:rPr>
          <w:rFonts w:hint="eastAsia" w:ascii="宋体" w:hAnsi="宋体" w:cs="微软雅黑"/>
          <w:color w:val="auto"/>
          <w:sz w:val="24"/>
          <w:szCs w:val="24"/>
          <w:highlight w:val="none"/>
        </w:rPr>
        <w:tab/>
      </w:r>
      <w:r>
        <w:rPr>
          <w:rFonts w:ascii="宋体" w:hAnsi="宋体" w:cs="微软雅黑"/>
          <w:color w:val="auto"/>
          <w:sz w:val="24"/>
          <w:szCs w:val="24"/>
          <w:highlight w:val="none"/>
        </w:rPr>
        <w:t xml:space="preserve"> </w:t>
      </w:r>
    </w:p>
    <w:p w14:paraId="03F90111">
      <w:pPr>
        <w:spacing w:line="360" w:lineRule="auto"/>
        <w:outlineLvl w:val="2"/>
        <w:rPr>
          <w:rFonts w:ascii="宋体" w:hAnsi="宋体" w:cs="宋体"/>
          <w:b/>
          <w:color w:val="auto"/>
          <w:sz w:val="24"/>
        </w:rPr>
      </w:pPr>
      <w:r>
        <w:rPr>
          <w:rFonts w:hint="eastAsia" w:ascii="宋体" w:hAnsi="宋体"/>
          <w:b/>
          <w:color w:val="auto"/>
          <w:sz w:val="24"/>
        </w:rPr>
        <w:t>第七条：</w:t>
      </w:r>
      <w:r>
        <w:rPr>
          <w:rFonts w:hint="eastAsia" w:ascii="宋体" w:hAnsi="宋体" w:cs="微软雅黑"/>
          <w:b/>
          <w:color w:val="auto"/>
          <w:sz w:val="24"/>
          <w:szCs w:val="24"/>
        </w:rPr>
        <w:t>乙方销售服务支持</w:t>
      </w:r>
    </w:p>
    <w:p w14:paraId="2950E0A3">
      <w:pPr>
        <w:spacing w:line="360" w:lineRule="auto"/>
        <w:ind w:firstLine="480" w:firstLineChars="200"/>
        <w:rPr>
          <w:rFonts w:hint="eastAsia" w:ascii="宋体" w:hAnsi="宋体" w:cs="微软雅黑"/>
          <w:color w:val="auto"/>
          <w:sz w:val="24"/>
          <w:szCs w:val="24"/>
          <w:highlight w:val="cyan"/>
        </w:rPr>
      </w:pPr>
      <w:r>
        <w:rPr>
          <w:rFonts w:hint="eastAsia" w:ascii="宋体" w:hAnsi="宋体" w:cs="微软雅黑"/>
          <w:color w:val="auto"/>
          <w:sz w:val="24"/>
          <w:szCs w:val="24"/>
        </w:rPr>
        <w:t>1、乙方须在其销售中心或门店及时摆设和更新甲方提供的项目的相关展架和产品宣传等相关资料。</w:t>
      </w:r>
    </w:p>
    <w:p w14:paraId="698E545C">
      <w:pPr>
        <w:snapToGrid w:val="0"/>
        <w:spacing w:line="360" w:lineRule="auto"/>
        <w:ind w:firstLine="465"/>
        <w:rPr>
          <w:rFonts w:ascii="宋体" w:hAnsi="宋体" w:cs="微软雅黑"/>
          <w:color w:val="auto"/>
          <w:sz w:val="24"/>
          <w:szCs w:val="24"/>
        </w:rPr>
      </w:pPr>
      <w:r>
        <w:rPr>
          <w:rFonts w:hint="eastAsia" w:ascii="宋体" w:hAnsi="宋体" w:cs="微软雅黑"/>
          <w:color w:val="auto"/>
          <w:sz w:val="24"/>
          <w:szCs w:val="24"/>
        </w:rPr>
        <w:t>2、乙方工作人员每月不少于2次接受甲方项目知识培训及项目现场参观交流。</w:t>
      </w:r>
    </w:p>
    <w:p w14:paraId="4974E00C">
      <w:pPr>
        <w:snapToGrid w:val="0"/>
        <w:spacing w:line="360" w:lineRule="auto"/>
        <w:ind w:firstLine="465"/>
        <w:rPr>
          <w:rFonts w:hint="eastAsia" w:ascii="宋体" w:hAnsi="宋体" w:cs="微软雅黑"/>
          <w:color w:val="auto"/>
          <w:sz w:val="24"/>
          <w:szCs w:val="24"/>
        </w:rPr>
      </w:pPr>
      <w:r>
        <w:rPr>
          <w:rFonts w:ascii="宋体" w:hAnsi="宋体" w:cs="微软雅黑"/>
          <w:color w:val="auto"/>
          <w:sz w:val="24"/>
          <w:szCs w:val="24"/>
        </w:rPr>
        <w:t>3</w:t>
      </w:r>
      <w:r>
        <w:rPr>
          <w:rFonts w:hint="eastAsia" w:ascii="宋体" w:hAnsi="宋体" w:cs="微软雅黑"/>
          <w:color w:val="auto"/>
          <w:sz w:val="24"/>
          <w:szCs w:val="24"/>
        </w:rPr>
        <w:t>、乙方每月不少于2次组织客户到甲方项目做“周末聚焦销售”工作。</w:t>
      </w:r>
    </w:p>
    <w:p w14:paraId="22BCAB81">
      <w:pPr>
        <w:snapToGrid w:val="0"/>
        <w:spacing w:line="360" w:lineRule="auto"/>
        <w:ind w:firstLine="465"/>
        <w:rPr>
          <w:rFonts w:hint="eastAsia" w:ascii="宋体" w:hAnsi="宋体" w:cs="微软雅黑"/>
          <w:color w:val="auto"/>
          <w:sz w:val="24"/>
          <w:szCs w:val="24"/>
        </w:rPr>
      </w:pPr>
      <w:r>
        <w:rPr>
          <w:rFonts w:ascii="宋体" w:hAnsi="宋体" w:cs="微软雅黑"/>
          <w:color w:val="auto"/>
          <w:sz w:val="24"/>
          <w:szCs w:val="24"/>
        </w:rPr>
        <w:t>4</w:t>
      </w:r>
      <w:r>
        <w:rPr>
          <w:rFonts w:hint="eastAsia" w:ascii="宋体" w:hAnsi="宋体" w:cs="微软雅黑"/>
          <w:color w:val="auto"/>
          <w:sz w:val="24"/>
          <w:szCs w:val="24"/>
        </w:rPr>
        <w:t>、乙方与甲方保持密切的沟通，根据市场变化情况配合甲方对该项目营销策划等工作进行及时调整。</w:t>
      </w:r>
    </w:p>
    <w:p w14:paraId="44E12967">
      <w:pPr>
        <w:spacing w:line="360" w:lineRule="auto"/>
        <w:rPr>
          <w:rFonts w:ascii="宋体" w:hAnsi="宋体"/>
          <w:b/>
          <w:bCs/>
          <w:color w:val="auto"/>
          <w:sz w:val="24"/>
          <w:szCs w:val="32"/>
        </w:rPr>
      </w:pPr>
      <w:r>
        <w:rPr>
          <w:rFonts w:hint="eastAsia" w:ascii="宋体" w:hAnsi="宋体"/>
          <w:b/>
          <w:bCs/>
          <w:color w:val="auto"/>
          <w:sz w:val="24"/>
          <w:szCs w:val="32"/>
        </w:rPr>
        <w:t>第八条：</w:t>
      </w:r>
      <w:r>
        <w:rPr>
          <w:rFonts w:hint="eastAsia" w:ascii="宋体" w:hAnsi="宋体" w:cs="微软雅黑"/>
          <w:b/>
          <w:color w:val="auto"/>
          <w:sz w:val="24"/>
          <w:szCs w:val="24"/>
        </w:rPr>
        <w:t>销售房源和价格</w:t>
      </w:r>
      <w:r>
        <w:rPr>
          <w:rFonts w:ascii="宋体" w:hAnsi="宋体"/>
          <w:b/>
          <w:bCs/>
          <w:color w:val="auto"/>
          <w:sz w:val="24"/>
          <w:szCs w:val="32"/>
        </w:rPr>
        <w:t> </w:t>
      </w:r>
    </w:p>
    <w:p w14:paraId="64FC3957">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销售房源由甲方指定提供（指定货量根据销售情况的变化及时更新及调整），并以书面形式向乙方提供房源统计。乙方应在查询由甲方提供的推介系统了解房源信息并确认处于可售状态后方可向客户推荐意向单位，否则，该客户不被视为乙方推介客户，与此同时，造成的责任及损失亦由乙方承担；客户如有意向单位，乙方需先对意向单位与甲方进行确认。</w:t>
      </w:r>
    </w:p>
    <w:p w14:paraId="2D5A2F72">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2、乙方销售价格和甲方现场销售报价保持一致，具体以甲方提供或不时调整的销售价目销售价目表为准。如甲方对价格进行调整，则甲方需随时通知乙方。</w:t>
      </w:r>
    </w:p>
    <w:p w14:paraId="1251C3F1">
      <w:pPr>
        <w:spacing w:line="360" w:lineRule="auto"/>
        <w:rPr>
          <w:rFonts w:hint="eastAsia" w:ascii="宋体" w:hAnsi="宋体"/>
          <w:b/>
          <w:bCs/>
          <w:color w:val="auto"/>
          <w:sz w:val="24"/>
          <w:szCs w:val="32"/>
        </w:rPr>
      </w:pPr>
      <w:r>
        <w:rPr>
          <w:rFonts w:hint="eastAsia" w:ascii="宋体" w:hAnsi="宋体"/>
          <w:b/>
          <w:bCs/>
          <w:color w:val="auto"/>
          <w:sz w:val="24"/>
          <w:szCs w:val="32"/>
        </w:rPr>
        <w:t>第九条：居间费用</w:t>
      </w:r>
    </w:p>
    <w:p w14:paraId="504AB7AF">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lang w:val="zh-CN"/>
        </w:rPr>
        <w:t>不管乙方是否促成其招揽的客户与甲方签订《</w:t>
      </w:r>
      <w:r>
        <w:rPr>
          <w:rFonts w:hint="eastAsia" w:ascii="宋体" w:hAnsi="宋体" w:cs="微软雅黑"/>
          <w:color w:val="auto"/>
          <w:sz w:val="24"/>
          <w:szCs w:val="24"/>
        </w:rPr>
        <w:t>商品房</w:t>
      </w:r>
      <w:r>
        <w:rPr>
          <w:rFonts w:hint="eastAsia" w:ascii="宋体" w:hAnsi="宋体" w:cs="微软雅黑"/>
          <w:color w:val="auto"/>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14:paraId="0C885BA4">
      <w:pPr>
        <w:spacing w:line="360" w:lineRule="auto"/>
        <w:rPr>
          <w:rFonts w:hint="eastAsia" w:ascii="宋体" w:hAnsi="宋体" w:cs="微软雅黑"/>
          <w:b/>
          <w:color w:val="auto"/>
          <w:sz w:val="24"/>
          <w:szCs w:val="24"/>
        </w:rPr>
      </w:pPr>
      <w:r>
        <w:rPr>
          <w:rFonts w:hint="eastAsia" w:ascii="宋体" w:hAnsi="宋体"/>
          <w:b/>
          <w:bCs/>
          <w:color w:val="auto"/>
          <w:sz w:val="24"/>
          <w:szCs w:val="32"/>
        </w:rPr>
        <w:t>第十条：</w:t>
      </w:r>
      <w:r>
        <w:rPr>
          <w:rFonts w:hint="eastAsia" w:ascii="宋体" w:hAnsi="宋体" w:cs="微软雅黑"/>
          <w:b/>
          <w:color w:val="auto"/>
          <w:sz w:val="24"/>
          <w:szCs w:val="24"/>
        </w:rPr>
        <w:t>甲方责任</w:t>
      </w:r>
    </w:p>
    <w:p w14:paraId="38500203">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1、甲方保证该项目的合法性和真实性，若客户购买房产的实际情况与其提供的材料不符合或产权不清，所发生的纠纷均由甲方负责。</w:t>
      </w:r>
    </w:p>
    <w:p w14:paraId="6984B635">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2、甲方对乙方人员进行该项目必要的项目情况及销售政策等培训，甲方指派专人负责与乙方日常业务工作的协调和联系。</w:t>
      </w:r>
    </w:p>
    <w:p w14:paraId="6ACE4588">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3、居间合作期内，甲方向乙方提供该项目宣传片及包括宣传单页设计稿及《认购书》、《买卖合同》等项目资料复印件。</w:t>
      </w:r>
    </w:p>
    <w:p w14:paraId="339335D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4、甲方应按时按本合同的规定向乙方支付佣金。</w:t>
      </w:r>
    </w:p>
    <w:p w14:paraId="5EF8657B">
      <w:pPr>
        <w:spacing w:line="360" w:lineRule="auto"/>
        <w:ind w:firstLine="480" w:firstLineChars="200"/>
        <w:rPr>
          <w:rFonts w:hint="eastAsia" w:ascii="宋体" w:hAnsi="宋体" w:cs="微软雅黑"/>
          <w:color w:val="auto"/>
          <w:sz w:val="24"/>
          <w:szCs w:val="24"/>
        </w:rPr>
      </w:pPr>
      <w:r>
        <w:rPr>
          <w:rFonts w:ascii="宋体" w:hAnsi="宋体" w:cs="微软雅黑"/>
          <w:color w:val="auto"/>
          <w:sz w:val="24"/>
          <w:szCs w:val="24"/>
        </w:rPr>
        <w:t>5</w:t>
      </w:r>
      <w:r>
        <w:rPr>
          <w:rFonts w:hint="eastAsia" w:ascii="宋体" w:hAnsi="宋体" w:cs="微软雅黑"/>
          <w:color w:val="auto"/>
          <w:sz w:val="24"/>
          <w:szCs w:val="24"/>
        </w:rPr>
        <w:t>、甲方不干涉乙方在本合同约定范围内的居间工作，但甲方有权进行监督，以保证项目及企业的品牌形象。</w:t>
      </w:r>
    </w:p>
    <w:p w14:paraId="1B2CC939">
      <w:pPr>
        <w:spacing w:line="360" w:lineRule="auto"/>
        <w:ind w:firstLine="480" w:firstLineChars="200"/>
        <w:rPr>
          <w:rFonts w:hint="eastAsia" w:ascii="宋体" w:hAnsi="宋体" w:cs="微软雅黑"/>
          <w:color w:val="auto"/>
          <w:sz w:val="24"/>
          <w:szCs w:val="24"/>
        </w:rPr>
      </w:pPr>
      <w:r>
        <w:rPr>
          <w:rFonts w:ascii="宋体" w:hAnsi="宋体" w:cs="微软雅黑"/>
          <w:color w:val="auto"/>
          <w:sz w:val="24"/>
          <w:szCs w:val="24"/>
        </w:rPr>
        <w:t>6</w:t>
      </w:r>
      <w:r>
        <w:rPr>
          <w:rFonts w:hint="eastAsia" w:ascii="宋体" w:hAnsi="宋体" w:cs="微软雅黑"/>
          <w:color w:val="auto"/>
          <w:sz w:val="24"/>
          <w:szCs w:val="24"/>
        </w:rPr>
        <w:t>、甲方及时透明地协助乙方做好销售过程的各项工作和客户归属业绩确认等工作。</w:t>
      </w:r>
    </w:p>
    <w:p w14:paraId="0E825C3B">
      <w:pPr>
        <w:spacing w:line="360" w:lineRule="auto"/>
        <w:ind w:firstLine="480" w:firstLineChars="200"/>
        <w:rPr>
          <w:rFonts w:hint="eastAsia" w:ascii="宋体" w:hAnsi="宋体"/>
          <w:b/>
          <w:bCs/>
          <w:color w:val="auto"/>
          <w:sz w:val="24"/>
          <w:szCs w:val="32"/>
        </w:rPr>
      </w:pPr>
      <w:r>
        <w:rPr>
          <w:rFonts w:ascii="宋体" w:hAnsi="宋体" w:cs="微软雅黑"/>
          <w:color w:val="auto"/>
          <w:sz w:val="24"/>
          <w:szCs w:val="24"/>
        </w:rPr>
        <w:t>7</w:t>
      </w:r>
      <w:r>
        <w:rPr>
          <w:rFonts w:hint="eastAsia" w:ascii="宋体" w:hAnsi="宋体" w:cs="微软雅黑"/>
          <w:color w:val="auto"/>
          <w:sz w:val="24"/>
          <w:szCs w:val="24"/>
        </w:rPr>
        <w:t>、甲方遵守与乙方推荐客户所签署的协议文件、法律文书的全部条款并独立承担相关责任，乙方有义务按甲方要求输出合同条款，若因乙方原因发生纠纷，乙方应承担相应责任。</w:t>
      </w:r>
    </w:p>
    <w:p w14:paraId="611AB93B">
      <w:pPr>
        <w:spacing w:line="360" w:lineRule="auto"/>
        <w:rPr>
          <w:rFonts w:hint="eastAsia" w:ascii="宋体" w:hAnsi="宋体" w:cs="微软雅黑"/>
          <w:b/>
          <w:color w:val="auto"/>
          <w:sz w:val="24"/>
          <w:szCs w:val="24"/>
        </w:rPr>
      </w:pPr>
      <w:r>
        <w:rPr>
          <w:rFonts w:hint="eastAsia" w:ascii="宋体" w:hAnsi="宋体"/>
          <w:b/>
          <w:bCs/>
          <w:color w:val="auto"/>
          <w:sz w:val="24"/>
          <w:szCs w:val="32"/>
        </w:rPr>
        <w:t>第十一条：</w:t>
      </w:r>
      <w:r>
        <w:rPr>
          <w:rFonts w:hint="eastAsia" w:ascii="宋体" w:hAnsi="宋体" w:cs="微软雅黑"/>
          <w:b/>
          <w:color w:val="auto"/>
          <w:sz w:val="24"/>
          <w:szCs w:val="24"/>
        </w:rPr>
        <w:t>乙方的责任</w:t>
      </w:r>
    </w:p>
    <w:p w14:paraId="376BF40B">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1、保证具有从事本合同约定的居间服务资质条件并具有签订本合同的民事主体资格，若乙方没有资格的，甲方有权解除合同，且不支付合作的佣金，由此造成的甲方损失，乙方应承担赔偿责任。</w:t>
      </w:r>
    </w:p>
    <w:p w14:paraId="784EF7C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14:paraId="658DC780">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14:paraId="5A2F7790">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4、乙方应根据甲方提供的该项目的特性和状况向客户作如实介绍，尽力促成销售，不得夸大、隐瞒或虚构项目情况。</w:t>
      </w:r>
    </w:p>
    <w:p w14:paraId="14C4F4B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5、乙方应严格按照甲方确定的宣传单张设计稿印刷宣传单张，如乙方擅自调整宣传单张设计稿样式或增加内容的，甲方有权立即解除合同；如乙方违反本条约定给甲方造成损失的，乙方应承担赔偿责任。</w:t>
      </w:r>
    </w:p>
    <w:p w14:paraId="0FAB663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6、乙方居间销售的房产的准确面积和价格，以甲方交付的签章资料为准，合同期间如有变更，乙方按甲方书面通知为准。</w:t>
      </w:r>
    </w:p>
    <w:p w14:paraId="746CB70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7、乙方不得以自己的名义或甲方的名义收取客户（包括定金、佣金在内）任何费用，一经发现即取消居间资格、罚没所有未发佣金并保留追诉的权利。</w:t>
      </w:r>
    </w:p>
    <w:p w14:paraId="4B5BFAC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8、乙方不得采取向客户现金返利及其它任何变相返利的方式招揽客户。</w:t>
      </w:r>
    </w:p>
    <w:p w14:paraId="34EB418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9、</w:t>
      </w:r>
      <w:r>
        <w:rPr>
          <w:rFonts w:hint="eastAsia" w:ascii="宋体" w:hAnsi="宋体" w:cs="微软雅黑"/>
          <w:color w:val="auto"/>
          <w:sz w:val="24"/>
          <w:szCs w:val="24"/>
          <w:lang w:val="en-US" w:eastAsia="zh-CN"/>
        </w:rPr>
        <w:t>乙方</w:t>
      </w:r>
      <w:r>
        <w:rPr>
          <w:rFonts w:hint="eastAsia" w:ascii="宋体" w:hAnsi="宋体" w:cs="微软雅黑"/>
          <w:color w:val="auto"/>
          <w:sz w:val="24"/>
          <w:szCs w:val="24"/>
        </w:rPr>
        <w:t>不得采取有损甲方商业利益、信誉和形象的行为，不得与其招揽的客户或其他第三人恶意串通损害甲方利益。</w:t>
      </w:r>
    </w:p>
    <w:p w14:paraId="50142FC5">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10、若甲方与客户在签订、履行《商品房认购书》、《</w:t>
      </w:r>
      <w:r>
        <w:rPr>
          <w:rFonts w:hint="eastAsia" w:ascii="宋体" w:hAnsi="宋体" w:cs="微软雅黑"/>
          <w:color w:val="auto"/>
          <w:sz w:val="24"/>
          <w:szCs w:val="24"/>
          <w:lang w:val="en-US" w:eastAsia="zh-CN"/>
        </w:rPr>
        <w:t>商品房</w:t>
      </w:r>
      <w:r>
        <w:rPr>
          <w:rFonts w:hint="eastAsia" w:ascii="宋体" w:hAnsi="宋体" w:cs="微软雅黑"/>
          <w:color w:val="auto"/>
          <w:sz w:val="24"/>
          <w:szCs w:val="24"/>
        </w:rPr>
        <w:t>买卖合同》等相关合同文件过程中发生争议和纠纷，乙方应协助甲方进行处理。</w:t>
      </w:r>
    </w:p>
    <w:p w14:paraId="0D2E1836">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sz w:val="24"/>
          <w:szCs w:val="24"/>
        </w:rPr>
        <w:t>11、乙方承诺：必须于甲方发放当期佣金后7日内向其销售顾问发放佣金，佣金发放比例不少于佣金60%—70%，否则，甲方有权立即解除本合同。</w:t>
      </w:r>
    </w:p>
    <w:p w14:paraId="075278D6">
      <w:pPr>
        <w:spacing w:line="360" w:lineRule="auto"/>
        <w:rPr>
          <w:rFonts w:hint="eastAsia" w:ascii="宋体" w:hAnsi="宋体" w:cs="微软雅黑"/>
          <w:color w:val="auto"/>
          <w:kern w:val="28"/>
          <w:sz w:val="24"/>
          <w:szCs w:val="24"/>
        </w:rPr>
      </w:pPr>
      <w:r>
        <w:rPr>
          <w:rFonts w:hint="eastAsia" w:ascii="宋体" w:hAnsi="宋体" w:cs="微软雅黑"/>
          <w:color w:val="auto"/>
          <w:kern w:val="28"/>
          <w:sz w:val="24"/>
          <w:szCs w:val="24"/>
        </w:rPr>
        <w:t xml:space="preserve">    12、乙方须成立甲方项目团队，并将团队架构及人员信息于本合同签订后5日内提供给甲方。</w:t>
      </w:r>
    </w:p>
    <w:p w14:paraId="29D5AB93">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14:paraId="287470F2">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14、本合同签订后，甲方为代理销售或居间销售操作规范所制定的一切文件，均视为本合同的组成部分，乙方均予以认可并遵照执行，且乙方不因此向甲方提出任何索赔或补偿要求。</w:t>
      </w:r>
    </w:p>
    <w:p w14:paraId="6D4260A8">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15、乙方客户到访后，乙方有责任配合甲方置业顾问促成成交。</w:t>
      </w:r>
    </w:p>
    <w:p w14:paraId="01FE0147">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1</w:t>
      </w:r>
      <w:r>
        <w:rPr>
          <w:rFonts w:ascii="宋体" w:hAnsi="宋体" w:cs="微软雅黑"/>
          <w:color w:val="auto"/>
          <w:kern w:val="28"/>
          <w:sz w:val="24"/>
          <w:szCs w:val="24"/>
        </w:rPr>
        <w:t>6</w:t>
      </w:r>
      <w:r>
        <w:rPr>
          <w:rFonts w:hint="eastAsia" w:ascii="宋体" w:hAnsi="宋体" w:cs="微软雅黑"/>
          <w:color w:val="auto"/>
          <w:kern w:val="28"/>
          <w:sz w:val="24"/>
          <w:szCs w:val="24"/>
        </w:rPr>
        <w:t>、乙方不得以任何事由、利诱等方式恶意引导客户退房，如出现此情况，按1</w:t>
      </w:r>
      <w:r>
        <w:rPr>
          <w:rFonts w:ascii="宋体" w:hAnsi="宋体" w:cs="微软雅黑"/>
          <w:color w:val="auto"/>
          <w:kern w:val="28"/>
          <w:sz w:val="24"/>
          <w:szCs w:val="24"/>
        </w:rPr>
        <w:t>0000</w:t>
      </w:r>
      <w:r>
        <w:rPr>
          <w:rFonts w:hint="eastAsia" w:ascii="宋体" w:hAnsi="宋体" w:cs="微软雅黑"/>
          <w:color w:val="auto"/>
          <w:kern w:val="28"/>
          <w:sz w:val="24"/>
          <w:szCs w:val="24"/>
        </w:rPr>
        <w:t>元/人向甲方支付违约金。</w:t>
      </w:r>
    </w:p>
    <w:p w14:paraId="2F7AB0B5">
      <w:pPr>
        <w:spacing w:line="360" w:lineRule="auto"/>
        <w:rPr>
          <w:rFonts w:hint="eastAsia" w:ascii="宋体" w:hAnsi="宋体" w:cs="微软雅黑"/>
          <w:b/>
          <w:color w:val="auto"/>
          <w:sz w:val="24"/>
          <w:szCs w:val="24"/>
        </w:rPr>
      </w:pPr>
      <w:r>
        <w:rPr>
          <w:rFonts w:hint="eastAsia" w:ascii="宋体" w:hAnsi="宋体"/>
          <w:b/>
          <w:bCs/>
          <w:color w:val="auto"/>
          <w:sz w:val="24"/>
          <w:szCs w:val="32"/>
        </w:rPr>
        <w:t>第十二条：</w:t>
      </w:r>
      <w:r>
        <w:rPr>
          <w:rFonts w:hint="eastAsia" w:ascii="宋体" w:hAnsi="宋体" w:cs="微软雅黑"/>
          <w:b/>
          <w:color w:val="auto"/>
          <w:sz w:val="24"/>
          <w:szCs w:val="24"/>
        </w:rPr>
        <w:t>保密事项</w:t>
      </w:r>
    </w:p>
    <w:p w14:paraId="00333C9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0A570343">
      <w:pPr>
        <w:spacing w:line="360" w:lineRule="auto"/>
        <w:rPr>
          <w:rFonts w:hint="eastAsia" w:ascii="宋体" w:hAnsi="宋体" w:cs="微软雅黑"/>
          <w:b/>
          <w:color w:val="auto"/>
          <w:sz w:val="24"/>
          <w:szCs w:val="24"/>
        </w:rPr>
      </w:pPr>
      <w:r>
        <w:rPr>
          <w:rFonts w:hint="eastAsia" w:ascii="宋体" w:hAnsi="宋体"/>
          <w:b/>
          <w:bCs/>
          <w:color w:val="auto"/>
          <w:sz w:val="24"/>
          <w:szCs w:val="32"/>
        </w:rPr>
        <w:t>第十三条：</w:t>
      </w:r>
      <w:r>
        <w:rPr>
          <w:rFonts w:hint="eastAsia" w:ascii="宋体" w:hAnsi="宋体" w:cs="微软雅黑"/>
          <w:b/>
          <w:color w:val="auto"/>
          <w:sz w:val="24"/>
          <w:szCs w:val="24"/>
        </w:rPr>
        <w:t>违约责任</w:t>
      </w:r>
    </w:p>
    <w:p w14:paraId="34E611A3">
      <w:pPr>
        <w:spacing w:line="360" w:lineRule="auto"/>
        <w:ind w:firstLine="480" w:firstLineChars="200"/>
        <w:rPr>
          <w:rFonts w:hint="eastAsia" w:ascii="宋体" w:hAnsi="宋体" w:cs="微软雅黑"/>
          <w:strike/>
          <w:color w:val="auto"/>
          <w:sz w:val="24"/>
          <w:szCs w:val="24"/>
        </w:rPr>
      </w:pPr>
      <w:r>
        <w:rPr>
          <w:rFonts w:hint="eastAsia" w:ascii="宋体" w:hAnsi="宋体" w:cs="微软雅黑"/>
          <w:color w:val="auto"/>
          <w:sz w:val="24"/>
          <w:szCs w:val="24"/>
        </w:rPr>
        <w:t>1、甲方须保证其所提供的有关商品房销售的法律文件和资料的真实、合法、有效，否则，由此引起的一切责任和损失均由甲方承担。</w:t>
      </w:r>
    </w:p>
    <w:p w14:paraId="5A05CD1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2、若乙方违反本合同第十一条“</w:t>
      </w:r>
      <w:r>
        <w:rPr>
          <w:rFonts w:hint="eastAsia" w:ascii="宋体" w:hAnsi="宋体" w:cs="微软雅黑"/>
          <w:b/>
          <w:color w:val="auto"/>
          <w:sz w:val="24"/>
          <w:szCs w:val="24"/>
        </w:rPr>
        <w:t>乙方的责任</w:t>
      </w:r>
      <w:r>
        <w:rPr>
          <w:rFonts w:hint="eastAsia" w:ascii="宋体" w:hAnsi="宋体" w:cs="微软雅黑"/>
          <w:color w:val="auto"/>
          <w:sz w:val="24"/>
          <w:szCs w:val="24"/>
        </w:rPr>
        <w:t>”中第3、4、5、8、9款的，甲方有权解除合同同时要求乙方承担以下责任：</w:t>
      </w:r>
    </w:p>
    <w:p w14:paraId="72AEBE73">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 对于乙方违反约定成功促成销售的商品房不予以计提佣金；已经结算佣金的，则在乙方应发未发的佣金或其他尚未结算的款项中扣除。</w:t>
      </w:r>
    </w:p>
    <w:p w14:paraId="3BB87CB9">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 甲方有权即时责令乙方停止本项目的居间活动，有权终止本合同且不承担违约责任；</w:t>
      </w:r>
    </w:p>
    <w:p w14:paraId="7AE39820">
      <w:pPr>
        <w:spacing w:line="360" w:lineRule="auto"/>
        <w:ind w:firstLine="480" w:firstLineChars="200"/>
        <w:rPr>
          <w:rFonts w:ascii="宋体" w:hAnsi="宋体" w:cs="微软雅黑"/>
          <w:color w:val="auto"/>
          <w:sz w:val="24"/>
          <w:szCs w:val="24"/>
        </w:rPr>
      </w:pPr>
      <w:r>
        <w:rPr>
          <w:rFonts w:hint="eastAsia" w:ascii="宋体" w:hAnsi="宋体" w:cs="微软雅黑"/>
          <w:color w:val="auto"/>
          <w:sz w:val="24"/>
          <w:szCs w:val="24"/>
        </w:rPr>
        <w:t>（3） 乙方须承担由此给甲方或第三方造成的直接及间接经济损失，以及给甲方带来的名誉损失，上述赔偿金首先从甲方应付未付的佣金中进行扣除，不足部分，乙方须另行支付。</w:t>
      </w:r>
    </w:p>
    <w:p w14:paraId="325C294B">
      <w:pPr>
        <w:pStyle w:val="3"/>
        <w:rPr>
          <w:rFonts w:hint="eastAsia"/>
          <w:color w:val="auto"/>
        </w:rPr>
      </w:pPr>
      <w:r>
        <w:rPr>
          <w:rFonts w:hint="eastAsia"/>
          <w:color w:val="auto"/>
        </w:rPr>
        <w:t xml:space="preserve"> </w:t>
      </w:r>
      <w:r>
        <w:rPr>
          <w:color w:val="auto"/>
        </w:rPr>
        <w:t xml:space="preserve">   3</w:t>
      </w:r>
      <w:r>
        <w:rPr>
          <w:rFonts w:hint="eastAsia"/>
          <w:color w:val="auto"/>
        </w:rPr>
        <w:t>、除本合同另有约定外，乙方违反本合同约定给甲方造成损失的，乙方应赔偿全部损失。</w:t>
      </w:r>
    </w:p>
    <w:p w14:paraId="16FFB3AF">
      <w:pPr>
        <w:spacing w:line="360" w:lineRule="auto"/>
        <w:rPr>
          <w:rFonts w:hint="eastAsia" w:ascii="宋体" w:hAnsi="宋体" w:cs="微软雅黑"/>
          <w:b/>
          <w:color w:val="auto"/>
          <w:sz w:val="24"/>
          <w:szCs w:val="24"/>
        </w:rPr>
      </w:pPr>
      <w:r>
        <w:rPr>
          <w:rFonts w:hint="eastAsia" w:ascii="宋体" w:hAnsi="宋体"/>
          <w:b/>
          <w:bCs/>
          <w:color w:val="auto"/>
          <w:sz w:val="24"/>
          <w:szCs w:val="32"/>
        </w:rPr>
        <w:t>第十四条：</w:t>
      </w:r>
      <w:r>
        <w:rPr>
          <w:rFonts w:hint="eastAsia" w:ascii="宋体" w:hAnsi="宋体" w:cs="微软雅黑"/>
          <w:b/>
          <w:color w:val="auto"/>
          <w:sz w:val="24"/>
          <w:szCs w:val="24"/>
        </w:rPr>
        <w:t>合同的解除</w:t>
      </w:r>
    </w:p>
    <w:p w14:paraId="28F6548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 xml:space="preserve">1、本合同约定的合作期间，甲、乙双方任何一方违约的，守约方有权终止合作关系，但应提前 </w:t>
      </w:r>
      <w:r>
        <w:rPr>
          <w:rFonts w:ascii="宋体" w:hAnsi="宋体" w:cs="微软雅黑"/>
          <w:color w:val="auto"/>
          <w:sz w:val="24"/>
          <w:szCs w:val="24"/>
        </w:rPr>
        <w:t>5</w:t>
      </w:r>
      <w:r>
        <w:rPr>
          <w:rFonts w:hint="eastAsia" w:ascii="宋体" w:hAnsi="宋体" w:cs="微软雅黑"/>
          <w:color w:val="auto"/>
          <w:sz w:val="24"/>
          <w:szCs w:val="24"/>
        </w:rPr>
        <w:t>天书面通知对方，甲乙双方的合作关系于一方收到终止的书面通知之日起终止，提出终止的一方无需因终止合作关系而向对方承担责任。</w:t>
      </w:r>
    </w:p>
    <w:p w14:paraId="5A93C3B7">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14:paraId="0CEBC40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3、本合同因委托期限届满终止和根据本合同约定提前终止的，甲乙双方须在居间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14:paraId="3B02ED90">
      <w:pPr>
        <w:spacing w:line="360" w:lineRule="auto"/>
        <w:ind w:firstLine="480" w:firstLineChars="200"/>
        <w:rPr>
          <w:rFonts w:ascii="宋体" w:hAnsi="宋体"/>
          <w:b/>
          <w:bCs/>
          <w:color w:val="auto"/>
          <w:sz w:val="24"/>
          <w:szCs w:val="32"/>
        </w:rPr>
      </w:pPr>
      <w:r>
        <w:rPr>
          <w:rFonts w:hint="eastAsia" w:ascii="宋体" w:hAnsi="宋体" w:cs="微软雅黑"/>
          <w:color w:val="auto"/>
          <w:sz w:val="24"/>
          <w:szCs w:val="24"/>
        </w:rPr>
        <w:t>4、本合同因委托期限届满终止和根据本合同约定提前终止的，对于乙方成功销售但尚未达到第五条佣金支付条件的商品房，在满足计佣条件起15个工作日内办结结算确认手续（仅限于达到第五条佣金支付条件的商品房），甲方在双方最终确认及乙方提交等额发票后10日结清该部分佣金给乙方。</w:t>
      </w:r>
    </w:p>
    <w:p w14:paraId="63C24047">
      <w:pPr>
        <w:spacing w:line="360" w:lineRule="auto"/>
        <w:rPr>
          <w:rFonts w:ascii="宋体" w:hAnsi="宋体"/>
          <w:b/>
          <w:bCs/>
          <w:color w:val="auto"/>
          <w:sz w:val="24"/>
          <w:szCs w:val="32"/>
        </w:rPr>
      </w:pPr>
      <w:r>
        <w:rPr>
          <w:rFonts w:hint="eastAsia" w:ascii="宋体" w:hAnsi="宋体"/>
          <w:b/>
          <w:bCs/>
          <w:color w:val="auto"/>
          <w:sz w:val="24"/>
          <w:szCs w:val="32"/>
        </w:rPr>
        <w:t>第十五条：其它约定条款</w:t>
      </w:r>
    </w:p>
    <w:p w14:paraId="574333AE">
      <w:pPr>
        <w:tabs>
          <w:tab w:val="left" w:pos="1080"/>
        </w:tabs>
        <w:spacing w:line="360" w:lineRule="auto"/>
        <w:ind w:firstLine="448" w:firstLineChars="187"/>
        <w:rPr>
          <w:rFonts w:ascii="宋体" w:hAnsi="宋体"/>
          <w:color w:val="auto"/>
          <w:sz w:val="24"/>
        </w:rPr>
      </w:pPr>
      <w:r>
        <w:rPr>
          <w:rFonts w:hint="eastAsia" w:ascii="宋体" w:hAnsi="宋体"/>
          <w:color w:val="auto"/>
          <w:sz w:val="24"/>
        </w:rPr>
        <w:t>1、本合同未尽事宜，可由双方协商解决并签署书面补充协议，补充协议与本合同享有同等法律效力。</w:t>
      </w:r>
    </w:p>
    <w:p w14:paraId="15F7B652">
      <w:pPr>
        <w:tabs>
          <w:tab w:val="left" w:pos="1080"/>
        </w:tabs>
        <w:spacing w:line="360" w:lineRule="auto"/>
        <w:ind w:firstLine="448" w:firstLineChars="187"/>
        <w:rPr>
          <w:rFonts w:ascii="宋体" w:hAnsi="宋体"/>
          <w:color w:val="auto"/>
          <w:sz w:val="24"/>
        </w:rPr>
      </w:pPr>
      <w:r>
        <w:rPr>
          <w:rFonts w:hint="eastAsia" w:ascii="宋体" w:hAnsi="宋体"/>
          <w:color w:val="auto"/>
          <w:sz w:val="24"/>
        </w:rPr>
        <w:t>2、本合同履行过程中发生争议或纠纷的，由当事人双方协商解决。协商不成时，双方同意向合同签订地人民法院提起诉讼。</w:t>
      </w:r>
    </w:p>
    <w:p w14:paraId="3D899B59">
      <w:pPr>
        <w:tabs>
          <w:tab w:val="left" w:pos="1080"/>
        </w:tabs>
        <w:spacing w:line="360" w:lineRule="auto"/>
        <w:ind w:firstLine="448" w:firstLineChars="187"/>
        <w:rPr>
          <w:rFonts w:ascii="宋体" w:hAnsi="宋体"/>
          <w:color w:val="auto"/>
          <w:sz w:val="24"/>
        </w:rPr>
      </w:pPr>
      <w:r>
        <w:rPr>
          <w:rFonts w:hint="eastAsia" w:ascii="宋体" w:hAnsi="宋体"/>
          <w:color w:val="auto"/>
          <w:sz w:val="24"/>
        </w:rPr>
        <w:t>3、本合同一式柒份，甲方伍份，乙方贰份，均具同等法律效力。</w:t>
      </w:r>
    </w:p>
    <w:p w14:paraId="37D6CC72">
      <w:pPr>
        <w:tabs>
          <w:tab w:val="left" w:pos="1080"/>
        </w:tabs>
        <w:spacing w:line="360" w:lineRule="auto"/>
        <w:ind w:firstLine="448" w:firstLineChars="187"/>
        <w:rPr>
          <w:rFonts w:ascii="宋体" w:hAnsi="宋体"/>
          <w:color w:val="auto"/>
          <w:sz w:val="24"/>
        </w:rPr>
      </w:pPr>
      <w:r>
        <w:rPr>
          <w:rFonts w:hint="eastAsia" w:ascii="宋体" w:hAnsi="宋体"/>
          <w:color w:val="auto"/>
          <w:sz w:val="24"/>
        </w:rPr>
        <w:t>4、本合同及其补充协议自双方盖章之日起生效。</w:t>
      </w:r>
    </w:p>
    <w:p w14:paraId="005BEAAC">
      <w:pPr>
        <w:tabs>
          <w:tab w:val="left" w:pos="1080"/>
        </w:tabs>
        <w:spacing w:line="360" w:lineRule="auto"/>
        <w:ind w:firstLine="448" w:firstLineChars="187"/>
        <w:rPr>
          <w:rFonts w:ascii="宋体" w:hAnsi="宋体"/>
          <w:color w:val="auto"/>
          <w:sz w:val="24"/>
        </w:rPr>
      </w:pPr>
      <w:r>
        <w:rPr>
          <w:rFonts w:hint="eastAsia" w:ascii="宋体" w:hAnsi="宋体"/>
          <w:color w:val="auto"/>
          <w:sz w:val="24"/>
        </w:rPr>
        <w:t>5、合同签订地点：</w:t>
      </w:r>
      <w:r>
        <w:rPr>
          <w:rFonts w:hint="eastAsia" w:ascii="宋体" w:hAnsi="宋体" w:cs="宋体"/>
          <w:color w:val="auto"/>
          <w:spacing w:val="8"/>
          <w:sz w:val="24"/>
          <w:szCs w:val="24"/>
          <w:highlight w:val="none"/>
        </w:rPr>
        <w:t>洛阳市洛龙区关林西路8号中浩德控股集团有限公司1楼</w:t>
      </w:r>
      <w:r>
        <w:rPr>
          <w:rFonts w:hint="eastAsia" w:ascii="宋体" w:hAnsi="宋体"/>
          <w:color w:val="auto"/>
          <w:sz w:val="24"/>
        </w:rPr>
        <w:t>。</w:t>
      </w:r>
    </w:p>
    <w:p w14:paraId="4E42310B">
      <w:pPr>
        <w:spacing w:line="360" w:lineRule="auto"/>
        <w:rPr>
          <w:rFonts w:hint="eastAsia" w:ascii="宋体" w:hAnsi="宋体"/>
          <w:b/>
          <w:bCs/>
          <w:color w:val="auto"/>
          <w:sz w:val="24"/>
          <w:szCs w:val="32"/>
        </w:rPr>
      </w:pPr>
      <w:r>
        <w:rPr>
          <w:rFonts w:hint="eastAsia" w:ascii="宋体" w:hAnsi="宋体"/>
          <w:b/>
          <w:bCs/>
          <w:color w:val="auto"/>
          <w:sz w:val="24"/>
          <w:szCs w:val="32"/>
        </w:rPr>
        <w:t>第十六条：送达条款</w:t>
      </w:r>
    </w:p>
    <w:p w14:paraId="40CB8254">
      <w:pPr>
        <w:spacing w:line="360" w:lineRule="auto"/>
        <w:ind w:firstLine="480" w:firstLineChars="200"/>
        <w:rPr>
          <w:rFonts w:hint="eastAsia" w:ascii="宋体" w:hAnsi="宋体"/>
          <w:b/>
          <w:bCs/>
          <w:color w:val="auto"/>
          <w:sz w:val="24"/>
          <w:szCs w:val="32"/>
        </w:rPr>
      </w:pPr>
      <w:r>
        <w:rPr>
          <w:rFonts w:hint="eastAsia" w:ascii="宋体" w:hAnsi="宋体"/>
          <w:color w:val="auto"/>
          <w:sz w:val="24"/>
          <w:szCs w:val="32"/>
        </w:rPr>
        <w:t>甲乙双方明确送达信息如下：</w:t>
      </w:r>
    </w:p>
    <w:p w14:paraId="124611F5">
      <w:pPr>
        <w:spacing w:line="360" w:lineRule="auto"/>
        <w:ind w:left="479" w:leftChars="228"/>
        <w:rPr>
          <w:rFonts w:hint="eastAsia" w:ascii="宋体" w:hAnsi="宋体"/>
          <w:color w:val="auto"/>
          <w:sz w:val="24"/>
          <w:szCs w:val="32"/>
        </w:rPr>
      </w:pPr>
      <w:r>
        <w:rPr>
          <w:rFonts w:hint="eastAsia" w:ascii="宋体" w:hAnsi="宋体"/>
          <w:color w:val="auto"/>
          <w:sz w:val="24"/>
          <w:szCs w:val="32"/>
        </w:rPr>
        <w:t>甲方确认的送达信息为：</w:t>
      </w:r>
      <w:r>
        <w:rPr>
          <w:rFonts w:hint="eastAsia" w:ascii="宋体" w:hAnsi="宋体"/>
          <w:color w:val="auto"/>
          <w:sz w:val="24"/>
          <w:szCs w:val="32"/>
        </w:rPr>
        <w:cr/>
      </w:r>
      <w:r>
        <w:rPr>
          <w:rFonts w:hint="eastAsia" w:ascii="宋体" w:hAnsi="宋体"/>
          <w:color w:val="auto"/>
          <w:sz w:val="24"/>
          <w:szCs w:val="32"/>
        </w:rPr>
        <w:t>送达地址：</w:t>
      </w:r>
      <w:r>
        <w:rPr>
          <w:rFonts w:hint="eastAsia" w:ascii="宋体" w:hAnsi="宋体"/>
          <w:color w:val="auto"/>
          <w:sz w:val="24"/>
          <w:u w:val="single"/>
        </w:rPr>
        <w:t>洛宁县新宁大道山水文苑营销中心</w:t>
      </w:r>
      <w:r>
        <w:rPr>
          <w:rFonts w:hint="eastAsia" w:ascii="宋体" w:hAnsi="宋体"/>
          <w:color w:val="auto"/>
          <w:sz w:val="24"/>
          <w:szCs w:val="32"/>
        </w:rPr>
        <w:cr/>
      </w:r>
      <w:r>
        <w:rPr>
          <w:rFonts w:hint="eastAsia" w:ascii="宋体" w:hAnsi="宋体"/>
          <w:color w:val="auto"/>
          <w:sz w:val="24"/>
          <w:szCs w:val="32"/>
        </w:rPr>
        <w:t>联系人</w:t>
      </w:r>
      <w:r>
        <w:rPr>
          <w:rFonts w:hint="eastAsia" w:ascii="宋体" w:hAnsi="宋体"/>
          <w:color w:val="auto"/>
          <w:sz w:val="24"/>
          <w:szCs w:val="32"/>
          <w:lang w:eastAsia="zh-CN"/>
        </w:rPr>
        <w:t>：</w:t>
      </w:r>
      <w:r>
        <w:rPr>
          <w:rFonts w:hint="eastAsia" w:ascii="宋体" w:hAnsi="宋体"/>
          <w:color w:val="auto"/>
          <w:sz w:val="24"/>
          <w:szCs w:val="32"/>
          <w:lang w:val="en-US" w:eastAsia="zh-CN"/>
        </w:rPr>
        <w:t xml:space="preserve">赵瑞波          </w:t>
      </w:r>
      <w:r>
        <w:rPr>
          <w:rFonts w:hint="eastAsia" w:ascii="宋体" w:hAnsi="宋体"/>
          <w:color w:val="auto"/>
          <w:sz w:val="24"/>
          <w:szCs w:val="32"/>
          <w:lang w:eastAsia="zh-CN"/>
        </w:rPr>
        <w:t>，</w:t>
      </w:r>
      <w:r>
        <w:rPr>
          <w:rFonts w:hint="eastAsia" w:ascii="宋体" w:hAnsi="宋体"/>
          <w:color w:val="auto"/>
          <w:sz w:val="24"/>
          <w:szCs w:val="32"/>
        </w:rPr>
        <w:t>联系方式：</w:t>
      </w:r>
      <w:r>
        <w:rPr>
          <w:rFonts w:hint="eastAsia" w:ascii="宋体" w:hAnsi="宋体" w:cs="宋体"/>
          <w:color w:val="auto"/>
          <w:sz w:val="24"/>
          <w:u w:val="single"/>
        </w:rPr>
        <w:t xml:space="preserve"> 0379-</w:t>
      </w:r>
      <w:r>
        <w:rPr>
          <w:rFonts w:ascii="宋体" w:hAnsi="宋体" w:cs="宋体"/>
          <w:color w:val="auto"/>
          <w:sz w:val="24"/>
          <w:u w:val="single"/>
        </w:rPr>
        <w:t>66126666</w:t>
      </w:r>
      <w:r>
        <w:rPr>
          <w:rFonts w:hint="eastAsia" w:ascii="宋体" w:hAnsi="宋体"/>
          <w:color w:val="auto"/>
          <w:sz w:val="24"/>
          <w:szCs w:val="32"/>
        </w:rPr>
        <w:t xml:space="preserve">                                     </w:t>
      </w:r>
    </w:p>
    <w:p w14:paraId="6A519A5A">
      <w:pPr>
        <w:spacing w:line="360" w:lineRule="auto"/>
        <w:ind w:firstLine="480" w:firstLineChars="200"/>
        <w:rPr>
          <w:rFonts w:ascii="宋体" w:hAnsi="宋体"/>
          <w:color w:val="auto"/>
          <w:sz w:val="24"/>
          <w:szCs w:val="32"/>
          <w:u w:val="single"/>
        </w:rPr>
      </w:pPr>
      <w:r>
        <w:rPr>
          <w:rFonts w:hint="eastAsia" w:ascii="宋体" w:hAnsi="宋体"/>
          <w:color w:val="auto"/>
          <w:sz w:val="24"/>
          <w:szCs w:val="32"/>
        </w:rPr>
        <w:t>乙方确认的送达信息为：</w:t>
      </w:r>
    </w:p>
    <w:p w14:paraId="340645A3">
      <w:pPr>
        <w:spacing w:line="360" w:lineRule="auto"/>
        <w:ind w:firstLine="480" w:firstLineChars="200"/>
        <w:rPr>
          <w:rFonts w:hint="default" w:ascii="宋体" w:hAnsi="宋体"/>
          <w:color w:val="auto"/>
          <w:sz w:val="24"/>
          <w:szCs w:val="32"/>
          <w:highlight w:val="none"/>
          <w:u w:val="single"/>
        </w:rPr>
      </w:pPr>
      <w:r>
        <w:rPr>
          <w:rFonts w:hint="eastAsia" w:ascii="宋体" w:hAnsi="宋体"/>
          <w:color w:val="auto"/>
          <w:sz w:val="24"/>
          <w:szCs w:val="32"/>
          <w:highlight w:val="none"/>
        </w:rPr>
        <w:t>送达地址：</w:t>
      </w:r>
      <w:r>
        <w:rPr>
          <w:rFonts w:hint="eastAsia" w:ascii="宋体" w:hAnsi="宋体"/>
          <w:color w:val="auto"/>
          <w:sz w:val="24"/>
          <w:szCs w:val="32"/>
          <w:highlight w:val="none"/>
          <w:u w:val="single"/>
        </w:rPr>
        <w:t>洛阳市洛宁县城关镇福宁大道</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翔梧小学东侧）公园上品商铺6-1-103</w:t>
      </w:r>
    </w:p>
    <w:p w14:paraId="084237DA">
      <w:pPr>
        <w:spacing w:line="360" w:lineRule="auto"/>
        <w:ind w:firstLine="480" w:firstLineChars="200"/>
        <w:rPr>
          <w:rFonts w:hint="eastAsia" w:ascii="宋体" w:hAnsi="宋体"/>
          <w:color w:val="auto"/>
          <w:sz w:val="24"/>
          <w:szCs w:val="32"/>
          <w:highlight w:val="none"/>
          <w:lang w:val="en-US" w:eastAsia="zh-CN"/>
        </w:rPr>
      </w:pPr>
      <w:r>
        <w:rPr>
          <w:rFonts w:hint="eastAsia" w:ascii="宋体" w:hAnsi="宋体"/>
          <w:color w:val="auto"/>
          <w:sz w:val="24"/>
          <w:szCs w:val="32"/>
          <w:highlight w:val="none"/>
        </w:rPr>
        <w:t>联系人</w:t>
      </w:r>
      <w:r>
        <w:rPr>
          <w:rFonts w:hint="eastAsia" w:ascii="宋体" w:hAnsi="宋体"/>
          <w:color w:val="auto"/>
          <w:sz w:val="24"/>
          <w:szCs w:val="32"/>
          <w:highlight w:val="none"/>
          <w:lang w:eastAsia="zh-CN"/>
        </w:rPr>
        <w:t>：</w:t>
      </w:r>
      <w:r>
        <w:rPr>
          <w:rFonts w:hint="eastAsia" w:ascii="宋体" w:hAnsi="宋体"/>
          <w:color w:val="auto"/>
          <w:sz w:val="24"/>
          <w:szCs w:val="32"/>
          <w:highlight w:val="none"/>
          <w:lang w:val="en-US" w:eastAsia="zh-CN"/>
        </w:rPr>
        <w:t xml:space="preserve"> 王东伟   ，</w:t>
      </w:r>
      <w:r>
        <w:rPr>
          <w:rFonts w:hint="eastAsia" w:ascii="宋体" w:hAnsi="宋体"/>
          <w:color w:val="auto"/>
          <w:sz w:val="24"/>
          <w:szCs w:val="32"/>
          <w:highlight w:val="none"/>
        </w:rPr>
        <w:t xml:space="preserve">联系方式： </w:t>
      </w:r>
      <w:r>
        <w:rPr>
          <w:rFonts w:hint="eastAsia" w:ascii="宋体" w:hAnsi="宋体"/>
          <w:color w:val="auto"/>
          <w:sz w:val="24"/>
          <w:szCs w:val="32"/>
          <w:highlight w:val="none"/>
          <w:lang w:eastAsia="zh-CN"/>
        </w:rPr>
        <w:t>1</w:t>
      </w:r>
      <w:r>
        <w:rPr>
          <w:rFonts w:hint="eastAsia" w:ascii="宋体" w:hAnsi="宋体"/>
          <w:color w:val="auto"/>
          <w:sz w:val="24"/>
          <w:szCs w:val="32"/>
          <w:highlight w:val="none"/>
          <w:lang w:val="en-US" w:eastAsia="zh-CN"/>
        </w:rPr>
        <w:t>3213685552</w:t>
      </w:r>
    </w:p>
    <w:p w14:paraId="68723C6E">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双方在此共同确认，上述送达信息将作为双方在合同项下邮寄往来通知、函件等任何文件资料、</w:t>
      </w:r>
      <w:r>
        <w:rPr>
          <w:rFonts w:hint="eastAsia" w:ascii="宋体" w:hAnsi="宋体"/>
          <w:color w:val="auto"/>
          <w:sz w:val="24"/>
          <w:szCs w:val="32"/>
          <w:lang w:val="en-US" w:eastAsia="zh-CN"/>
        </w:rPr>
        <w:t>法院送达</w:t>
      </w:r>
      <w:r>
        <w:rPr>
          <w:rFonts w:hint="eastAsia" w:ascii="宋体" w:hAnsi="宋体"/>
          <w:color w:val="auto"/>
          <w:sz w:val="24"/>
          <w:szCs w:val="32"/>
        </w:rPr>
        <w:t>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91387A0">
      <w:pPr>
        <w:spacing w:line="360" w:lineRule="auto"/>
        <w:rPr>
          <w:rFonts w:hint="eastAsia" w:ascii="宋体" w:hAnsi="宋体" w:cs="微软雅黑"/>
          <w:b/>
          <w:color w:val="auto"/>
          <w:sz w:val="24"/>
          <w:szCs w:val="24"/>
        </w:rPr>
      </w:pPr>
      <w:r>
        <w:rPr>
          <w:rFonts w:hint="eastAsia" w:ascii="宋体" w:hAnsi="宋体"/>
          <w:b/>
          <w:bCs/>
          <w:color w:val="auto"/>
          <w:sz w:val="24"/>
          <w:szCs w:val="32"/>
        </w:rPr>
        <w:t>第十七条：</w:t>
      </w:r>
      <w:r>
        <w:rPr>
          <w:rFonts w:hint="eastAsia" w:ascii="宋体" w:hAnsi="宋体" w:cs="微软雅黑"/>
          <w:b/>
          <w:color w:val="auto"/>
          <w:sz w:val="24"/>
          <w:szCs w:val="24"/>
        </w:rPr>
        <w:t>释义</w:t>
      </w:r>
    </w:p>
    <w:p w14:paraId="1955E7D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除非另有解释，在本合同中使用的下列用语具有如下含义：</w:t>
      </w:r>
    </w:p>
    <w:p w14:paraId="08B30498">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 xml:space="preserve">首次来访客户：指来访客户在乙方在甲方系统录入客户信息前，该客户从未自行或由其他组织或个人推介前往甲方项目参观并在销售系统登记个人信息。 </w:t>
      </w:r>
    </w:p>
    <w:p w14:paraId="6EBEAA1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以下几类客户将无法录入销售系统：1、项目老业主；2、已参与洛宁浩德山水文苑全员营销活动的合伙人（员工、业主、社会)。</w:t>
      </w:r>
    </w:p>
    <w:p w14:paraId="2E80B458">
      <w:pPr>
        <w:pStyle w:val="3"/>
        <w:rPr>
          <w:rFonts w:hint="eastAsia"/>
          <w:color w:val="auto"/>
        </w:rPr>
      </w:pPr>
      <w:r>
        <w:rPr>
          <w:rFonts w:hint="eastAsia"/>
          <w:color w:val="auto"/>
        </w:rPr>
        <w:t xml:space="preserve"> </w:t>
      </w:r>
      <w:r>
        <w:rPr>
          <w:color w:val="auto"/>
        </w:rPr>
        <w:t xml:space="preserve">   </w:t>
      </w:r>
      <w:r>
        <w:rPr>
          <w:rFonts w:hint="eastAsia"/>
          <w:color w:val="auto"/>
        </w:rPr>
        <w:t>老业主：</w:t>
      </w:r>
      <w:r>
        <w:rPr>
          <w:rFonts w:hint="eastAsia" w:ascii="宋体" w:hAnsi="宋体" w:cs="微软雅黑"/>
          <w:color w:val="auto"/>
          <w:szCs w:val="24"/>
        </w:rPr>
        <w:t>指已签合同或已缴纳首付款。</w:t>
      </w:r>
    </w:p>
    <w:p w14:paraId="52B5C8EF">
      <w:pPr>
        <w:spacing w:line="360" w:lineRule="auto"/>
        <w:jc w:val="left"/>
        <w:rPr>
          <w:rFonts w:hint="eastAsia" w:ascii="宋体" w:hAnsi="宋体" w:cs="微软雅黑"/>
          <w:b/>
          <w:color w:val="auto"/>
          <w:sz w:val="24"/>
          <w:szCs w:val="24"/>
        </w:rPr>
      </w:pPr>
      <w:r>
        <w:rPr>
          <w:rFonts w:hint="eastAsia" w:ascii="宋体" w:hAnsi="宋体"/>
          <w:b/>
          <w:bCs/>
          <w:color w:val="auto"/>
          <w:sz w:val="24"/>
          <w:szCs w:val="32"/>
        </w:rPr>
        <w:t>第十八条：</w:t>
      </w:r>
      <w:r>
        <w:rPr>
          <w:rFonts w:hint="eastAsia" w:ascii="宋体" w:hAnsi="宋体" w:cs="微软雅黑"/>
          <w:b/>
          <w:color w:val="auto"/>
          <w:sz w:val="24"/>
          <w:szCs w:val="24"/>
        </w:rPr>
        <w:t>客户归属争议处理规则</w:t>
      </w:r>
    </w:p>
    <w:p w14:paraId="0C6FE855">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1、客户多个号码报备出现争议，经第三方渠道（电信公司、支付宝、微信等）确认为同一人，任务及奖励归第一时间推荐人（乙方、分销商、渠道资源部员工）所有。</w:t>
      </w:r>
    </w:p>
    <w:p w14:paraId="13AFAE5D">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2、直系亲属争议（直系亲属：父母、子女、祖父母、外祖父母、配偶、同胞兄弟姐妹）经相关身份文件（户口本、民证局、相关部门证明等）确认为直系亲属，任务及奖励归第一时间推荐人（乙方、分销商、渠道资源部员工）所有。</w:t>
      </w:r>
    </w:p>
    <w:p w14:paraId="0800AEAB">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3、业主合伙人的直系亲属被其他渠道报备，或浩客通注册业主合伙人的直系亲属被其他渠道报备，均视为报备无效。</w:t>
      </w:r>
    </w:p>
    <w:p w14:paraId="25AA26AA">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4、客户更名出现争议，已成交客户（含更名客户）在保护期内客户更名转定，经查实客户为同一人（或直系亲属），任务及奖励归第一时间推荐人（乙方、分销商、渠道资源部员工）所有。</w:t>
      </w:r>
    </w:p>
    <w:p w14:paraId="5FB7394F">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5、客户退房或挞定后又成交争议：客户选择退房或者由案场挞定的，自客户填写退房申请书或案场邮寄挞定通知书之日起60日内被其他渠道推荐并重新购买，任务及奖励仍归原推荐人所有，但自然到访客户永久属于自然到访，自然到访客户除外。</w:t>
      </w:r>
    </w:p>
    <w:p w14:paraId="79145A9D">
      <w:pPr>
        <w:spacing w:line="360" w:lineRule="auto"/>
        <w:ind w:firstLine="480" w:firstLineChars="200"/>
        <w:jc w:val="left"/>
        <w:rPr>
          <w:rFonts w:ascii="宋体" w:hAnsi="宋体" w:cs="微软雅黑"/>
          <w:color w:val="auto"/>
          <w:sz w:val="24"/>
          <w:szCs w:val="24"/>
        </w:rPr>
      </w:pPr>
      <w:r>
        <w:rPr>
          <w:rFonts w:ascii="宋体" w:hAnsi="宋体" w:cs="微软雅黑"/>
          <w:color w:val="auto"/>
          <w:sz w:val="24"/>
          <w:szCs w:val="24"/>
        </w:rPr>
        <w:t>6</w:t>
      </w:r>
      <w:r>
        <w:rPr>
          <w:rFonts w:hint="eastAsia" w:ascii="宋体" w:hAnsi="宋体" w:cs="微软雅黑"/>
          <w:color w:val="auto"/>
          <w:sz w:val="24"/>
          <w:szCs w:val="24"/>
        </w:rPr>
        <w:t>、乙方推荐的业主（已成交）再次推荐客户争议：已成交业主介绍客户至置业顾问处并成交，任务归属为业主介绍渠道；已成交业主介绍客户至乙方处，由乙方报备，任务及奖励归属乙方所有。</w:t>
      </w:r>
    </w:p>
    <w:p w14:paraId="7AF3ECA6">
      <w:pPr>
        <w:spacing w:line="360" w:lineRule="auto"/>
        <w:ind w:firstLine="480" w:firstLineChars="200"/>
        <w:jc w:val="left"/>
        <w:rPr>
          <w:rFonts w:ascii="宋体" w:hAnsi="宋体" w:cs="微软雅黑"/>
          <w:color w:val="auto"/>
          <w:sz w:val="24"/>
          <w:szCs w:val="24"/>
        </w:rPr>
      </w:pPr>
      <w:r>
        <w:rPr>
          <w:rFonts w:ascii="宋体" w:hAnsi="宋体" w:cs="微软雅黑"/>
          <w:color w:val="auto"/>
          <w:sz w:val="24"/>
          <w:szCs w:val="24"/>
        </w:rPr>
        <w:t>7</w:t>
      </w:r>
      <w:r>
        <w:rPr>
          <w:rFonts w:hint="eastAsia" w:ascii="宋体" w:hAnsi="宋体" w:cs="微软雅黑"/>
          <w:color w:val="auto"/>
          <w:sz w:val="24"/>
          <w:szCs w:val="24"/>
        </w:rPr>
        <w:t>、客户已在销售中心后经（乙方、分销商、渠道资源部员工）报备视为无效，以现场录像时间为界定标准。</w:t>
      </w:r>
    </w:p>
    <w:p w14:paraId="334BBC1E">
      <w:pPr>
        <w:spacing w:line="360" w:lineRule="auto"/>
        <w:ind w:firstLine="480" w:firstLineChars="200"/>
        <w:jc w:val="left"/>
        <w:rPr>
          <w:rFonts w:ascii="宋体" w:hAnsi="宋体" w:cs="微软雅黑"/>
          <w:color w:val="auto"/>
          <w:sz w:val="24"/>
          <w:szCs w:val="24"/>
        </w:rPr>
      </w:pPr>
      <w:r>
        <w:rPr>
          <w:rFonts w:ascii="宋体" w:hAnsi="宋体" w:cs="微软雅黑"/>
          <w:color w:val="auto"/>
          <w:sz w:val="24"/>
          <w:szCs w:val="24"/>
        </w:rPr>
        <w:t>8</w:t>
      </w:r>
      <w:r>
        <w:rPr>
          <w:rFonts w:hint="eastAsia" w:ascii="宋体" w:hAnsi="宋体" w:cs="微软雅黑"/>
          <w:color w:val="auto"/>
          <w:sz w:val="24"/>
          <w:szCs w:val="24"/>
        </w:rPr>
        <w:t>、推荐人所推荐的客户在缴纳定金起5日内重复购买</w:t>
      </w:r>
      <w:r>
        <w:rPr>
          <w:rFonts w:hint="eastAsia" w:ascii="宋体" w:hAnsi="宋体" w:cs="微软雅黑"/>
          <w:color w:val="auto"/>
          <w:sz w:val="24"/>
          <w:szCs w:val="24"/>
          <w:lang w:val="en-US" w:eastAsia="zh-CN"/>
        </w:rPr>
        <w:t>，</w:t>
      </w:r>
      <w:r>
        <w:rPr>
          <w:rFonts w:hint="eastAsia" w:ascii="宋体" w:hAnsi="宋体" w:cs="微软雅黑"/>
          <w:color w:val="auto"/>
          <w:sz w:val="24"/>
          <w:szCs w:val="24"/>
        </w:rPr>
        <w:t>奖励及任务归原推荐人。</w:t>
      </w:r>
    </w:p>
    <w:p w14:paraId="09F289A6">
      <w:pPr>
        <w:spacing w:line="360" w:lineRule="auto"/>
        <w:ind w:firstLine="480" w:firstLineChars="200"/>
        <w:rPr>
          <w:rFonts w:hint="eastAsia" w:ascii="宋体" w:hAnsi="宋体"/>
          <w:b/>
          <w:bCs/>
          <w:color w:val="auto"/>
          <w:sz w:val="24"/>
          <w:szCs w:val="32"/>
        </w:rPr>
      </w:pPr>
      <w:r>
        <w:rPr>
          <w:rFonts w:hint="eastAsia" w:ascii="宋体" w:hAnsi="宋体" w:cs="微软雅黑"/>
          <w:color w:val="auto"/>
          <w:sz w:val="24"/>
          <w:szCs w:val="24"/>
        </w:rPr>
        <w:t>9、客户来访当日晚24时置业顾问未录入系统的，由乙方成功系统推荐业绩及奖励归属乙方，客户已到访后未超过当日晚24时乙方系统推荐视为无效。</w:t>
      </w:r>
    </w:p>
    <w:p w14:paraId="28A71576">
      <w:pPr>
        <w:spacing w:line="360" w:lineRule="auto"/>
        <w:jc w:val="left"/>
        <w:rPr>
          <w:rFonts w:hint="eastAsia" w:ascii="宋体" w:hAnsi="宋体" w:cs="微软雅黑"/>
          <w:b/>
          <w:color w:val="auto"/>
          <w:sz w:val="24"/>
          <w:szCs w:val="24"/>
        </w:rPr>
      </w:pPr>
      <w:r>
        <w:rPr>
          <w:rFonts w:hint="eastAsia" w:ascii="宋体" w:hAnsi="宋体"/>
          <w:b/>
          <w:bCs/>
          <w:color w:val="auto"/>
          <w:sz w:val="24"/>
          <w:szCs w:val="32"/>
        </w:rPr>
        <w:t>第十九条：</w:t>
      </w:r>
      <w:r>
        <w:rPr>
          <w:rFonts w:hint="eastAsia" w:ascii="宋体" w:hAnsi="宋体" w:cs="微软雅黑"/>
          <w:b/>
          <w:color w:val="auto"/>
          <w:sz w:val="24"/>
          <w:szCs w:val="24"/>
        </w:rPr>
        <w:t>客户归属争议处理机制</w:t>
      </w:r>
    </w:p>
    <w:p w14:paraId="5176032D">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1、处理周期：以每月中旬、月末的渠道营销会结束后召开协调会。就争议客户在客户缴纳完首付后24小时内回复。</w:t>
      </w:r>
    </w:p>
    <w:p w14:paraId="435164DE">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2、处理流程：存在客户归属争议的双方将文字版资料以电子版形式报备至甲方，由甲方统一整理并处理。</w:t>
      </w:r>
    </w:p>
    <w:p w14:paraId="03B418E3">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3、客户归属争议有效期：如对客户归属产生争议的，应在客户交完定金的当日起30日内提出，超过30日视为无争议客户，此客户不可再争议，乙方不得再提出异议。</w:t>
      </w:r>
    </w:p>
    <w:p w14:paraId="34078B8A">
      <w:pPr>
        <w:spacing w:line="360" w:lineRule="auto"/>
        <w:jc w:val="left"/>
        <w:rPr>
          <w:rFonts w:hint="eastAsia" w:ascii="宋体" w:hAnsi="宋体"/>
          <w:b/>
          <w:bCs/>
          <w:color w:val="auto"/>
          <w:sz w:val="24"/>
          <w:szCs w:val="32"/>
        </w:rPr>
      </w:pPr>
      <w:r>
        <w:rPr>
          <w:rFonts w:hint="eastAsia" w:ascii="宋体" w:hAnsi="宋体" w:cs="微软雅黑"/>
          <w:color w:val="auto"/>
          <w:sz w:val="24"/>
          <w:szCs w:val="24"/>
        </w:rPr>
        <w:t>（以下无正文）</w:t>
      </w:r>
    </w:p>
    <w:p w14:paraId="2130CEC0">
      <w:pPr>
        <w:spacing w:line="360" w:lineRule="auto"/>
        <w:rPr>
          <w:rFonts w:hint="eastAsia" w:ascii="宋体" w:hAnsi="宋体"/>
          <w:b/>
          <w:bCs/>
          <w:color w:val="auto"/>
          <w:sz w:val="24"/>
          <w:szCs w:val="32"/>
        </w:rPr>
      </w:pPr>
      <w:r>
        <w:rPr>
          <w:rFonts w:hint="eastAsia" w:ascii="宋体" w:hAnsi="宋体"/>
          <w:b/>
          <w:bCs/>
          <w:color w:val="auto"/>
          <w:sz w:val="24"/>
          <w:szCs w:val="32"/>
        </w:rPr>
        <w:t>第二十条：附件</w:t>
      </w:r>
    </w:p>
    <w:p w14:paraId="7B1E7071">
      <w:pPr>
        <w:pStyle w:val="2"/>
        <w:numPr>
          <w:ilvl w:val="0"/>
          <w:numId w:val="1"/>
        </w:numPr>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附件一、廉政合作协议</w:t>
      </w:r>
    </w:p>
    <w:p w14:paraId="1AE7A987">
      <w:pPr>
        <w:pStyle w:val="2"/>
        <w:numPr>
          <w:ilvl w:val="0"/>
          <w:numId w:val="1"/>
        </w:numPr>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附件二、《客户带看确认表》</w:t>
      </w:r>
    </w:p>
    <w:p w14:paraId="0A44D8DA">
      <w:pPr>
        <w:spacing w:line="360" w:lineRule="auto"/>
        <w:rPr>
          <w:rFonts w:hint="default" w:ascii="宋体" w:hAnsi="宋体" w:cs="宋体"/>
          <w:color w:val="auto"/>
          <w:szCs w:val="21"/>
          <w:highlight w:val="none"/>
        </w:rPr>
      </w:pPr>
      <w:r>
        <w:rPr>
          <w:rFonts w:hint="eastAsia" w:ascii="宋体" w:hAnsi="宋体" w:cs="宋体"/>
          <w:color w:val="auto"/>
          <w:szCs w:val="21"/>
          <w:highlight w:val="none"/>
        </w:rPr>
        <w:t xml:space="preserve">甲方（盖章）:洛阳浩德浩康置业有限公司          乙方（盖章）: </w:t>
      </w:r>
      <w:r>
        <w:rPr>
          <w:rFonts w:hint="eastAsia" w:ascii="宋体" w:hAnsi="宋体" w:cs="宋体"/>
          <w:color w:val="auto"/>
          <w:szCs w:val="21"/>
          <w:highlight w:val="none"/>
          <w:lang w:val="en-US" w:eastAsia="zh-CN"/>
        </w:rPr>
        <w:t>洛阳懿居房产经纪有限公司</w:t>
      </w:r>
    </w:p>
    <w:p w14:paraId="68BD844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法定代表人</w:t>
      </w:r>
      <w:r>
        <w:rPr>
          <w:rFonts w:hint="eastAsia" w:ascii="宋体" w:hAnsi="宋体" w:cs="宋体"/>
          <w:color w:val="auto"/>
          <w:szCs w:val="21"/>
          <w:highlight w:val="none"/>
        </w:rPr>
        <w:t>：</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 xml:space="preserve">法定代表人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王东伟</w:t>
      </w:r>
      <w:r>
        <w:rPr>
          <w:rFonts w:hint="eastAsia" w:ascii="宋体" w:hAnsi="宋体" w:cs="宋体"/>
          <w:color w:val="auto"/>
          <w:szCs w:val="21"/>
          <w:highlight w:val="none"/>
        </w:rPr>
        <w:t xml:space="preserve">        </w:t>
      </w:r>
    </w:p>
    <w:p w14:paraId="7E7548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或授权委托人：                                 或授权委托人：           </w:t>
      </w:r>
    </w:p>
    <w:p w14:paraId="17B6E2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税号：</w:t>
      </w:r>
      <w:r>
        <w:rPr>
          <w:rFonts w:hint="eastAsia" w:ascii="宋体" w:hAnsi="宋体" w:cs="宋体"/>
          <w:color w:val="auto"/>
          <w:szCs w:val="21"/>
          <w:highlight w:val="none"/>
          <w:u w:val="single"/>
        </w:rPr>
        <w:t>91410328MA9K9J8A5F</w:t>
      </w:r>
      <w:r>
        <w:rPr>
          <w:rFonts w:hint="eastAsia" w:ascii="宋体" w:hAnsi="宋体" w:cs="宋体"/>
          <w:color w:val="auto"/>
          <w:szCs w:val="21"/>
          <w:highlight w:val="none"/>
        </w:rPr>
        <w:t xml:space="preserve">                       税号</w:t>
      </w:r>
      <w:r>
        <w:rPr>
          <w:rFonts w:hint="eastAsia" w:ascii="宋体" w:hAnsi="宋体" w:cs="宋体"/>
          <w:color w:val="auto"/>
          <w:szCs w:val="21"/>
          <w:highlight w:val="none"/>
          <w:lang w:eastAsia="zh-CN"/>
        </w:rPr>
        <w:t>：</w:t>
      </w:r>
      <w:r>
        <w:rPr>
          <w:rFonts w:hint="eastAsia" w:hAnsi="宋体" w:cs="宋体"/>
          <w:color w:val="auto"/>
          <w:highlight w:val="none"/>
          <w:u w:val="single"/>
        </w:rPr>
        <w:t>91410328MADP8GUH00</w:t>
      </w:r>
    </w:p>
    <w:p w14:paraId="586824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账户：16123101040009795                        账户：</w:t>
      </w:r>
      <w:r>
        <w:rPr>
          <w:rFonts w:hint="eastAsia" w:ascii="宋体" w:hAnsi="宋体" w:cs="微软雅黑"/>
          <w:color w:val="auto"/>
          <w:sz w:val="24"/>
          <w:szCs w:val="24"/>
          <w:highlight w:val="none"/>
          <w:lang w:eastAsia="zh-CN"/>
        </w:rPr>
        <w:t>9</w:t>
      </w:r>
      <w:r>
        <w:rPr>
          <w:rFonts w:hint="eastAsia" w:ascii="宋体" w:hAnsi="宋体" w:cs="微软雅黑"/>
          <w:color w:val="auto"/>
          <w:sz w:val="24"/>
          <w:szCs w:val="24"/>
          <w:highlight w:val="none"/>
          <w:lang w:val="en-US" w:eastAsia="zh-CN"/>
        </w:rPr>
        <w:t>41039013000181981</w:t>
      </w:r>
      <w:r>
        <w:rPr>
          <w:rFonts w:hint="eastAsia" w:ascii="宋体" w:hAnsi="宋体" w:cs="宋体"/>
          <w:color w:val="auto"/>
          <w:szCs w:val="21"/>
          <w:highlight w:val="none"/>
        </w:rPr>
        <w:t xml:space="preserve">            </w:t>
      </w:r>
    </w:p>
    <w:p w14:paraId="3E0393EC">
      <w:pPr>
        <w:spacing w:line="360" w:lineRule="auto"/>
        <w:ind w:left="6090" w:hanging="6090" w:hangingChars="2900"/>
        <w:jc w:val="left"/>
        <w:rPr>
          <w:rFonts w:hint="eastAsia" w:ascii="宋体" w:hAnsi="宋体" w:cs="宋体"/>
          <w:color w:val="auto"/>
          <w:szCs w:val="21"/>
          <w:highlight w:val="none"/>
        </w:rPr>
      </w:pPr>
      <w:r>
        <w:rPr>
          <w:rFonts w:hint="eastAsia" w:ascii="宋体" w:hAnsi="宋体" w:cs="宋体"/>
          <w:color w:val="auto"/>
          <w:szCs w:val="21"/>
          <w:highlight w:val="none"/>
        </w:rPr>
        <w:t>开户行：中国农业银行股份有限公司洛宁县支行     开户行：</w:t>
      </w:r>
      <w:r>
        <w:rPr>
          <w:rFonts w:hint="eastAsia" w:ascii="宋体" w:hAnsi="宋体" w:cs="微软雅黑"/>
          <w:color w:val="auto"/>
          <w:sz w:val="24"/>
          <w:szCs w:val="24"/>
          <w:highlight w:val="none"/>
          <w:lang w:val="en-US" w:eastAsia="zh-CN"/>
        </w:rPr>
        <w:t>中国邮政储蓄银行股份有限公司洛宁县长虹支行</w:t>
      </w:r>
      <w:r>
        <w:rPr>
          <w:rFonts w:hint="eastAsia" w:ascii="宋体" w:hAnsi="宋体" w:cs="宋体"/>
          <w:color w:val="auto"/>
          <w:szCs w:val="21"/>
          <w:highlight w:val="none"/>
        </w:rPr>
        <w:t xml:space="preserve">         </w:t>
      </w:r>
    </w:p>
    <w:p w14:paraId="5295D6E4">
      <w:pPr>
        <w:spacing w:line="360" w:lineRule="auto"/>
        <w:ind w:left="210" w:hanging="210" w:hangingChars="100"/>
        <w:jc w:val="left"/>
        <w:rPr>
          <w:rFonts w:hint="eastAsia" w:ascii="宋体" w:hAnsi="宋体" w:cs="宋体"/>
          <w:b/>
          <w:color w:val="auto"/>
          <w:szCs w:val="21"/>
          <w:highlight w:val="none"/>
        </w:rPr>
      </w:pPr>
      <w:r>
        <w:rPr>
          <w:rFonts w:hint="eastAsia" w:ascii="宋体" w:hAnsi="宋体" w:cs="宋体"/>
          <w:bCs/>
          <w:color w:val="auto"/>
          <w:szCs w:val="21"/>
          <w:highlight w:val="none"/>
        </w:rPr>
        <w:t>日期： 2024年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月1 日                         日期：2024年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 xml:space="preserve">月 1日 </w:t>
      </w:r>
    </w:p>
    <w:p w14:paraId="65DF77A7">
      <w:pPr>
        <w:pStyle w:val="2"/>
        <w:ind w:firstLine="0" w:firstLineChars="0"/>
        <w:rPr>
          <w:rFonts w:hint="eastAsia"/>
          <w:b/>
          <w:color w:val="auto"/>
          <w:sz w:val="24"/>
          <w:szCs w:val="24"/>
          <w:highlight w:val="yellow"/>
        </w:rPr>
      </w:pPr>
    </w:p>
    <w:p w14:paraId="4542645E">
      <w:pPr>
        <w:pStyle w:val="2"/>
        <w:ind w:firstLine="0" w:firstLineChars="0"/>
        <w:rPr>
          <w:rFonts w:hint="eastAsia"/>
          <w:b/>
          <w:color w:val="auto"/>
          <w:sz w:val="24"/>
          <w:szCs w:val="24"/>
        </w:rPr>
      </w:pPr>
    </w:p>
    <w:p w14:paraId="458F69BD">
      <w:pPr>
        <w:pStyle w:val="2"/>
        <w:ind w:firstLine="0" w:firstLineChars="0"/>
        <w:rPr>
          <w:rFonts w:hint="eastAsia"/>
          <w:b/>
          <w:color w:val="auto"/>
          <w:sz w:val="24"/>
          <w:szCs w:val="24"/>
        </w:rPr>
      </w:pPr>
    </w:p>
    <w:p w14:paraId="0DCF0A0C">
      <w:pPr>
        <w:pStyle w:val="2"/>
        <w:ind w:firstLine="0" w:firstLineChars="0"/>
        <w:rPr>
          <w:rFonts w:hint="eastAsia"/>
          <w:b/>
          <w:color w:val="auto"/>
          <w:sz w:val="24"/>
          <w:szCs w:val="24"/>
        </w:rPr>
      </w:pPr>
    </w:p>
    <w:p w14:paraId="1B395703">
      <w:pPr>
        <w:pStyle w:val="2"/>
        <w:ind w:firstLine="0" w:firstLineChars="0"/>
        <w:rPr>
          <w:rFonts w:hint="eastAsia"/>
          <w:b/>
          <w:color w:val="auto"/>
          <w:sz w:val="24"/>
          <w:szCs w:val="24"/>
        </w:rPr>
      </w:pPr>
    </w:p>
    <w:p w14:paraId="2F0CC87C">
      <w:pPr>
        <w:pStyle w:val="2"/>
        <w:ind w:firstLine="0" w:firstLineChars="0"/>
        <w:rPr>
          <w:rFonts w:hint="eastAsia"/>
          <w:b/>
          <w:color w:val="auto"/>
          <w:sz w:val="24"/>
          <w:szCs w:val="24"/>
        </w:rPr>
      </w:pPr>
    </w:p>
    <w:p w14:paraId="440012C4">
      <w:pPr>
        <w:pStyle w:val="2"/>
        <w:ind w:firstLine="0" w:firstLineChars="0"/>
        <w:rPr>
          <w:rFonts w:hint="eastAsia"/>
          <w:b/>
          <w:color w:val="auto"/>
          <w:sz w:val="24"/>
          <w:szCs w:val="24"/>
        </w:rPr>
      </w:pPr>
    </w:p>
    <w:p w14:paraId="36C7ECC5">
      <w:pPr>
        <w:pStyle w:val="2"/>
        <w:ind w:firstLine="0" w:firstLineChars="0"/>
        <w:rPr>
          <w:rFonts w:hint="eastAsia"/>
          <w:b/>
          <w:color w:val="auto"/>
          <w:sz w:val="24"/>
          <w:szCs w:val="24"/>
        </w:rPr>
      </w:pPr>
    </w:p>
    <w:p w14:paraId="649107CC">
      <w:pPr>
        <w:pStyle w:val="2"/>
        <w:ind w:firstLine="0" w:firstLineChars="0"/>
        <w:rPr>
          <w:rFonts w:hint="eastAsia"/>
          <w:b/>
          <w:color w:val="auto"/>
          <w:sz w:val="24"/>
          <w:szCs w:val="24"/>
        </w:rPr>
      </w:pPr>
    </w:p>
    <w:p w14:paraId="6EEFA98C">
      <w:pPr>
        <w:pStyle w:val="2"/>
        <w:ind w:firstLine="0" w:firstLineChars="0"/>
        <w:rPr>
          <w:rFonts w:hint="eastAsia"/>
          <w:b/>
          <w:color w:val="auto"/>
          <w:sz w:val="24"/>
          <w:szCs w:val="24"/>
        </w:rPr>
      </w:pPr>
    </w:p>
    <w:p w14:paraId="07BF8746">
      <w:pPr>
        <w:pStyle w:val="2"/>
        <w:ind w:firstLine="0" w:firstLineChars="0"/>
        <w:rPr>
          <w:rFonts w:hint="eastAsia"/>
          <w:b/>
          <w:color w:val="auto"/>
          <w:sz w:val="24"/>
          <w:szCs w:val="24"/>
        </w:rPr>
      </w:pPr>
    </w:p>
    <w:p w14:paraId="0A0D85DD">
      <w:pPr>
        <w:pStyle w:val="2"/>
        <w:ind w:firstLine="0" w:firstLineChars="0"/>
        <w:rPr>
          <w:rFonts w:hint="eastAsia"/>
          <w:b/>
          <w:color w:val="auto"/>
          <w:sz w:val="24"/>
          <w:szCs w:val="24"/>
        </w:rPr>
      </w:pPr>
    </w:p>
    <w:p w14:paraId="768FD7AB">
      <w:pPr>
        <w:pStyle w:val="2"/>
        <w:ind w:firstLine="0" w:firstLineChars="0"/>
        <w:rPr>
          <w:rFonts w:hint="eastAsia"/>
          <w:b/>
          <w:color w:val="auto"/>
          <w:sz w:val="24"/>
          <w:szCs w:val="24"/>
        </w:rPr>
      </w:pPr>
    </w:p>
    <w:p w14:paraId="401EF0AF">
      <w:pPr>
        <w:pStyle w:val="2"/>
        <w:ind w:firstLine="0" w:firstLineChars="0"/>
        <w:rPr>
          <w:rFonts w:hint="eastAsia"/>
          <w:b/>
          <w:color w:val="auto"/>
          <w:sz w:val="24"/>
          <w:szCs w:val="24"/>
        </w:rPr>
      </w:pPr>
    </w:p>
    <w:p w14:paraId="20A23FF5">
      <w:pPr>
        <w:pStyle w:val="2"/>
        <w:ind w:firstLine="0" w:firstLineChars="0"/>
        <w:rPr>
          <w:rFonts w:hint="eastAsia"/>
          <w:b/>
          <w:color w:val="auto"/>
          <w:sz w:val="24"/>
          <w:szCs w:val="24"/>
        </w:rPr>
      </w:pPr>
    </w:p>
    <w:p w14:paraId="6063A9AC">
      <w:pPr>
        <w:pStyle w:val="2"/>
        <w:ind w:firstLine="0" w:firstLineChars="0"/>
        <w:rPr>
          <w:rFonts w:hint="eastAsia"/>
          <w:b/>
          <w:color w:val="auto"/>
          <w:sz w:val="24"/>
          <w:szCs w:val="24"/>
        </w:rPr>
      </w:pPr>
    </w:p>
    <w:p w14:paraId="16132326">
      <w:pPr>
        <w:pStyle w:val="2"/>
        <w:ind w:firstLine="0" w:firstLineChars="0"/>
        <w:rPr>
          <w:rFonts w:hint="eastAsia"/>
          <w:b/>
          <w:color w:val="auto"/>
          <w:sz w:val="24"/>
          <w:szCs w:val="24"/>
        </w:rPr>
      </w:pPr>
    </w:p>
    <w:p w14:paraId="7D390534">
      <w:pPr>
        <w:pStyle w:val="2"/>
        <w:ind w:firstLine="0" w:firstLineChars="0"/>
        <w:rPr>
          <w:rFonts w:hint="eastAsia"/>
          <w:b/>
          <w:color w:val="auto"/>
          <w:sz w:val="24"/>
          <w:szCs w:val="24"/>
        </w:rPr>
      </w:pPr>
    </w:p>
    <w:p w14:paraId="38C0ED17">
      <w:pPr>
        <w:pStyle w:val="2"/>
        <w:ind w:firstLine="0" w:firstLineChars="0"/>
        <w:rPr>
          <w:rFonts w:hint="eastAsia"/>
          <w:b/>
          <w:color w:val="auto"/>
          <w:sz w:val="24"/>
          <w:szCs w:val="24"/>
        </w:rPr>
      </w:pPr>
    </w:p>
    <w:p w14:paraId="545F5D94">
      <w:pPr>
        <w:pStyle w:val="2"/>
        <w:ind w:firstLine="0" w:firstLineChars="0"/>
        <w:rPr>
          <w:rFonts w:hint="eastAsia"/>
          <w:b/>
          <w:color w:val="auto"/>
          <w:sz w:val="24"/>
          <w:szCs w:val="24"/>
        </w:rPr>
      </w:pPr>
    </w:p>
    <w:p w14:paraId="05090155">
      <w:pPr>
        <w:pStyle w:val="2"/>
        <w:ind w:firstLine="0" w:firstLineChars="0"/>
        <w:rPr>
          <w:rFonts w:hint="eastAsia"/>
          <w:b/>
          <w:color w:val="auto"/>
          <w:sz w:val="24"/>
          <w:szCs w:val="24"/>
        </w:rPr>
      </w:pPr>
    </w:p>
    <w:p w14:paraId="4E672F7C">
      <w:pPr>
        <w:pStyle w:val="2"/>
        <w:ind w:firstLine="0" w:firstLineChars="0"/>
        <w:rPr>
          <w:rFonts w:hint="eastAsia"/>
          <w:b/>
          <w:color w:val="auto"/>
          <w:sz w:val="24"/>
          <w:szCs w:val="24"/>
        </w:rPr>
      </w:pPr>
    </w:p>
    <w:p w14:paraId="2FFE33A1">
      <w:pPr>
        <w:pStyle w:val="2"/>
        <w:ind w:firstLine="0" w:firstLineChars="0"/>
        <w:rPr>
          <w:rFonts w:hint="eastAsia"/>
          <w:b/>
          <w:color w:val="auto"/>
          <w:sz w:val="24"/>
          <w:szCs w:val="24"/>
        </w:rPr>
      </w:pPr>
    </w:p>
    <w:p w14:paraId="28CC124E">
      <w:pPr>
        <w:pStyle w:val="2"/>
        <w:ind w:firstLine="0" w:firstLineChars="0"/>
        <w:rPr>
          <w:rFonts w:hint="eastAsia"/>
          <w:b/>
          <w:color w:val="auto"/>
          <w:sz w:val="24"/>
          <w:szCs w:val="24"/>
        </w:rPr>
      </w:pPr>
    </w:p>
    <w:p w14:paraId="356F59E4">
      <w:pPr>
        <w:pStyle w:val="2"/>
        <w:ind w:firstLine="0" w:firstLineChars="0"/>
        <w:rPr>
          <w:rFonts w:hint="eastAsia"/>
          <w:b/>
          <w:color w:val="auto"/>
          <w:sz w:val="24"/>
          <w:szCs w:val="24"/>
        </w:rPr>
      </w:pPr>
    </w:p>
    <w:p w14:paraId="778CE7D1">
      <w:pPr>
        <w:pStyle w:val="2"/>
        <w:ind w:firstLine="0" w:firstLineChars="0"/>
        <w:rPr>
          <w:rFonts w:hint="eastAsia"/>
          <w:b/>
          <w:color w:val="auto"/>
          <w:sz w:val="24"/>
          <w:szCs w:val="24"/>
        </w:rPr>
      </w:pPr>
    </w:p>
    <w:p w14:paraId="00AD859D">
      <w:pPr>
        <w:pStyle w:val="2"/>
        <w:ind w:firstLine="0" w:firstLineChars="0"/>
        <w:rPr>
          <w:rFonts w:hint="eastAsia"/>
          <w:b/>
          <w:color w:val="auto"/>
          <w:sz w:val="24"/>
          <w:szCs w:val="24"/>
        </w:rPr>
      </w:pPr>
    </w:p>
    <w:p w14:paraId="663EAD4E">
      <w:pPr>
        <w:pStyle w:val="2"/>
        <w:ind w:firstLine="0" w:firstLineChars="0"/>
        <w:rPr>
          <w:rFonts w:hint="eastAsia"/>
          <w:b/>
          <w:color w:val="auto"/>
          <w:sz w:val="24"/>
          <w:szCs w:val="24"/>
        </w:rPr>
      </w:pPr>
    </w:p>
    <w:p w14:paraId="7B9D2F5A">
      <w:pPr>
        <w:pStyle w:val="2"/>
        <w:ind w:firstLine="0" w:firstLineChars="0"/>
        <w:rPr>
          <w:rFonts w:hint="eastAsia"/>
          <w:b/>
          <w:color w:val="auto"/>
          <w:sz w:val="24"/>
          <w:szCs w:val="24"/>
        </w:rPr>
      </w:pPr>
    </w:p>
    <w:p w14:paraId="79ACE404">
      <w:pPr>
        <w:pStyle w:val="2"/>
        <w:ind w:firstLine="0" w:firstLineChars="0"/>
        <w:rPr>
          <w:rFonts w:hint="eastAsia"/>
          <w:b/>
          <w:color w:val="auto"/>
          <w:sz w:val="24"/>
          <w:szCs w:val="24"/>
        </w:rPr>
      </w:pPr>
    </w:p>
    <w:p w14:paraId="0B1716EF">
      <w:pPr>
        <w:pStyle w:val="2"/>
        <w:ind w:firstLine="0" w:firstLineChars="0"/>
        <w:rPr>
          <w:rFonts w:hint="eastAsia"/>
          <w:b/>
          <w:color w:val="auto"/>
          <w:sz w:val="24"/>
          <w:szCs w:val="24"/>
        </w:rPr>
      </w:pPr>
    </w:p>
    <w:p w14:paraId="369542F8">
      <w:pPr>
        <w:pStyle w:val="2"/>
        <w:ind w:firstLine="0" w:firstLineChars="0"/>
        <w:rPr>
          <w:rFonts w:hint="eastAsia"/>
          <w:b/>
          <w:color w:val="auto"/>
          <w:sz w:val="24"/>
          <w:szCs w:val="24"/>
        </w:rPr>
      </w:pPr>
    </w:p>
    <w:p w14:paraId="29E5823E">
      <w:pPr>
        <w:pStyle w:val="2"/>
        <w:ind w:firstLine="0" w:firstLineChars="0"/>
        <w:rPr>
          <w:rFonts w:hint="eastAsia"/>
          <w:b/>
          <w:color w:val="auto"/>
          <w:sz w:val="24"/>
          <w:szCs w:val="24"/>
        </w:rPr>
      </w:pPr>
    </w:p>
    <w:p w14:paraId="606E5048">
      <w:pPr>
        <w:pStyle w:val="2"/>
        <w:ind w:firstLine="0" w:firstLineChars="0"/>
        <w:rPr>
          <w:rFonts w:hint="eastAsia"/>
          <w:b/>
          <w:color w:val="auto"/>
          <w:sz w:val="24"/>
          <w:szCs w:val="24"/>
        </w:rPr>
      </w:pPr>
    </w:p>
    <w:p w14:paraId="4BFF2195">
      <w:pPr>
        <w:pStyle w:val="2"/>
        <w:ind w:firstLine="0" w:firstLineChars="0"/>
        <w:rPr>
          <w:rFonts w:hint="eastAsia"/>
          <w:b/>
          <w:color w:val="auto"/>
          <w:sz w:val="24"/>
          <w:szCs w:val="24"/>
        </w:rPr>
      </w:pPr>
    </w:p>
    <w:p w14:paraId="24B6B460">
      <w:pPr>
        <w:pStyle w:val="2"/>
        <w:ind w:firstLine="0" w:firstLineChars="0"/>
        <w:rPr>
          <w:rFonts w:hint="eastAsia"/>
          <w:b/>
          <w:color w:val="auto"/>
          <w:sz w:val="24"/>
          <w:szCs w:val="24"/>
        </w:rPr>
      </w:pPr>
    </w:p>
    <w:p w14:paraId="78461E8D">
      <w:pPr>
        <w:pStyle w:val="2"/>
        <w:ind w:firstLine="0" w:firstLineChars="0"/>
        <w:rPr>
          <w:rFonts w:hint="eastAsia"/>
          <w:b/>
          <w:color w:val="auto"/>
          <w:sz w:val="24"/>
          <w:szCs w:val="24"/>
        </w:rPr>
      </w:pPr>
    </w:p>
    <w:p w14:paraId="72CA4081">
      <w:pPr>
        <w:pStyle w:val="2"/>
        <w:ind w:firstLine="0" w:firstLineChars="0"/>
        <w:rPr>
          <w:rFonts w:hint="eastAsia"/>
          <w:b/>
          <w:color w:val="auto"/>
          <w:sz w:val="24"/>
          <w:szCs w:val="24"/>
        </w:rPr>
      </w:pPr>
    </w:p>
    <w:p w14:paraId="628C531B">
      <w:pPr>
        <w:pStyle w:val="2"/>
        <w:ind w:firstLine="0" w:firstLineChars="0"/>
        <w:rPr>
          <w:rFonts w:hint="eastAsia"/>
          <w:b/>
          <w:color w:val="auto"/>
          <w:sz w:val="24"/>
          <w:szCs w:val="24"/>
        </w:rPr>
      </w:pPr>
    </w:p>
    <w:p w14:paraId="4455CC3F">
      <w:pPr>
        <w:pStyle w:val="2"/>
        <w:ind w:firstLine="0" w:firstLineChars="0"/>
        <w:rPr>
          <w:rFonts w:hint="eastAsia"/>
          <w:b/>
          <w:color w:val="auto"/>
          <w:sz w:val="24"/>
          <w:szCs w:val="24"/>
        </w:rPr>
      </w:pPr>
    </w:p>
    <w:p w14:paraId="68215FB8">
      <w:pPr>
        <w:pStyle w:val="2"/>
        <w:ind w:firstLine="0" w:firstLineChars="0"/>
        <w:rPr>
          <w:rFonts w:hint="eastAsia"/>
          <w:b/>
          <w:color w:val="auto"/>
          <w:sz w:val="24"/>
          <w:szCs w:val="24"/>
        </w:rPr>
      </w:pPr>
    </w:p>
    <w:p w14:paraId="454C1633">
      <w:pPr>
        <w:tabs>
          <w:tab w:val="left" w:pos="4465"/>
        </w:tabs>
        <w:spacing w:line="360" w:lineRule="auto"/>
        <w:rPr>
          <w:rFonts w:ascii="宋体" w:hAnsi="宋体" w:cs="宋体"/>
          <w:b/>
          <w:color w:val="auto"/>
          <w:szCs w:val="24"/>
        </w:rPr>
      </w:pPr>
      <w:r>
        <w:rPr>
          <w:rFonts w:hint="eastAsia" w:ascii="宋体" w:hAnsi="宋体" w:cs="宋体"/>
          <w:b/>
          <w:color w:val="auto"/>
          <w:szCs w:val="24"/>
        </w:rPr>
        <w:t>附件一、廉政合作协议</w:t>
      </w:r>
    </w:p>
    <w:p w14:paraId="17FBF6D4">
      <w:pPr>
        <w:spacing w:line="360" w:lineRule="auto"/>
        <w:ind w:firstLine="292"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3626A77C">
      <w:pPr>
        <w:spacing w:line="360" w:lineRule="auto"/>
        <w:rPr>
          <w:rFonts w:hint="eastAsia" w:ascii="宋体" w:hAnsi="宋体"/>
          <w:b/>
          <w:color w:val="auto"/>
          <w:szCs w:val="24"/>
        </w:rPr>
      </w:pPr>
      <w:r>
        <w:rPr>
          <w:rFonts w:hint="eastAsia" w:ascii="宋体" w:hAnsi="宋体"/>
          <w:b/>
          <w:color w:val="auto"/>
          <w:szCs w:val="24"/>
        </w:rPr>
        <w:t>甲方：洛阳浩德浩康置业有限公司</w:t>
      </w:r>
    </w:p>
    <w:p w14:paraId="46FA3B26">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cs="宋体"/>
          <w:color w:val="auto"/>
          <w:szCs w:val="21"/>
          <w:highlight w:val="none"/>
          <w:lang w:val="en-US" w:eastAsia="zh-CN"/>
        </w:rPr>
        <w:t>洛阳懿居房产经纪有限公司</w:t>
      </w:r>
    </w:p>
    <w:p w14:paraId="53AA909E">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5E24782A">
      <w:pPr>
        <w:spacing w:line="360" w:lineRule="auto"/>
        <w:ind w:firstLine="422" w:firstLineChars="200"/>
        <w:rPr>
          <w:rFonts w:ascii="宋体" w:hAnsi="宋体" w:cs="宋体"/>
          <w:b/>
          <w:color w:val="auto"/>
          <w:szCs w:val="28"/>
        </w:rPr>
      </w:pPr>
      <w:r>
        <w:rPr>
          <w:rFonts w:hint="eastAsia" w:ascii="宋体" w:hAnsi="宋体" w:cs="宋体"/>
          <w:b/>
          <w:color w:val="auto"/>
          <w:szCs w:val="28"/>
        </w:rPr>
        <w:t>一．甲方责任</w:t>
      </w:r>
    </w:p>
    <w:p w14:paraId="55F40DD7">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24184E22">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30440E63">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1E7BAAAC">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69B51859">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4AB61143">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226C5B39">
      <w:pPr>
        <w:spacing w:line="360" w:lineRule="auto"/>
        <w:ind w:firstLine="422" w:firstLineChars="200"/>
        <w:rPr>
          <w:rFonts w:ascii="宋体" w:hAnsi="宋体" w:cs="宋体"/>
          <w:b/>
          <w:color w:val="auto"/>
          <w:szCs w:val="28"/>
        </w:rPr>
      </w:pPr>
      <w:r>
        <w:rPr>
          <w:rFonts w:hint="eastAsia" w:ascii="宋体" w:hAnsi="宋体" w:cs="宋体"/>
          <w:b/>
          <w:color w:val="auto"/>
          <w:szCs w:val="28"/>
        </w:rPr>
        <w:t>二．乙方责任</w:t>
      </w:r>
    </w:p>
    <w:p w14:paraId="44B1F406">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56C0D01A">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7744FF72">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0DD60904">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67B44298">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A0D2C75">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5D97324F">
      <w:pPr>
        <w:spacing w:line="360" w:lineRule="auto"/>
        <w:ind w:firstLine="422"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三、为维护甲乙双方的合法利益，营造良好的商务环境，甲方建立多种举报渠道（如下）。甲方风控部人员将恪守职业道德，严格履行保密义务！</w:t>
      </w:r>
    </w:p>
    <w:p w14:paraId="1DDDFB57">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1FC13B73">
      <w:pPr>
        <w:spacing w:line="360" w:lineRule="auto"/>
        <w:ind w:firstLine="420" w:firstLineChars="200"/>
        <w:rPr>
          <w:rFonts w:ascii="宋体" w:hAnsi="宋体" w:cs="宋体"/>
          <w:color w:val="auto"/>
          <w:szCs w:val="28"/>
        </w:rPr>
      </w:pPr>
      <w:r>
        <w:rPr>
          <w:color w:val="auto"/>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77E01AD5">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14:paraId="00282096">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14:paraId="40603E28">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045E4AB7">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6D97D644">
      <w:pPr>
        <w:spacing w:line="360" w:lineRule="auto"/>
        <w:ind w:firstLine="422"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32702FF2">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30D8B3CD">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4721649C">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4E73C435">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63BDCB8B">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48E8A3BA">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3F2B6B42">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22D5C5FF">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6D8C2BFE">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0B1D1025">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4DAED03F">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373F872E">
      <w:pPr>
        <w:spacing w:line="360" w:lineRule="auto"/>
        <w:ind w:firstLine="420" w:firstLineChars="200"/>
        <w:rPr>
          <w:rFonts w:hint="eastAsia"/>
          <w:color w:val="auto"/>
        </w:rPr>
      </w:pPr>
      <w:r>
        <w:rPr>
          <w:rFonts w:hint="eastAsia" w:ascii="宋体" w:hAnsi="宋体" w:cs="宋体"/>
          <w:color w:val="auto"/>
        </w:rPr>
        <w:t>（以下无正文）</w:t>
      </w:r>
    </w:p>
    <w:p w14:paraId="66CD16EA">
      <w:pPr>
        <w:spacing w:line="360" w:lineRule="auto"/>
        <w:rPr>
          <w:rFonts w:hint="eastAsia" w:ascii="宋体" w:hAnsi="宋体"/>
          <w:b/>
          <w:color w:val="auto"/>
          <w:szCs w:val="24"/>
          <w:highlight w:val="none"/>
        </w:rPr>
      </w:pPr>
      <w:r>
        <w:rPr>
          <w:rFonts w:hint="eastAsia" w:ascii="宋体" w:hAnsi="宋体" w:cs="宋体"/>
          <w:color w:val="auto"/>
          <w:szCs w:val="28"/>
        </w:rPr>
        <w:t>甲方（盖章）：</w:t>
      </w:r>
      <w:r>
        <w:rPr>
          <w:rFonts w:hint="eastAsia" w:ascii="宋体" w:hAnsi="宋体"/>
          <w:b/>
          <w:color w:val="auto"/>
          <w:szCs w:val="24"/>
        </w:rPr>
        <w:t>洛阳浩德浩康置业有限公司</w:t>
      </w:r>
      <w:r>
        <w:rPr>
          <w:rFonts w:hint="eastAsia" w:ascii="宋体" w:hAnsi="宋体" w:cs="宋体"/>
          <w:color w:val="auto"/>
          <w:szCs w:val="28"/>
        </w:rPr>
        <w:t xml:space="preserve">           乙方（盖章）：</w:t>
      </w:r>
      <w:r>
        <w:rPr>
          <w:rFonts w:hint="eastAsia" w:ascii="宋体" w:hAnsi="宋体" w:cs="宋体"/>
          <w:color w:val="auto"/>
          <w:szCs w:val="21"/>
          <w:highlight w:val="none"/>
          <w:lang w:val="en-US" w:eastAsia="zh-CN"/>
        </w:rPr>
        <w:t>洛阳懿居房产经纪有限公司</w:t>
      </w:r>
    </w:p>
    <w:p w14:paraId="53CDB346">
      <w:pPr>
        <w:spacing w:line="360" w:lineRule="auto"/>
        <w:ind w:left="6090" w:hanging="6090" w:hangingChars="2900"/>
        <w:rPr>
          <w:rFonts w:hint="eastAsia" w:ascii="宋体" w:hAnsi="宋体" w:cs="宋体"/>
          <w:color w:val="auto"/>
          <w:szCs w:val="28"/>
        </w:rPr>
      </w:pPr>
      <w:r>
        <w:rPr>
          <w:rFonts w:hint="eastAsia" w:ascii="宋体" w:hAnsi="宋体" w:cs="宋体"/>
          <w:color w:val="auto"/>
          <w:szCs w:val="28"/>
        </w:rPr>
        <w:t>签订日期：</w:t>
      </w:r>
      <w:r>
        <w:rPr>
          <w:rFonts w:hint="eastAsia" w:ascii="宋体" w:hAnsi="宋体" w:cs="宋体"/>
          <w:color w:val="auto"/>
          <w:szCs w:val="28"/>
          <w:u w:val="single"/>
        </w:rPr>
        <w:t>202</w:t>
      </w:r>
      <w:r>
        <w:rPr>
          <w:rFonts w:ascii="宋体" w:hAnsi="宋体" w:cs="宋体"/>
          <w:color w:val="auto"/>
          <w:szCs w:val="28"/>
          <w:u w:val="single"/>
        </w:rPr>
        <w:t>4</w:t>
      </w:r>
      <w:r>
        <w:rPr>
          <w:rFonts w:hint="eastAsia" w:ascii="宋体" w:hAnsi="宋体" w:cs="宋体"/>
          <w:color w:val="auto"/>
          <w:szCs w:val="28"/>
        </w:rPr>
        <w:t>年</w:t>
      </w:r>
      <w:r>
        <w:rPr>
          <w:rFonts w:hint="eastAsia" w:ascii="宋体" w:hAnsi="宋体" w:cs="宋体"/>
          <w:color w:val="auto"/>
          <w:szCs w:val="28"/>
          <w:u w:val="single"/>
        </w:rPr>
        <w:t xml:space="preserve"> </w:t>
      </w:r>
      <w:r>
        <w:rPr>
          <w:rFonts w:hint="eastAsia" w:ascii="宋体" w:hAnsi="宋体" w:cs="宋体"/>
          <w:color w:val="auto"/>
          <w:szCs w:val="28"/>
          <w:u w:val="single"/>
          <w:lang w:val="en-US" w:eastAsia="zh-CN"/>
        </w:rPr>
        <w:t>9</w:t>
      </w:r>
      <w:r>
        <w:rPr>
          <w:rFonts w:hint="eastAsia" w:ascii="宋体" w:hAnsi="宋体" w:cs="宋体"/>
          <w:color w:val="auto"/>
          <w:szCs w:val="28"/>
          <w:u w:val="single"/>
        </w:rPr>
        <w:t xml:space="preserve"> </w:t>
      </w:r>
      <w:r>
        <w:rPr>
          <w:rFonts w:hint="eastAsia" w:ascii="宋体" w:hAnsi="宋体" w:cs="宋体"/>
          <w:color w:val="auto"/>
          <w:szCs w:val="28"/>
        </w:rPr>
        <w:t>月</w:t>
      </w:r>
      <w:r>
        <w:rPr>
          <w:rFonts w:hint="eastAsia" w:ascii="宋体" w:hAnsi="宋体" w:cs="宋体"/>
          <w:color w:val="auto"/>
          <w:szCs w:val="28"/>
          <w:u w:val="single"/>
        </w:rPr>
        <w:t xml:space="preserve"> </w:t>
      </w:r>
      <w:r>
        <w:rPr>
          <w:rFonts w:ascii="宋体" w:hAnsi="宋体" w:cs="宋体"/>
          <w:color w:val="auto"/>
          <w:szCs w:val="28"/>
          <w:u w:val="single"/>
        </w:rPr>
        <w:t>1</w:t>
      </w:r>
      <w:r>
        <w:rPr>
          <w:rFonts w:hint="eastAsia" w:ascii="宋体" w:hAnsi="宋体" w:cs="宋体"/>
          <w:color w:val="auto"/>
          <w:szCs w:val="28"/>
          <w:u w:val="single"/>
        </w:rPr>
        <w:t xml:space="preserve"> </w:t>
      </w:r>
      <w:r>
        <w:rPr>
          <w:rFonts w:hint="eastAsia" w:ascii="宋体" w:hAnsi="宋体" w:cs="宋体"/>
          <w:color w:val="auto"/>
          <w:szCs w:val="28"/>
        </w:rPr>
        <w:t xml:space="preserve">日              </w:t>
      </w:r>
      <w:r>
        <w:rPr>
          <w:rFonts w:ascii="宋体" w:hAnsi="宋体" w:cs="宋体"/>
          <w:color w:val="auto"/>
          <w:szCs w:val="28"/>
        </w:rPr>
        <w:t xml:space="preserve">       </w:t>
      </w:r>
      <w:r>
        <w:rPr>
          <w:rFonts w:hint="eastAsia" w:ascii="宋体" w:hAnsi="宋体" w:cs="宋体"/>
          <w:color w:val="auto"/>
          <w:szCs w:val="28"/>
        </w:rPr>
        <w:t>签订日期：</w:t>
      </w:r>
      <w:r>
        <w:rPr>
          <w:rFonts w:hint="eastAsia" w:ascii="宋体" w:hAnsi="宋体" w:cs="宋体"/>
          <w:color w:val="auto"/>
          <w:szCs w:val="28"/>
          <w:u w:val="single"/>
        </w:rPr>
        <w:t>202</w:t>
      </w:r>
      <w:r>
        <w:rPr>
          <w:rFonts w:ascii="宋体" w:hAnsi="宋体" w:cs="宋体"/>
          <w:color w:val="auto"/>
          <w:szCs w:val="28"/>
          <w:u w:val="single"/>
        </w:rPr>
        <w:t>4</w:t>
      </w:r>
      <w:r>
        <w:rPr>
          <w:rFonts w:hint="eastAsia" w:ascii="宋体" w:hAnsi="宋体" w:cs="宋体"/>
          <w:color w:val="auto"/>
          <w:szCs w:val="28"/>
        </w:rPr>
        <w:t>年</w:t>
      </w:r>
      <w:r>
        <w:rPr>
          <w:rFonts w:hint="eastAsia" w:ascii="宋体" w:hAnsi="宋体" w:cs="宋体"/>
          <w:color w:val="auto"/>
          <w:szCs w:val="28"/>
          <w:u w:val="single"/>
          <w:lang w:val="en-US" w:eastAsia="zh-CN"/>
        </w:rPr>
        <w:t>9</w:t>
      </w:r>
      <w:r>
        <w:rPr>
          <w:rFonts w:hint="eastAsia" w:ascii="宋体" w:hAnsi="宋体" w:cs="宋体"/>
          <w:color w:val="auto"/>
          <w:szCs w:val="28"/>
          <w:u w:val="single"/>
        </w:rPr>
        <w:t xml:space="preserve"> </w:t>
      </w:r>
      <w:r>
        <w:rPr>
          <w:rFonts w:hint="eastAsia" w:ascii="宋体" w:hAnsi="宋体" w:cs="宋体"/>
          <w:color w:val="auto"/>
          <w:szCs w:val="28"/>
        </w:rPr>
        <w:t>月</w:t>
      </w:r>
      <w:r>
        <w:rPr>
          <w:rFonts w:hint="eastAsia" w:ascii="宋体" w:hAnsi="宋体" w:cs="宋体"/>
          <w:color w:val="auto"/>
          <w:szCs w:val="28"/>
          <w:u w:val="single"/>
        </w:rPr>
        <w:t xml:space="preserve"> </w:t>
      </w:r>
      <w:r>
        <w:rPr>
          <w:rFonts w:ascii="宋体" w:hAnsi="宋体" w:cs="宋体"/>
          <w:color w:val="auto"/>
          <w:szCs w:val="28"/>
          <w:u w:val="single"/>
        </w:rPr>
        <w:t>1</w:t>
      </w:r>
      <w:r>
        <w:rPr>
          <w:rFonts w:hint="eastAsia" w:ascii="宋体" w:hAnsi="宋体" w:cs="宋体"/>
          <w:color w:val="auto"/>
          <w:szCs w:val="28"/>
          <w:u w:val="single"/>
        </w:rPr>
        <w:t xml:space="preserve"> </w:t>
      </w:r>
      <w:r>
        <w:rPr>
          <w:rFonts w:hint="eastAsia" w:ascii="宋体" w:hAnsi="宋体" w:cs="宋体"/>
          <w:color w:val="auto"/>
          <w:szCs w:val="28"/>
        </w:rPr>
        <w:t>日</w:t>
      </w:r>
    </w:p>
    <w:p w14:paraId="735CBBD8">
      <w:pPr>
        <w:pStyle w:val="2"/>
        <w:ind w:firstLine="0" w:firstLineChars="0"/>
        <w:rPr>
          <w:rFonts w:hint="eastAsia"/>
          <w:b/>
          <w:color w:val="auto"/>
          <w:sz w:val="24"/>
          <w:szCs w:val="24"/>
        </w:rPr>
      </w:pPr>
    </w:p>
    <w:p w14:paraId="7C40DF75">
      <w:pPr>
        <w:pStyle w:val="2"/>
        <w:ind w:firstLine="0" w:firstLineChars="0"/>
        <w:rPr>
          <w:rFonts w:hint="eastAsia"/>
          <w:b/>
          <w:color w:val="auto"/>
          <w:sz w:val="24"/>
          <w:szCs w:val="24"/>
        </w:rPr>
      </w:pPr>
    </w:p>
    <w:p w14:paraId="2236B2CB">
      <w:pPr>
        <w:pStyle w:val="2"/>
        <w:ind w:firstLine="0" w:firstLineChars="0"/>
        <w:rPr>
          <w:rFonts w:hint="eastAsia"/>
          <w:b/>
          <w:color w:val="auto"/>
          <w:sz w:val="24"/>
          <w:szCs w:val="24"/>
        </w:rPr>
      </w:pPr>
    </w:p>
    <w:p w14:paraId="5B6294D2">
      <w:pPr>
        <w:pStyle w:val="2"/>
        <w:ind w:firstLine="0" w:firstLineChars="0"/>
        <w:rPr>
          <w:rFonts w:hint="eastAsia"/>
          <w:b/>
          <w:color w:val="auto"/>
          <w:sz w:val="24"/>
          <w:szCs w:val="24"/>
        </w:rPr>
      </w:pPr>
    </w:p>
    <w:p w14:paraId="725FF219">
      <w:pPr>
        <w:pStyle w:val="2"/>
        <w:ind w:firstLine="0" w:firstLineChars="0"/>
        <w:rPr>
          <w:rFonts w:hint="eastAsia"/>
          <w:b/>
          <w:color w:val="auto"/>
          <w:sz w:val="24"/>
          <w:szCs w:val="24"/>
        </w:rPr>
      </w:pPr>
    </w:p>
    <w:p w14:paraId="3F202D0A">
      <w:pPr>
        <w:pStyle w:val="2"/>
        <w:ind w:firstLine="0" w:firstLineChars="0"/>
        <w:rPr>
          <w:rFonts w:hint="eastAsia"/>
          <w:b/>
          <w:color w:val="auto"/>
          <w:sz w:val="24"/>
          <w:szCs w:val="24"/>
        </w:rPr>
      </w:pPr>
    </w:p>
    <w:p w14:paraId="1939C6B9">
      <w:pPr>
        <w:pStyle w:val="2"/>
        <w:ind w:firstLine="0" w:firstLineChars="0"/>
        <w:rPr>
          <w:rFonts w:hint="eastAsia"/>
          <w:b/>
          <w:color w:val="auto"/>
          <w:sz w:val="24"/>
          <w:szCs w:val="24"/>
        </w:rPr>
      </w:pPr>
    </w:p>
    <w:p w14:paraId="6B9B352B">
      <w:pPr>
        <w:pStyle w:val="2"/>
        <w:ind w:firstLine="0" w:firstLineChars="0"/>
        <w:rPr>
          <w:rFonts w:hint="eastAsia"/>
          <w:b/>
          <w:color w:val="auto"/>
          <w:sz w:val="24"/>
          <w:szCs w:val="24"/>
        </w:rPr>
      </w:pPr>
    </w:p>
    <w:p w14:paraId="55CC43F7">
      <w:pPr>
        <w:pStyle w:val="2"/>
        <w:ind w:firstLine="0" w:firstLineChars="0"/>
        <w:rPr>
          <w:rFonts w:hint="eastAsia"/>
          <w:b/>
          <w:color w:val="auto"/>
          <w:sz w:val="24"/>
          <w:szCs w:val="24"/>
        </w:rPr>
      </w:pPr>
    </w:p>
    <w:p w14:paraId="2714B336">
      <w:pPr>
        <w:pStyle w:val="2"/>
        <w:ind w:firstLine="0" w:firstLineChars="0"/>
        <w:rPr>
          <w:rFonts w:hint="eastAsia"/>
          <w:b/>
          <w:color w:val="auto"/>
          <w:sz w:val="24"/>
          <w:szCs w:val="24"/>
        </w:rPr>
      </w:pPr>
    </w:p>
    <w:p w14:paraId="7F3B2117">
      <w:pPr>
        <w:pStyle w:val="2"/>
        <w:ind w:firstLine="0" w:firstLineChars="0"/>
        <w:rPr>
          <w:rFonts w:hint="eastAsia"/>
          <w:b/>
          <w:color w:val="auto"/>
          <w:sz w:val="24"/>
          <w:szCs w:val="24"/>
        </w:rPr>
      </w:pPr>
    </w:p>
    <w:p w14:paraId="3699E245">
      <w:pPr>
        <w:pStyle w:val="2"/>
        <w:ind w:firstLine="0" w:firstLineChars="0"/>
        <w:rPr>
          <w:rFonts w:hint="eastAsia"/>
          <w:b/>
          <w:color w:val="auto"/>
          <w:sz w:val="24"/>
          <w:szCs w:val="24"/>
        </w:rPr>
      </w:pPr>
    </w:p>
    <w:p w14:paraId="1F5EBA4A">
      <w:pPr>
        <w:pStyle w:val="2"/>
        <w:ind w:firstLine="0" w:firstLineChars="0"/>
        <w:rPr>
          <w:rFonts w:hint="eastAsia"/>
          <w:b/>
          <w:color w:val="auto"/>
          <w:sz w:val="24"/>
          <w:szCs w:val="24"/>
        </w:rPr>
      </w:pPr>
    </w:p>
    <w:p w14:paraId="214E7A37">
      <w:pPr>
        <w:pStyle w:val="2"/>
        <w:ind w:firstLine="0" w:firstLineChars="0"/>
        <w:rPr>
          <w:rFonts w:hint="eastAsia"/>
          <w:b/>
          <w:color w:val="auto"/>
          <w:sz w:val="24"/>
          <w:szCs w:val="24"/>
        </w:rPr>
      </w:pPr>
    </w:p>
    <w:p w14:paraId="333431C6">
      <w:pPr>
        <w:pStyle w:val="2"/>
        <w:ind w:firstLine="0" w:firstLineChars="0"/>
        <w:rPr>
          <w:rFonts w:hint="eastAsia"/>
          <w:b/>
          <w:color w:val="auto"/>
          <w:sz w:val="24"/>
          <w:szCs w:val="24"/>
        </w:rPr>
      </w:pPr>
    </w:p>
    <w:p w14:paraId="5E08D232">
      <w:pPr>
        <w:pStyle w:val="2"/>
        <w:ind w:firstLine="0" w:firstLineChars="0"/>
        <w:rPr>
          <w:rFonts w:hint="eastAsia"/>
          <w:b/>
          <w:color w:val="auto"/>
          <w:sz w:val="24"/>
          <w:szCs w:val="24"/>
        </w:rPr>
      </w:pPr>
    </w:p>
    <w:p w14:paraId="74343A25">
      <w:pPr>
        <w:pStyle w:val="2"/>
        <w:ind w:firstLine="0" w:firstLineChars="0"/>
        <w:rPr>
          <w:rFonts w:hint="eastAsia"/>
          <w:b/>
          <w:color w:val="auto"/>
          <w:sz w:val="24"/>
          <w:szCs w:val="24"/>
        </w:rPr>
      </w:pPr>
    </w:p>
    <w:p w14:paraId="6523E6B4">
      <w:pPr>
        <w:pStyle w:val="2"/>
        <w:ind w:firstLine="0" w:firstLineChars="0"/>
        <w:rPr>
          <w:rFonts w:hint="eastAsia"/>
          <w:b/>
          <w:color w:val="auto"/>
          <w:sz w:val="24"/>
          <w:szCs w:val="24"/>
        </w:rPr>
      </w:pPr>
    </w:p>
    <w:p w14:paraId="6C03A27D">
      <w:pPr>
        <w:pStyle w:val="2"/>
        <w:ind w:firstLine="0" w:firstLineChars="0"/>
        <w:rPr>
          <w:rFonts w:hint="eastAsia"/>
          <w:b/>
          <w:color w:val="auto"/>
          <w:sz w:val="24"/>
          <w:szCs w:val="24"/>
        </w:rPr>
      </w:pPr>
    </w:p>
    <w:p w14:paraId="68CA4A6C">
      <w:pPr>
        <w:pStyle w:val="2"/>
        <w:ind w:firstLine="0" w:firstLineChars="0"/>
        <w:rPr>
          <w:rFonts w:hint="eastAsia"/>
          <w:b/>
          <w:color w:val="auto"/>
          <w:sz w:val="24"/>
          <w:szCs w:val="24"/>
        </w:rPr>
      </w:pPr>
    </w:p>
    <w:p w14:paraId="67E2D0D6">
      <w:pPr>
        <w:pStyle w:val="2"/>
        <w:ind w:firstLine="0" w:firstLineChars="0"/>
        <w:rPr>
          <w:rFonts w:hint="eastAsia"/>
          <w:b/>
          <w:color w:val="auto"/>
          <w:sz w:val="24"/>
          <w:szCs w:val="24"/>
        </w:rPr>
      </w:pPr>
      <w:r>
        <w:rPr>
          <w:rFonts w:hint="eastAsia"/>
          <w:b/>
          <w:color w:val="auto"/>
          <w:sz w:val="24"/>
          <w:szCs w:val="24"/>
        </w:rPr>
        <w:t>附件二、《客户带看确认表》</w:t>
      </w:r>
    </w:p>
    <w:tbl>
      <w:tblPr>
        <w:tblStyle w:val="10"/>
        <w:tblW w:w="9551" w:type="dxa"/>
        <w:tblInd w:w="93" w:type="dxa"/>
        <w:tblLayout w:type="autofit"/>
        <w:tblCellMar>
          <w:top w:w="0" w:type="dxa"/>
          <w:left w:w="108" w:type="dxa"/>
          <w:bottom w:w="0" w:type="dxa"/>
          <w:right w:w="108" w:type="dxa"/>
        </w:tblCellMar>
      </w:tblPr>
      <w:tblGrid>
        <w:gridCol w:w="2302"/>
        <w:gridCol w:w="2302"/>
        <w:gridCol w:w="1288"/>
        <w:gridCol w:w="1693"/>
        <w:gridCol w:w="1288"/>
        <w:gridCol w:w="678"/>
      </w:tblGrid>
      <w:tr w14:paraId="3E9BFD73">
        <w:tblPrEx>
          <w:tblCellMar>
            <w:top w:w="0" w:type="dxa"/>
            <w:left w:w="108" w:type="dxa"/>
            <w:bottom w:w="0" w:type="dxa"/>
            <w:right w:w="108" w:type="dxa"/>
          </w:tblCellMar>
        </w:tblPrEx>
        <w:trPr>
          <w:trHeight w:val="360" w:hRule="atLeast"/>
        </w:trPr>
        <w:tc>
          <w:tcPr>
            <w:tcW w:w="9551" w:type="dxa"/>
            <w:gridSpan w:val="6"/>
            <w:tcBorders>
              <w:top w:val="single" w:color="000000" w:sz="4" w:space="0"/>
              <w:left w:val="single" w:color="000000" w:sz="4" w:space="0"/>
              <w:bottom w:val="single" w:color="000000" w:sz="4" w:space="0"/>
              <w:right w:val="single" w:color="000000" w:sz="4" w:space="0"/>
            </w:tcBorders>
            <w:noWrap/>
            <w:vAlign w:val="center"/>
          </w:tcPr>
          <w:p w14:paraId="05A3088D">
            <w:pPr>
              <w:widowControl/>
              <w:jc w:val="center"/>
              <w:textAlignment w:val="center"/>
              <w:rPr>
                <w:rFonts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洛宁·浩德·山水文苑项目</w:t>
            </w:r>
          </w:p>
        </w:tc>
      </w:tr>
      <w:tr w14:paraId="1D4D435B">
        <w:tblPrEx>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23DCC665">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客户带看确认表</w:t>
            </w:r>
          </w:p>
        </w:tc>
      </w:tr>
      <w:tr w14:paraId="3A7498A8">
        <w:tblPrEx>
          <w:tblCellMar>
            <w:top w:w="0" w:type="dxa"/>
            <w:left w:w="108" w:type="dxa"/>
            <w:bottom w:w="0" w:type="dxa"/>
            <w:right w:w="108" w:type="dxa"/>
          </w:tblCellMar>
        </w:tblPrEx>
        <w:trPr>
          <w:trHeight w:val="41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A765E6">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报备时间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EE48C">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到访日期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24858">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客户姓名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F8907">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联系电话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4FBA6">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客户来源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A0A67">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备注</w:t>
            </w:r>
          </w:p>
        </w:tc>
      </w:tr>
      <w:tr w14:paraId="6130A9C1">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03DF4">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D4B9F">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156E7">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65F2A">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93AA3">
            <w:pPr>
              <w:rPr>
                <w:rFonts w:hint="eastAsia" w:ascii="宋体" w:hAnsi="宋体" w:cs="宋体"/>
                <w:color w:val="auto"/>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D144D0B">
            <w:pPr>
              <w:jc w:val="center"/>
              <w:rPr>
                <w:rFonts w:hint="eastAsia" w:ascii="宋体" w:hAnsi="宋体" w:cs="宋体"/>
                <w:color w:val="auto"/>
                <w:sz w:val="16"/>
                <w:szCs w:val="16"/>
              </w:rPr>
            </w:pPr>
          </w:p>
        </w:tc>
      </w:tr>
      <w:tr w14:paraId="278B6551">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F6B25B">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AB06C">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9F600">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23E39">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6267D">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CC779D">
            <w:pPr>
              <w:jc w:val="center"/>
              <w:rPr>
                <w:rFonts w:hint="eastAsia" w:ascii="宋体" w:hAnsi="宋体" w:cs="宋体"/>
                <w:color w:val="auto"/>
                <w:sz w:val="16"/>
                <w:szCs w:val="16"/>
              </w:rPr>
            </w:pPr>
          </w:p>
        </w:tc>
      </w:tr>
      <w:tr w14:paraId="1729CF16">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EB1582">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1515D">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AAB2D">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75E86">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9F4D0">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6120A9">
            <w:pPr>
              <w:jc w:val="center"/>
              <w:rPr>
                <w:rFonts w:hint="eastAsia" w:ascii="宋体" w:hAnsi="宋体" w:cs="宋体"/>
                <w:color w:val="auto"/>
                <w:sz w:val="16"/>
                <w:szCs w:val="16"/>
              </w:rPr>
            </w:pPr>
          </w:p>
        </w:tc>
      </w:tr>
      <w:tr w14:paraId="60A72B7D">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DF7D8">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581FB">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23681">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9FA0D">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1D9E8">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72C887">
            <w:pPr>
              <w:jc w:val="center"/>
              <w:rPr>
                <w:rFonts w:hint="eastAsia" w:ascii="宋体" w:hAnsi="宋体" w:cs="宋体"/>
                <w:color w:val="auto"/>
                <w:sz w:val="16"/>
                <w:szCs w:val="16"/>
              </w:rPr>
            </w:pPr>
          </w:p>
        </w:tc>
      </w:tr>
      <w:tr w14:paraId="5528ACC9">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A59F74">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300CD">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14D3E">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A280A">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CD691">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B5A2D7">
            <w:pPr>
              <w:jc w:val="center"/>
              <w:rPr>
                <w:rFonts w:hint="eastAsia" w:ascii="宋体" w:hAnsi="宋体" w:cs="宋体"/>
                <w:color w:val="auto"/>
                <w:sz w:val="16"/>
                <w:szCs w:val="16"/>
              </w:rPr>
            </w:pPr>
          </w:p>
        </w:tc>
      </w:tr>
      <w:tr w14:paraId="51962631">
        <w:tblPrEx>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17AA01">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大区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87C8C">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门店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ADF78">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推荐人姓名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6D119">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推荐人联系电话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02E13">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经纪人姓名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F612CC">
            <w:pPr>
              <w:jc w:val="center"/>
              <w:rPr>
                <w:rFonts w:hint="eastAsia" w:ascii="宋体" w:hAnsi="宋体" w:cs="宋体"/>
                <w:color w:val="auto"/>
                <w:sz w:val="16"/>
                <w:szCs w:val="16"/>
              </w:rPr>
            </w:pPr>
          </w:p>
        </w:tc>
      </w:tr>
      <w:tr w14:paraId="76514281">
        <w:tblPrEx>
          <w:tblCellMar>
            <w:top w:w="0" w:type="dxa"/>
            <w:left w:w="108" w:type="dxa"/>
            <w:bottom w:w="0" w:type="dxa"/>
            <w:right w:w="108" w:type="dxa"/>
          </w:tblCellMar>
        </w:tblPrEx>
        <w:trPr>
          <w:trHeight w:val="4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302B55">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0CB02">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4FC16">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E3EEA">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2E6CC">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B08EED">
            <w:pPr>
              <w:jc w:val="center"/>
              <w:rPr>
                <w:rFonts w:hint="eastAsia" w:ascii="宋体" w:hAnsi="宋体" w:cs="宋体"/>
                <w:color w:val="auto"/>
                <w:sz w:val="16"/>
                <w:szCs w:val="16"/>
              </w:rPr>
            </w:pPr>
          </w:p>
        </w:tc>
      </w:tr>
      <w:tr w14:paraId="3EBD127B">
        <w:tblPrEx>
          <w:tblCellMar>
            <w:top w:w="0" w:type="dxa"/>
            <w:left w:w="108" w:type="dxa"/>
            <w:bottom w:w="0" w:type="dxa"/>
            <w:right w:w="108" w:type="dxa"/>
          </w:tblCellMar>
        </w:tblPrEx>
        <w:trPr>
          <w:trHeight w:val="178"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57013FF">
            <w:pPr>
              <w:widowControl/>
              <w:jc w:val="left"/>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 xml:space="preserve">          此登记确认表一式叁份，甲方执壹份，乙方执贰份</w:t>
            </w:r>
          </w:p>
        </w:tc>
      </w:tr>
      <w:tr w14:paraId="532889A5">
        <w:tblPrEx>
          <w:tblCellMar>
            <w:top w:w="0" w:type="dxa"/>
            <w:left w:w="108" w:type="dxa"/>
            <w:bottom w:w="0" w:type="dxa"/>
            <w:right w:w="108" w:type="dxa"/>
          </w:tblCellMar>
        </w:tblPrEx>
        <w:trPr>
          <w:trHeight w:val="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0519BF">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89B03">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E68B6">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FB370">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E1588">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D3295">
            <w:pPr>
              <w:rPr>
                <w:rFonts w:hint="eastAsia" w:ascii="宋体" w:hAnsi="宋体" w:cs="宋体"/>
                <w:color w:val="auto"/>
                <w:sz w:val="16"/>
                <w:szCs w:val="16"/>
              </w:rPr>
            </w:pPr>
          </w:p>
        </w:tc>
      </w:tr>
      <w:tr w14:paraId="175FC95E">
        <w:tblPrEx>
          <w:tblCellMar>
            <w:top w:w="0" w:type="dxa"/>
            <w:left w:w="108" w:type="dxa"/>
            <w:bottom w:w="0" w:type="dxa"/>
            <w:right w:w="108" w:type="dxa"/>
          </w:tblCellMar>
        </w:tblPrEx>
        <w:trPr>
          <w:trHeight w:val="34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FEE6D2">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99FC2">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39763">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bidi="ar"/>
              </w:rPr>
              <w:t>客户签字：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BD611">
            <w:pPr>
              <w:rPr>
                <w:rFonts w:hint="eastAsia" w:ascii="微软雅黑" w:hAnsi="微软雅黑" w:eastAsia="微软雅黑" w:cs="微软雅黑"/>
                <w:color w:val="auto"/>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C559260">
            <w:pPr>
              <w:widowControl/>
              <w:jc w:val="center"/>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bidi="ar"/>
              </w:rPr>
              <w:t>销售经理：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C9783">
            <w:pPr>
              <w:rPr>
                <w:rFonts w:hint="eastAsia" w:ascii="宋体" w:hAnsi="宋体" w:cs="宋体"/>
                <w:color w:val="auto"/>
                <w:sz w:val="16"/>
                <w:szCs w:val="16"/>
              </w:rPr>
            </w:pPr>
          </w:p>
        </w:tc>
      </w:tr>
      <w:tr w14:paraId="66DFEFB7">
        <w:tblPrEx>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A7C9D1">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61F47">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93033">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bidi="ar"/>
              </w:rPr>
              <w:t>置业顾问：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4E97A">
            <w:pPr>
              <w:rPr>
                <w:rFonts w:hint="eastAsia" w:ascii="微软雅黑" w:hAnsi="微软雅黑" w:eastAsia="微软雅黑" w:cs="微软雅黑"/>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6B4DDB">
            <w:pPr>
              <w:jc w:val="center"/>
              <w:rPr>
                <w:rFonts w:hint="eastAsia" w:ascii="微软雅黑" w:hAnsi="微软雅黑" w:eastAsia="微软雅黑" w:cs="微软雅黑"/>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396C4">
            <w:pPr>
              <w:rPr>
                <w:rFonts w:hint="eastAsia" w:ascii="宋体" w:hAnsi="宋体" w:cs="宋体"/>
                <w:color w:val="auto"/>
                <w:sz w:val="16"/>
                <w:szCs w:val="16"/>
              </w:rPr>
            </w:pPr>
          </w:p>
        </w:tc>
      </w:tr>
    </w:tbl>
    <w:p w14:paraId="2950D09B">
      <w:pPr>
        <w:rPr>
          <w:rFonts w:hint="eastAsia"/>
          <w:color w:val="auto"/>
        </w:rPr>
      </w:pPr>
    </w:p>
    <w:p w14:paraId="1A5584D5"/>
    <w:sectPr>
      <w:headerReference r:id="rId4" w:type="first"/>
      <w:footerReference r:id="rId6" w:type="first"/>
      <w:headerReference r:id="rId3" w:type="default"/>
      <w:footerReference r:id="rId5" w:type="default"/>
      <w:pgSz w:w="11906" w:h="16838"/>
      <w:pgMar w:top="1440" w:right="1274"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39F3">
    <w:pPr>
      <w:pStyle w:val="9"/>
      <w:ind w:right="422"/>
      <w:jc w:val="both"/>
      <w:rPr>
        <w:rFonts w:hint="eastAsia" w:ascii="Batang" w:hAnsi="Batang" w:cs="GulimChe"/>
        <w:color w:val="999999"/>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F6FCC4">
                          <w:pPr>
                            <w:pStyle w:val="8"/>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AF6FCC4">
                    <w:pPr>
                      <w:pStyle w:val="8"/>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2C7A">
    <w:pPr>
      <w:pStyle w:val="9"/>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EE48">
    <w:pPr>
      <w:pStyle w:val="9"/>
      <w:ind w:right="422"/>
      <w:jc w:val="both"/>
      <w:rPr>
        <w:rFonts w:ascii="Batang" w:hAnsi="Batang" w:cs="GulimChe"/>
        <w:color w:val="999999"/>
        <w:sz w:val="16"/>
        <w:szCs w:val="16"/>
      </w:rPr>
    </w:pPr>
    <w:r>
      <w:drawing>
        <wp:inline distT="0" distB="0" distL="114300" distR="114300">
          <wp:extent cx="1019810" cy="314325"/>
          <wp:effectExtent l="0" t="0" r="8890" b="9525"/>
          <wp:docPr id="1"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4C81">
    <w:pPr>
      <w:pStyle w:val="9"/>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FC98D"/>
    <w:multiLevelType w:val="singleLevel"/>
    <w:tmpl w:val="8B9FC9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00000000"/>
    <w:rsid w:val="00B93150"/>
    <w:rsid w:val="325319F0"/>
    <w:rsid w:val="4396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rFonts w:ascii="Times New Roman" w:hAnsi="Times New Roman"/>
    </w:r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uiPriority w:val="6"/>
    <w:pPr>
      <w:ind w:firstLine="645"/>
    </w:pPr>
    <w:rPr>
      <w:rFonts w:ascii="宋体" w:hAnsi="宋体"/>
      <w:kern w:val="1"/>
      <w:sz w:val="32"/>
      <w:szCs w:val="20"/>
    </w:rPr>
  </w:style>
  <w:style w:type="paragraph" w:styleId="8">
    <w:name w:val="footer"/>
    <w:basedOn w:val="1"/>
    <w:qFormat/>
    <w:uiPriority w:val="99"/>
    <w:pPr>
      <w:tabs>
        <w:tab w:val="center" w:pos="4153"/>
        <w:tab w:val="right" w:pos="8306"/>
      </w:tabs>
      <w:jc w:val="left"/>
    </w:pPr>
    <w:rPr>
      <w:rFonts w:cs="Times New Roman"/>
      <w:kern w:val="1"/>
      <w:sz w:val="18"/>
      <w:szCs w:val="18"/>
    </w:rPr>
  </w:style>
  <w:style w:type="paragraph" w:styleId="9">
    <w:name w:val="header"/>
    <w:basedOn w:val="1"/>
    <w:qFormat/>
    <w:uiPriority w:val="0"/>
    <w:pPr>
      <w:pBdr>
        <w:bottom w:val="single" w:color="000000" w:sz="6" w:space="1"/>
      </w:pBdr>
      <w:tabs>
        <w:tab w:val="center" w:pos="4153"/>
        <w:tab w:val="right" w:pos="8306"/>
      </w:tabs>
      <w:jc w:val="center"/>
    </w:pPr>
    <w:rPr>
      <w:rFonts w:cs="Times New Roman"/>
      <w:kern w:val="1"/>
      <w:sz w:val="18"/>
      <w:szCs w:val="18"/>
    </w:rPr>
  </w:style>
  <w:style w:type="paragraph" w:customStyle="1" w:styleId="12">
    <w:name w:val="UserStyle_0"/>
    <w:next w:val="13"/>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3">
    <w:name w:val="UserStyle_1"/>
    <w:basedOn w:val="1"/>
    <w:next w:val="14"/>
    <w:qFormat/>
    <w:uiPriority w:val="0"/>
    <w:pPr>
      <w:jc w:val="center"/>
      <w:textAlignment w:val="baseline"/>
    </w:pPr>
    <w:rPr>
      <w:rFonts w:ascii="Arial" w:hAnsi="Arial" w:eastAsia="宋体"/>
      <w:b/>
      <w:kern w:val="2"/>
      <w:sz w:val="28"/>
      <w:szCs w:val="24"/>
      <w:lang w:val="en-US" w:eastAsia="zh-CN" w:bidi="ar-SA"/>
    </w:rPr>
  </w:style>
  <w:style w:type="paragraph" w:customStyle="1" w:styleId="14">
    <w:name w:val="BodyText1I2"/>
    <w:basedOn w:val="15"/>
    <w:next w:val="16"/>
    <w:qFormat/>
    <w:uiPriority w:val="0"/>
    <w:pPr>
      <w:spacing w:after="120"/>
      <w:ind w:left="420" w:leftChars="200" w:firstLine="420" w:firstLineChars="200"/>
      <w:jc w:val="both"/>
      <w:textAlignment w:val="baseline"/>
    </w:pPr>
    <w:rPr>
      <w:rFonts w:ascii="Calibri" w:hAnsi="Calibri" w:eastAsia="宋体"/>
      <w:kern w:val="2"/>
      <w:sz w:val="24"/>
      <w:szCs w:val="22"/>
      <w:lang w:val="en-US" w:eastAsia="zh-CN" w:bidi="ar-SA"/>
    </w:rPr>
  </w:style>
  <w:style w:type="paragraph" w:customStyle="1" w:styleId="15">
    <w:name w:val="BodyTextIndent"/>
    <w:basedOn w:val="1"/>
    <w:next w:val="16"/>
    <w:qFormat/>
    <w:uiPriority w:val="0"/>
    <w:pPr>
      <w:ind w:firstLine="645"/>
      <w:jc w:val="both"/>
      <w:textAlignment w:val="baseline"/>
    </w:pPr>
    <w:rPr>
      <w:rFonts w:ascii="宋体" w:hAnsi="Calibri" w:eastAsia="宋体"/>
      <w:kern w:val="2"/>
      <w:sz w:val="32"/>
      <w:szCs w:val="20"/>
      <w:lang w:val="en-US" w:eastAsia="zh-CN" w:bidi="ar-SA"/>
    </w:rPr>
  </w:style>
  <w:style w:type="paragraph" w:customStyle="1" w:styleId="16">
    <w:name w:val="BodyText"/>
    <w:basedOn w:val="1"/>
    <w:next w:val="12"/>
    <w:qFormat/>
    <w:uiPriority w:val="0"/>
    <w:pPr>
      <w:spacing w:line="360" w:lineRule="auto"/>
      <w:jc w:val="both"/>
      <w:textAlignment w:val="baseline"/>
    </w:pPr>
    <w:rPr>
      <w:rFonts w:ascii="Times New Roman" w:hAnsi="Times New Roman" w:eastAsia="宋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9509</Words>
  <Characters>9884</Characters>
  <Lines>0</Lines>
  <Paragraphs>0</Paragraphs>
  <TotalTime>2</TotalTime>
  <ScaleCrop>false</ScaleCrop>
  <LinksUpToDate>false</LinksUpToDate>
  <CharactersWithSpaces>10450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2024-09-04T03:01:00Z</dcterms:created>
  <dc:creator>Administrator</dc:creator>
  <cp:lastModifiedBy>A开元壹号～屈晓南13938423790</cp:lastModifiedBy>
  <dcterms:modified xsi:type="dcterms:W3CDTF">2024-09-04T03:06:36Z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090DA05865AF48B9A49A85E2D4ACF1CD_12</vt:lpwstr>
  </property>
</Properties>
</file>