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19A7">
      <w:pPr>
        <w:pStyle w:val="2"/>
        <w:spacing w:line="267" w:lineRule="auto"/>
      </w:pPr>
    </w:p>
    <w:p w14:paraId="1E1C18CC">
      <w:pPr>
        <w:pStyle w:val="2"/>
        <w:spacing w:line="267" w:lineRule="auto"/>
      </w:pPr>
    </w:p>
    <w:p w14:paraId="34F6D204">
      <w:pPr>
        <w:pStyle w:val="2"/>
        <w:spacing w:line="267" w:lineRule="auto"/>
      </w:pPr>
    </w:p>
    <w:p w14:paraId="6E99593F">
      <w:pPr>
        <w:pStyle w:val="2"/>
        <w:spacing w:line="268" w:lineRule="auto"/>
      </w:pPr>
    </w:p>
    <w:p w14:paraId="7448210D">
      <w:pPr>
        <w:pStyle w:val="2"/>
        <w:spacing w:line="268" w:lineRule="auto"/>
      </w:pPr>
    </w:p>
    <w:p w14:paraId="386AD147">
      <w:pPr>
        <w:spacing w:before="152" w:line="224" w:lineRule="auto"/>
        <w:ind w:left="720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洛阳开元壹号62#地块</w:t>
      </w:r>
      <w:r>
        <w:rPr>
          <w:rFonts w:hint="eastAsia" w:ascii="宋体" w:hAnsi="宋体" w:eastAsia="宋体" w:cs="宋体"/>
          <w:b/>
          <w:bCs/>
          <w:spacing w:val="3"/>
          <w:sz w:val="47"/>
          <w:szCs w:val="47"/>
          <w:lang w:val="en-US" w:eastAsia="zh-CN"/>
        </w:rPr>
        <w:t>商业区</w:t>
      </w: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景观设计项</w:t>
      </w:r>
    </w:p>
    <w:p w14:paraId="06AEBE23">
      <w:pPr>
        <w:spacing w:before="388" w:line="224" w:lineRule="auto"/>
        <w:ind w:left="3089"/>
        <w:outlineLvl w:val="0"/>
        <w:rPr>
          <w:rFonts w:ascii="宋体" w:hAnsi="宋体" w:eastAsia="宋体" w:cs="宋体"/>
          <w:b/>
          <w:bCs/>
          <w:spacing w:val="-11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1"/>
          <w:sz w:val="47"/>
          <w:szCs w:val="47"/>
        </w:rPr>
        <w:t>目景观设计合同</w:t>
      </w:r>
    </w:p>
    <w:p w14:paraId="1D844844">
      <w:pPr>
        <w:spacing w:before="388" w:line="224" w:lineRule="auto"/>
        <w:ind w:left="3089" w:firstLine="1350" w:firstLineChars="300"/>
        <w:outlineLvl w:val="0"/>
        <w:rPr>
          <w:rFonts w:hint="eastAsia" w:ascii="宋体" w:hAnsi="宋体" w:eastAsia="宋体" w:cs="宋体"/>
          <w:b/>
          <w:bCs/>
          <w:spacing w:val="-11"/>
          <w:sz w:val="47"/>
          <w:szCs w:val="4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47"/>
          <w:szCs w:val="47"/>
          <w:lang w:val="en-US" w:eastAsia="zh-CN"/>
        </w:rPr>
        <w:t>之</w:t>
      </w:r>
    </w:p>
    <w:p w14:paraId="5D43C6BE">
      <w:pPr>
        <w:spacing w:before="388" w:line="225" w:lineRule="auto"/>
        <w:ind w:left="3478"/>
        <w:outlineLvl w:val="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补充协议五</w:t>
      </w:r>
    </w:p>
    <w:p w14:paraId="4E967EE2">
      <w:pPr>
        <w:pStyle w:val="2"/>
        <w:spacing w:line="244" w:lineRule="auto"/>
      </w:pPr>
    </w:p>
    <w:p w14:paraId="57FACBFB">
      <w:pPr>
        <w:pStyle w:val="2"/>
        <w:spacing w:line="244" w:lineRule="auto"/>
      </w:pPr>
    </w:p>
    <w:p w14:paraId="0C42852C">
      <w:pPr>
        <w:pStyle w:val="2"/>
        <w:spacing w:line="244" w:lineRule="auto"/>
      </w:pPr>
    </w:p>
    <w:p w14:paraId="62565E01">
      <w:pPr>
        <w:pStyle w:val="2"/>
        <w:spacing w:line="244" w:lineRule="auto"/>
      </w:pPr>
    </w:p>
    <w:p w14:paraId="5B4E919C">
      <w:pPr>
        <w:pStyle w:val="2"/>
        <w:spacing w:line="244" w:lineRule="auto"/>
      </w:pPr>
    </w:p>
    <w:p w14:paraId="7A64A95D">
      <w:pPr>
        <w:pStyle w:val="2"/>
        <w:spacing w:line="244" w:lineRule="auto"/>
      </w:pPr>
    </w:p>
    <w:p w14:paraId="1B50E06B">
      <w:pPr>
        <w:pStyle w:val="2"/>
        <w:spacing w:line="244" w:lineRule="auto"/>
      </w:pPr>
    </w:p>
    <w:p w14:paraId="2628830A">
      <w:pPr>
        <w:pStyle w:val="2"/>
        <w:spacing w:line="244" w:lineRule="auto"/>
      </w:pPr>
    </w:p>
    <w:p w14:paraId="5E88E198">
      <w:pPr>
        <w:pStyle w:val="2"/>
        <w:spacing w:line="244" w:lineRule="auto"/>
      </w:pPr>
    </w:p>
    <w:p w14:paraId="5D7576F2">
      <w:pPr>
        <w:pStyle w:val="2"/>
        <w:spacing w:line="244" w:lineRule="auto"/>
      </w:pPr>
    </w:p>
    <w:p w14:paraId="230B6847">
      <w:pPr>
        <w:pStyle w:val="2"/>
        <w:spacing w:line="244" w:lineRule="auto"/>
      </w:pPr>
    </w:p>
    <w:p w14:paraId="554AE6AA">
      <w:pPr>
        <w:pStyle w:val="2"/>
        <w:spacing w:line="244" w:lineRule="auto"/>
      </w:pPr>
    </w:p>
    <w:p w14:paraId="34A594D9">
      <w:pPr>
        <w:pStyle w:val="2"/>
        <w:spacing w:line="244" w:lineRule="auto"/>
      </w:pPr>
    </w:p>
    <w:p w14:paraId="58401300">
      <w:pPr>
        <w:pStyle w:val="2"/>
        <w:spacing w:line="244" w:lineRule="auto"/>
      </w:pPr>
    </w:p>
    <w:p w14:paraId="2FA02E38">
      <w:pPr>
        <w:pStyle w:val="2"/>
        <w:spacing w:line="244" w:lineRule="auto"/>
      </w:pPr>
    </w:p>
    <w:p w14:paraId="7FB1288B">
      <w:pPr>
        <w:pStyle w:val="2"/>
        <w:spacing w:line="244" w:lineRule="auto"/>
      </w:pPr>
    </w:p>
    <w:p w14:paraId="74E9AB25">
      <w:pPr>
        <w:pStyle w:val="2"/>
        <w:spacing w:line="244" w:lineRule="auto"/>
      </w:pPr>
    </w:p>
    <w:p w14:paraId="726EFF7E">
      <w:pPr>
        <w:pStyle w:val="2"/>
        <w:spacing w:line="244" w:lineRule="auto"/>
      </w:pPr>
    </w:p>
    <w:p w14:paraId="4280C31C">
      <w:pPr>
        <w:pStyle w:val="2"/>
        <w:spacing w:line="244" w:lineRule="auto"/>
      </w:pPr>
    </w:p>
    <w:p w14:paraId="0B7753A8">
      <w:pPr>
        <w:pStyle w:val="2"/>
        <w:spacing w:line="245" w:lineRule="auto"/>
      </w:pPr>
    </w:p>
    <w:p w14:paraId="06948410">
      <w:pPr>
        <w:pStyle w:val="2"/>
        <w:spacing w:line="245" w:lineRule="auto"/>
      </w:pPr>
    </w:p>
    <w:p w14:paraId="6D430E0C">
      <w:pPr>
        <w:pStyle w:val="2"/>
        <w:spacing w:line="245" w:lineRule="auto"/>
      </w:pPr>
    </w:p>
    <w:p w14:paraId="20EA7C75">
      <w:pPr>
        <w:spacing w:before="97" w:line="219" w:lineRule="auto"/>
        <w:ind w:left="24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成本代码：2.3.4</w:t>
      </w:r>
    </w:p>
    <w:p w14:paraId="09E30AE0">
      <w:pPr>
        <w:spacing w:before="275" w:line="220" w:lineRule="auto"/>
        <w:ind w:left="24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合同编号：KYYH.02-QQ-011-B5</w:t>
      </w:r>
    </w:p>
    <w:p w14:paraId="39A5B5DA">
      <w:pPr>
        <w:spacing w:before="273" w:line="221" w:lineRule="auto"/>
        <w:ind w:left="24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甲方：洛阳浩德鑫置地有限公司</w:t>
      </w:r>
    </w:p>
    <w:p w14:paraId="2A8AF9AC">
      <w:pPr>
        <w:spacing w:before="275" w:line="220" w:lineRule="auto"/>
        <w:ind w:left="243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乙方：上海魏玛景观规划设计有限公司</w:t>
      </w:r>
    </w:p>
    <w:p w14:paraId="48A796F3">
      <w:pPr>
        <w:spacing w:before="274" w:line="220" w:lineRule="auto"/>
        <w:ind w:left="246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日期：2024年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9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月</w:t>
      </w:r>
    </w:p>
    <w:p w14:paraId="3FE5979D">
      <w:pPr>
        <w:spacing w:line="220" w:lineRule="auto"/>
        <w:rPr>
          <w:rFonts w:ascii="宋体" w:hAnsi="宋体" w:eastAsia="宋体" w:cs="宋体"/>
          <w:sz w:val="30"/>
          <w:szCs w:val="30"/>
        </w:rPr>
        <w:sectPr>
          <w:headerReference r:id="rId5" w:type="default"/>
          <w:pgSz w:w="11906" w:h="16839"/>
          <w:pgMar w:top="1394" w:right="1304" w:bottom="0" w:left="1303" w:header="849" w:footer="0" w:gutter="0"/>
          <w:cols w:space="720" w:num="1"/>
        </w:sectPr>
      </w:pPr>
    </w:p>
    <w:p w14:paraId="760CBCB4">
      <w:pPr>
        <w:spacing w:before="312" w:line="225" w:lineRule="auto"/>
        <w:ind w:left="4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洛阳开元壹号62#商业地块景观设计项目景观设计合同</w:t>
      </w:r>
    </w:p>
    <w:p w14:paraId="3E2E309C">
      <w:pPr>
        <w:pStyle w:val="2"/>
        <w:spacing w:line="279" w:lineRule="auto"/>
      </w:pPr>
    </w:p>
    <w:p w14:paraId="3F3CB8F2">
      <w:pPr>
        <w:spacing w:before="100" w:line="226" w:lineRule="auto"/>
        <w:ind w:left="356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补充协议5</w:t>
      </w:r>
    </w:p>
    <w:p w14:paraId="515E7855">
      <w:pPr>
        <w:spacing w:before="223" w:line="347" w:lineRule="auto"/>
        <w:ind w:left="62" w:right="4736" w:firstLine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甲方：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洛阳浩德鑫置地有限公司   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乙方：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上海魏玛景观规划设计有限公司</w:t>
      </w:r>
    </w:p>
    <w:p w14:paraId="4396410B">
      <w:pPr>
        <w:spacing w:before="4" w:line="355" w:lineRule="auto"/>
        <w:ind w:left="43" w:right="416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根据双方于2015年01月签订的</w:t>
      </w:r>
      <w:r>
        <w:rPr>
          <w:rFonts w:ascii="宋体" w:hAnsi="宋体" w:eastAsia="宋体" w:cs="宋体"/>
          <w:spacing w:val="-1"/>
          <w:sz w:val="24"/>
          <w:szCs w:val="24"/>
        </w:rPr>
        <w:t>《洛阳开元壹号</w:t>
      </w:r>
      <w:r>
        <w:rPr>
          <w:rFonts w:ascii="宋体" w:hAnsi="宋体" w:eastAsia="宋体" w:cs="宋体"/>
          <w:sz w:val="24"/>
          <w:szCs w:val="24"/>
        </w:rPr>
        <w:t xml:space="preserve"> 61#62#67#68#地块景观设计项目景观设计合同》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合同编号为“KYYH.02-QQ-0</w:t>
      </w:r>
      <w:r>
        <w:rPr>
          <w:rFonts w:ascii="宋体" w:hAnsi="宋体" w:eastAsia="宋体" w:cs="宋体"/>
          <w:spacing w:val="-1"/>
          <w:sz w:val="24"/>
          <w:szCs w:val="24"/>
        </w:rPr>
        <w:t>11”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以下</w:t>
      </w:r>
      <w:r>
        <w:rPr>
          <w:rFonts w:ascii="宋体" w:hAnsi="宋体" w:eastAsia="宋体" w:cs="宋体"/>
          <w:spacing w:val="-1"/>
          <w:sz w:val="24"/>
          <w:szCs w:val="24"/>
        </w:rPr>
        <w:t>简称“原合同”）</w:t>
      </w:r>
      <w:r>
        <w:rPr>
          <w:rFonts w:ascii="宋体" w:hAnsi="宋体" w:eastAsia="宋体" w:cs="宋体"/>
          <w:sz w:val="24"/>
          <w:szCs w:val="24"/>
        </w:rPr>
        <w:t>，乙方向甲方就洛阳开元壹号61#62#6</w:t>
      </w:r>
      <w:r>
        <w:rPr>
          <w:rFonts w:ascii="宋体" w:hAnsi="宋体" w:eastAsia="宋体" w:cs="宋体"/>
          <w:spacing w:val="-1"/>
          <w:sz w:val="24"/>
          <w:szCs w:val="24"/>
        </w:rPr>
        <w:t>7#68#地块项目提供</w:t>
      </w:r>
      <w:r>
        <w:rPr>
          <w:rFonts w:ascii="宋体" w:hAnsi="宋体" w:eastAsia="宋体" w:cs="宋体"/>
          <w:sz w:val="24"/>
          <w:szCs w:val="24"/>
        </w:rPr>
        <w:t>相应景观设计服务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因开元壹号62</w:t>
      </w:r>
      <w:r>
        <w:rPr>
          <w:rFonts w:ascii="宋体" w:hAnsi="宋体" w:eastAsia="宋体" w:cs="宋体"/>
          <w:spacing w:val="-1"/>
          <w:sz w:val="24"/>
          <w:szCs w:val="24"/>
        </w:rPr>
        <w:t>#商业方案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在2019年设计完成并经甲方签批确认后</w:t>
      </w:r>
      <w:r>
        <w:rPr>
          <w:rFonts w:ascii="宋体" w:hAnsi="宋体" w:eastAsia="宋体" w:cs="宋体"/>
          <w:spacing w:val="-1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2023年据甲方要求重新调整了设计方案，经双方协商确认，此方案调整为颠覆性调整。针对上述事宜，</w:t>
      </w:r>
      <w:r>
        <w:rPr>
          <w:rFonts w:ascii="宋体" w:hAnsi="宋体" w:eastAsia="宋体" w:cs="宋体"/>
          <w:spacing w:val="-1"/>
          <w:sz w:val="24"/>
          <w:szCs w:val="24"/>
        </w:rPr>
        <w:t>甲乙</w:t>
      </w:r>
      <w:r>
        <w:rPr>
          <w:rFonts w:ascii="宋体" w:hAnsi="宋体" w:eastAsia="宋体" w:cs="宋体"/>
          <w:sz w:val="24"/>
          <w:szCs w:val="24"/>
        </w:rPr>
        <w:t>双方在平等自愿、协商一致的基础上，就洛阳开元壹号6</w:t>
      </w:r>
      <w:r>
        <w:rPr>
          <w:rFonts w:ascii="宋体" w:hAnsi="宋体" w:eastAsia="宋体" w:cs="宋体"/>
          <w:spacing w:val="-1"/>
          <w:sz w:val="24"/>
          <w:szCs w:val="24"/>
        </w:rPr>
        <w:t>2#商业地块景</w:t>
      </w:r>
      <w:r>
        <w:rPr>
          <w:rFonts w:ascii="宋体" w:hAnsi="宋体" w:eastAsia="宋体" w:cs="宋体"/>
          <w:sz w:val="24"/>
          <w:szCs w:val="24"/>
        </w:rPr>
        <w:t>观设计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2019年商业方案设计工作</w:t>
      </w:r>
      <w:r>
        <w:rPr>
          <w:rFonts w:ascii="宋体" w:hAnsi="宋体" w:eastAsia="宋体" w:cs="宋体"/>
          <w:sz w:val="24"/>
          <w:szCs w:val="24"/>
        </w:rPr>
        <w:t>，达成如下补充协议：</w:t>
      </w:r>
    </w:p>
    <w:p w14:paraId="180920A2">
      <w:pPr>
        <w:spacing w:before="4" w:line="355" w:lineRule="auto"/>
        <w:ind w:right="416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一、工程范围</w:t>
      </w:r>
    </w:p>
    <w:p w14:paraId="3F0DBD80">
      <w:pPr>
        <w:spacing w:before="4" w:line="355" w:lineRule="auto"/>
        <w:ind w:left="43" w:right="416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开元壹号62#地块商业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区2019年已经签批的景观方案设计工作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1F85DD74">
      <w:pPr>
        <w:spacing w:before="4" w:line="355" w:lineRule="auto"/>
        <w:ind w:right="416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二、工程范围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对应的设计费</w:t>
      </w:r>
    </w:p>
    <w:p w14:paraId="4BB4AB44">
      <w:pPr>
        <w:spacing w:before="4" w:line="355" w:lineRule="auto"/>
        <w:ind w:left="43" w:right="416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本补充协议设计费为2019年开元壹号62#商业区签批版方案设计工作的费用，前述方案的设计面积为</w:t>
      </w:r>
      <w:r>
        <w:rPr>
          <w:rFonts w:ascii="宋体" w:hAnsi="宋体" w:eastAsia="宋体" w:cs="宋体"/>
          <w:sz w:val="24"/>
          <w:szCs w:val="24"/>
        </w:rPr>
        <w:t>13076平方米，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</w:t>
      </w:r>
      <w:r>
        <w:rPr>
          <w:rFonts w:ascii="宋体" w:hAnsi="宋体" w:eastAsia="宋体" w:cs="宋体"/>
          <w:sz w:val="24"/>
          <w:szCs w:val="24"/>
        </w:rPr>
        <w:t>费总价为：¥100000元，大写：人民币壹拾万元整，其中，不含税金额为：¥94339.62元，税金为¥5660.38元，税率为6%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除此之外，就2019年半商业区设计方案，甲方无需向乙方及第三方支付其他任和款项。</w:t>
      </w:r>
    </w:p>
    <w:p w14:paraId="2A37AFDE">
      <w:pPr>
        <w:spacing w:before="4" w:line="355" w:lineRule="auto"/>
        <w:ind w:right="416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三、付款方式</w:t>
      </w:r>
    </w:p>
    <w:p w14:paraId="7132A5AB">
      <w:pPr>
        <w:spacing w:before="4" w:line="355" w:lineRule="auto"/>
        <w:ind w:left="43" w:right="416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本协议生效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且收到乙方开具的等额合法有效的增值税专用发票</w:t>
      </w:r>
      <w:r>
        <w:rPr>
          <w:rFonts w:ascii="宋体" w:hAnsi="宋体" w:eastAsia="宋体" w:cs="宋体"/>
          <w:sz w:val="24"/>
          <w:szCs w:val="24"/>
        </w:rPr>
        <w:t>后15个工作日内，甲方向乙方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一次性支付设计费用</w:t>
      </w:r>
      <w:r>
        <w:rPr>
          <w:rFonts w:ascii="宋体" w:hAnsi="宋体" w:eastAsia="宋体" w:cs="宋体"/>
          <w:sz w:val="24"/>
          <w:szCs w:val="24"/>
        </w:rPr>
        <w:t>，即人民币 100000元。</w:t>
      </w:r>
    </w:p>
    <w:p w14:paraId="08F77E6C">
      <w:pPr>
        <w:spacing w:before="36" w:line="221" w:lineRule="auto"/>
        <w:ind w:left="62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、其他</w:t>
      </w:r>
    </w:p>
    <w:p w14:paraId="3A4F614E">
      <w:pPr>
        <w:spacing w:before="180" w:line="313" w:lineRule="auto"/>
        <w:ind w:left="2" w:right="117" w:firstLine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、本补充协议为原合同《洛阳开元壹号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61#62#67#68#地块景观设计项目景观设</w:t>
      </w:r>
      <w:r>
        <w:rPr>
          <w:rFonts w:ascii="宋体" w:hAnsi="宋体" w:eastAsia="宋体" w:cs="宋体"/>
          <w:spacing w:val="-2"/>
          <w:sz w:val="24"/>
          <w:szCs w:val="24"/>
        </w:rPr>
        <w:t>计合同》的补充约定，是原合同不可分割的组成部分。本补</w:t>
      </w:r>
      <w:r>
        <w:rPr>
          <w:rFonts w:ascii="宋体" w:hAnsi="宋体" w:eastAsia="宋体" w:cs="宋体"/>
          <w:spacing w:val="-3"/>
          <w:sz w:val="24"/>
          <w:szCs w:val="24"/>
        </w:rPr>
        <w:t>充协议未约定的事项，以</w:t>
      </w:r>
      <w:r>
        <w:rPr>
          <w:rFonts w:ascii="宋体" w:hAnsi="宋体" w:eastAsia="宋体" w:cs="宋体"/>
          <w:sz w:val="24"/>
          <w:szCs w:val="24"/>
        </w:rPr>
        <w:t>原合同的约定为准，本补充协议与原合同约定不一</w:t>
      </w:r>
      <w:r>
        <w:rPr>
          <w:rFonts w:ascii="宋体" w:hAnsi="宋体" w:eastAsia="宋体" w:cs="宋体"/>
          <w:spacing w:val="-1"/>
          <w:sz w:val="24"/>
          <w:szCs w:val="24"/>
        </w:rPr>
        <w:t>致的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以本补充协议为准。</w:t>
      </w:r>
    </w:p>
    <w:p w14:paraId="2938F047">
      <w:pPr>
        <w:spacing w:before="145" w:line="290" w:lineRule="auto"/>
        <w:ind w:right="122" w:firstLine="47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4"/>
          <w:szCs w:val="24"/>
        </w:rPr>
        <w:t>、本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补充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协议自双方盖章之日起生效，一式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捌 </w:t>
      </w:r>
      <w:r>
        <w:rPr>
          <w:rFonts w:ascii="宋体" w:hAnsi="宋体" w:eastAsia="宋体" w:cs="宋体"/>
          <w:spacing w:val="-2"/>
          <w:sz w:val="24"/>
          <w:szCs w:val="24"/>
        </w:rPr>
        <w:t>份，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甲方</w:t>
      </w:r>
      <w:r>
        <w:rPr>
          <w:rFonts w:ascii="宋体" w:hAnsi="宋体" w:eastAsia="宋体" w:cs="宋体"/>
          <w:spacing w:val="-2"/>
          <w:sz w:val="24"/>
          <w:szCs w:val="24"/>
        </w:rPr>
        <w:t>执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伍 </w:t>
      </w:r>
      <w:r>
        <w:rPr>
          <w:rFonts w:ascii="宋体" w:hAnsi="宋体" w:eastAsia="宋体" w:cs="宋体"/>
          <w:spacing w:val="-3"/>
          <w:sz w:val="24"/>
          <w:szCs w:val="24"/>
        </w:rPr>
        <w:t>份，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乙方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执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份，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各份</w:t>
      </w:r>
      <w:r>
        <w:rPr>
          <w:rFonts w:ascii="宋体" w:hAnsi="宋体" w:eastAsia="宋体" w:cs="宋体"/>
          <w:spacing w:val="-1"/>
          <w:sz w:val="24"/>
          <w:szCs w:val="24"/>
        </w:rPr>
        <w:t>具同等法律效力。</w:t>
      </w:r>
    </w:p>
    <w:p w14:paraId="26B81E93">
      <w:pPr>
        <w:spacing w:before="209" w:line="221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（以下无正文）</w:t>
      </w:r>
    </w:p>
    <w:p w14:paraId="31FD691F">
      <w:pPr>
        <w:spacing w:line="221" w:lineRule="auto"/>
        <w:rPr>
          <w:rFonts w:ascii="宋体" w:hAnsi="宋体" w:eastAsia="宋体" w:cs="宋体"/>
          <w:sz w:val="24"/>
          <w:szCs w:val="24"/>
        </w:rPr>
        <w:sectPr>
          <w:headerReference r:id="rId6" w:type="default"/>
          <w:footerReference r:id="rId7" w:type="default"/>
          <w:pgSz w:w="11906" w:h="16838"/>
          <w:pgMar w:top="400" w:right="1771" w:bottom="958" w:left="1218" w:header="0" w:footer="744" w:gutter="0"/>
          <w:cols w:space="720" w:num="1"/>
        </w:sectPr>
      </w:pPr>
    </w:p>
    <w:p w14:paraId="5481BFE9">
      <w:pPr>
        <w:spacing w:before="101"/>
      </w:pPr>
    </w:p>
    <w:p w14:paraId="5CA6F79E">
      <w:pPr>
        <w:spacing w:before="100"/>
      </w:pPr>
    </w:p>
    <w:p w14:paraId="46B7729F">
      <w:pPr>
        <w:sectPr>
          <w:headerReference r:id="rId8" w:type="default"/>
          <w:footerReference r:id="rId9" w:type="default"/>
          <w:pgSz w:w="11906" w:h="16839"/>
          <w:pgMar w:top="1395" w:right="1785" w:bottom="1209" w:left="1172" w:header="851" w:footer="994" w:gutter="0"/>
          <w:cols w:equalWidth="0" w:num="1">
            <w:col w:w="8948"/>
          </w:cols>
        </w:sectPr>
      </w:pPr>
    </w:p>
    <w:p w14:paraId="086FEE36">
      <w:pPr>
        <w:spacing w:before="62" w:line="347" w:lineRule="auto"/>
        <w:ind w:left="1" w:right="999" w:firstLine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甲  方：洛阳浩德鑫置地有限公司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法人代表：</w:t>
      </w:r>
    </w:p>
    <w:p w14:paraId="3C560DB5">
      <w:pPr>
        <w:spacing w:before="34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或授权委托人：</w:t>
      </w:r>
    </w:p>
    <w:p w14:paraId="1E9A57DF">
      <w:pPr>
        <w:spacing w:before="181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税号：914103005542480325</w:t>
      </w:r>
    </w:p>
    <w:p w14:paraId="35A11413">
      <w:pPr>
        <w:spacing w:before="180" w:line="221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账户：413062200018170292470</w:t>
      </w:r>
    </w:p>
    <w:p w14:paraId="05DF9861">
      <w:pPr>
        <w:spacing w:before="181" w:line="221" w:lineRule="auto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开户行：交行洛阳分行西苑支行</w:t>
      </w:r>
    </w:p>
    <w:p w14:paraId="7D260162">
      <w:pPr>
        <w:spacing w:before="181" w:line="185" w:lineRule="auto"/>
        <w:ind w:left="4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7"/>
          <w:sz w:val="24"/>
          <w:szCs w:val="24"/>
        </w:rPr>
        <w:t>日期：2024年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9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10日</w:t>
      </w:r>
    </w:p>
    <w:p w14:paraId="7A28D7A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8A0D67">
      <w:pPr>
        <w:spacing w:before="45" w:line="347" w:lineRule="auto"/>
        <w:ind w:left="19" w:right="162" w:hanging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乙 方：上海魏玛景观规划设计有限公司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法人代表：</w:t>
      </w:r>
    </w:p>
    <w:p w14:paraId="6A337F58">
      <w:pPr>
        <w:spacing w:before="34" w:line="220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或授权委托人：</w:t>
      </w:r>
    </w:p>
    <w:p w14:paraId="592D5003">
      <w:pPr>
        <w:spacing w:before="181" w:line="221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税号：91310120669383699T</w:t>
      </w:r>
    </w:p>
    <w:p w14:paraId="581FCF89">
      <w:pPr>
        <w:spacing w:before="181" w:line="221" w:lineRule="auto"/>
        <w:ind w:left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账户：1001218409300072656</w:t>
      </w:r>
    </w:p>
    <w:p w14:paraId="336225B1">
      <w:pPr>
        <w:spacing w:before="181" w:line="220" w:lineRule="auto"/>
        <w:ind w:left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开户行：中国工商银行上海小东门支行</w:t>
      </w:r>
    </w:p>
    <w:p w14:paraId="598E2EA1">
      <w:pPr>
        <w:spacing w:before="181" w:line="197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7"/>
          <w:sz w:val="24"/>
          <w:szCs w:val="24"/>
        </w:rPr>
        <w:t>日期：2024年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9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日</w:t>
      </w:r>
    </w:p>
    <w:sectPr>
      <w:type w:val="continuous"/>
      <w:pgSz w:w="11906" w:h="16839"/>
      <w:pgMar w:top="1395" w:right="1785" w:bottom="1209" w:left="1172" w:header="851" w:footer="994" w:gutter="0"/>
      <w:cols w:equalWidth="0" w:num="2">
        <w:col w:w="4553" w:space="100"/>
        <w:col w:w="42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6347C">
    <w:pPr>
      <w:spacing w:line="209" w:lineRule="auto"/>
      <w:ind w:left="373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2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页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共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3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5EDE">
    <w:pPr>
      <w:spacing w:line="209" w:lineRule="auto"/>
      <w:ind w:left="386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3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页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共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3</w:t>
    </w:r>
    <w:r>
      <w:rPr>
        <w:rFonts w:ascii="宋体" w:hAnsi="宋体" w:eastAsia="宋体" w:cs="宋体"/>
        <w:spacing w:val="1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C1D3D">
    <w:pPr>
      <w:spacing w:line="482" w:lineRule="exact"/>
    </w:pPr>
    <w:r>
      <w:pict>
        <v:shape id="_x0000_s4097" o:spid="_x0000_s4097" style="position:absolute;left:0pt;margin-left:65.2pt;margin-top:69pt;height:0.75pt;width:464.9pt;mso-position-horizontal-relative:page;mso-position-vertical-relative:page;z-index:251659264;mso-width-relative:page;mso-height-relative:page;" fillcolor="#000000" filled="t" stroked="f" coordsize="9297,15" o:allowincell="f" path="m0,0l9297,0,9297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944370" cy="30607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624" cy="306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D1B0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BF5C">
    <w:pPr>
      <w:spacing w:line="482" w:lineRule="exact"/>
      <w:ind w:firstLine="130"/>
    </w:pPr>
    <w:r>
      <w:pict>
        <v:shape id="_x0000_s4099" o:spid="_x0000_s4099" style="position:absolute;left:0pt;margin-left:65.2pt;margin-top:69.05pt;height:0.75pt;width:440.1pt;mso-position-horizontal-relative:page;mso-position-vertical-relative:page;z-index:251660288;mso-width-relative:page;mso-height-relative:page;" fillcolor="#000000" filled="t" stroked="f" coordsize="8802,15" o:allowincell="f" path="m0,0l8801,0,8801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944370" cy="30607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624" cy="306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lOTEwZjBkZWQ4M2IxZWZlYjA1MDVmNzAzYTU1MWQifQ=="/>
    <w:docVar w:name="KSO_WPS_MARK_KEY" w:val="d39f4438-7a31-4851-911e-f142a43df16a"/>
  </w:docVars>
  <w:rsids>
    <w:rsidRoot w:val="00000000"/>
    <w:rsid w:val="19FA32D3"/>
    <w:rsid w:val="1F2F5BAA"/>
    <w:rsid w:val="3EC66423"/>
    <w:rsid w:val="5EA90E9A"/>
    <w:rsid w:val="68F72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1253</Words>
  <Characters>1474</Characters>
  <TotalTime>44</TotalTime>
  <ScaleCrop>false</ScaleCrop>
  <LinksUpToDate>false</LinksUpToDate>
  <CharactersWithSpaces>1518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2024-09-02T09:40:00Z</dcterms:created>
  <dc:creator>Administrator</dc:creator>
  <cp:lastModifiedBy>谦谦</cp:lastModifiedBy>
  <dcterms:modified xsi:type="dcterms:W3CDTF">2024-09-10T08:41:53Z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2024-09-02T09:43:17Z</vt:filetime>
  </property>
  <property fmtid="{D5CDD505-2E9C-101B-9397-08002B2CF9AE}" pid="4" name="KSOProductBuildVer">
    <vt:lpwstr>2052-12.1.0.17857</vt:lpwstr>
  </property>
  <property fmtid="{D5CDD505-2E9C-101B-9397-08002B2CF9AE}" pid="5" name="ICV">
    <vt:lpwstr>88466400C6304B67B3B095AFE71E4320_12</vt:lpwstr>
  </property>
</Properties>
</file>