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7B0C">
      <w:pPr>
        <w:pStyle w:val="50"/>
        <w:spacing w:line="360" w:lineRule="auto"/>
        <w:rPr>
          <w:rFonts w:hint="eastAsia" w:hAnsi="宋体" w:cs="宋体"/>
          <w:bCs/>
          <w:color w:val="auto"/>
          <w:szCs w:val="24"/>
          <w:highlight w:val="none"/>
        </w:rPr>
      </w:pPr>
    </w:p>
    <w:p w14:paraId="2BFC8B85">
      <w:pPr>
        <w:spacing w:before="156" w:beforeLines="50" w:after="156" w:afterLines="50" w:line="360" w:lineRule="auto"/>
        <w:ind w:left="120" w:leftChars="50" w:right="120" w:rightChars="50" w:firstLine="482" w:firstLineChars="200"/>
        <w:rPr>
          <w:rStyle w:val="95"/>
          <w:rFonts w:ascii="宋体" w:hAnsi="宋体"/>
          <w:b/>
          <w:bCs/>
          <w:color w:val="auto"/>
          <w:szCs w:val="24"/>
          <w:highlight w:val="none"/>
        </w:rPr>
      </w:pPr>
    </w:p>
    <w:p w14:paraId="0994F553">
      <w:pPr>
        <w:pStyle w:val="93"/>
        <w:widowControl w:val="0"/>
        <w:autoSpaceDN w:val="0"/>
        <w:spacing w:line="360" w:lineRule="auto"/>
        <w:rPr>
          <w:rFonts w:ascii="宋体" w:hAnsi="宋体"/>
          <w:bCs/>
          <w:color w:val="auto"/>
          <w:sz w:val="48"/>
          <w:szCs w:val="48"/>
          <w:highlight w:val="none"/>
        </w:rPr>
      </w:pPr>
    </w:p>
    <w:p w14:paraId="67BA6623">
      <w:pPr>
        <w:pStyle w:val="93"/>
        <w:widowControl w:val="0"/>
        <w:autoSpaceDN w:val="0"/>
        <w:spacing w:line="360" w:lineRule="auto"/>
        <w:jc w:val="center"/>
        <w:rPr>
          <w:rFonts w:ascii="宋体" w:hAnsi="宋体"/>
          <w:bCs/>
          <w:color w:val="auto"/>
          <w:sz w:val="48"/>
          <w:szCs w:val="48"/>
          <w:highlight w:val="none"/>
        </w:rPr>
      </w:pPr>
    </w:p>
    <w:p w14:paraId="181ED70A">
      <w:pPr>
        <w:spacing w:before="156" w:beforeLines="50" w:after="156" w:afterLines="50" w:line="360" w:lineRule="auto"/>
        <w:ind w:right="120" w:rightChars="50"/>
        <w:jc w:val="center"/>
        <w:rPr>
          <w:rFonts w:hint="eastAsia" w:ascii="宋体" w:hAnsi="宋体"/>
          <w:b/>
          <w:bCs/>
          <w:color w:val="auto"/>
          <w:sz w:val="48"/>
          <w:szCs w:val="48"/>
          <w:highlight w:val="none"/>
          <w:u w:val="none"/>
          <w:lang w:val="en-US" w:eastAsia="zh-CN"/>
        </w:rPr>
      </w:pPr>
      <w:r>
        <w:rPr>
          <w:rFonts w:hint="eastAsia" w:ascii="宋体" w:hAnsi="宋体"/>
          <w:b/>
          <w:bCs/>
          <w:color w:val="auto"/>
          <w:sz w:val="48"/>
          <w:szCs w:val="48"/>
          <w:highlight w:val="none"/>
          <w:u w:val="none"/>
          <w:lang w:val="en-US" w:eastAsia="zh-CN"/>
        </w:rPr>
        <w:t>洛阳市洛龙区悠然居项目</w:t>
      </w:r>
    </w:p>
    <w:p w14:paraId="662DFAD7">
      <w:pPr>
        <w:spacing w:before="156" w:beforeLines="50" w:after="156" w:afterLines="50" w:line="360" w:lineRule="auto"/>
        <w:ind w:right="120" w:rightChars="50"/>
        <w:jc w:val="center"/>
        <w:rPr>
          <w:rFonts w:cs="宋体"/>
          <w:b/>
          <w:bCs/>
          <w:color w:val="auto"/>
          <w:sz w:val="52"/>
          <w:highlight w:val="none"/>
        </w:rPr>
      </w:pPr>
      <w:r>
        <w:rPr>
          <w:rFonts w:hint="eastAsia" w:ascii="宋体" w:hAnsi="宋体"/>
          <w:b/>
          <w:bCs/>
          <w:color w:val="auto"/>
          <w:sz w:val="48"/>
          <w:szCs w:val="48"/>
          <w:highlight w:val="none"/>
          <w:lang w:eastAsia="zh-CN"/>
        </w:rPr>
        <w:t>人防防化设备</w:t>
      </w:r>
      <w:r>
        <w:rPr>
          <w:rFonts w:hint="eastAsia" w:ascii="宋体" w:hAnsi="宋体"/>
          <w:b/>
          <w:bCs/>
          <w:color w:val="auto"/>
          <w:sz w:val="48"/>
          <w:szCs w:val="48"/>
          <w:highlight w:val="none"/>
        </w:rPr>
        <w:t>供货及安装合同</w:t>
      </w:r>
    </w:p>
    <w:p w14:paraId="52BEE4FE">
      <w:pPr>
        <w:autoSpaceDN w:val="0"/>
        <w:spacing w:line="360" w:lineRule="auto"/>
        <w:ind w:firstLine="2520" w:firstLineChars="1050"/>
        <w:rPr>
          <w:rFonts w:ascii="宋体" w:hAnsi="宋体"/>
          <w:color w:val="auto"/>
          <w:szCs w:val="24"/>
          <w:highlight w:val="none"/>
        </w:rPr>
      </w:pPr>
      <w:r>
        <w:rPr>
          <w:rFonts w:hint="eastAsia" w:ascii="宋体" w:hAnsi="宋体"/>
          <w:color w:val="auto"/>
          <w:szCs w:val="24"/>
          <w:highlight w:val="none"/>
        </w:rPr>
        <w:t xml:space="preserve">     </w:t>
      </w:r>
    </w:p>
    <w:p w14:paraId="319FBC5F">
      <w:pPr>
        <w:autoSpaceDN w:val="0"/>
        <w:spacing w:line="360" w:lineRule="auto"/>
        <w:ind w:firstLine="720" w:firstLineChars="300"/>
        <w:rPr>
          <w:rFonts w:ascii="宋体" w:hAnsi="宋体"/>
          <w:color w:val="auto"/>
          <w:szCs w:val="24"/>
          <w:highlight w:val="none"/>
        </w:rPr>
      </w:pPr>
    </w:p>
    <w:p w14:paraId="01087854">
      <w:pPr>
        <w:autoSpaceDN w:val="0"/>
        <w:spacing w:line="360" w:lineRule="auto"/>
        <w:ind w:firstLine="720" w:firstLineChars="300"/>
        <w:rPr>
          <w:rFonts w:ascii="宋体" w:hAnsi="宋体"/>
          <w:color w:val="auto"/>
          <w:szCs w:val="24"/>
          <w:highlight w:val="none"/>
        </w:rPr>
      </w:pPr>
    </w:p>
    <w:p w14:paraId="4A80925A">
      <w:pPr>
        <w:autoSpaceDN w:val="0"/>
        <w:spacing w:line="360" w:lineRule="auto"/>
        <w:ind w:firstLine="720" w:firstLineChars="300"/>
        <w:rPr>
          <w:rFonts w:ascii="宋体" w:hAnsi="宋体"/>
          <w:color w:val="auto"/>
          <w:szCs w:val="24"/>
          <w:highlight w:val="none"/>
        </w:rPr>
      </w:pPr>
    </w:p>
    <w:p w14:paraId="637D61CF">
      <w:pPr>
        <w:pStyle w:val="50"/>
        <w:autoSpaceDN w:val="0"/>
        <w:spacing w:line="360" w:lineRule="auto"/>
        <w:ind w:firstLine="723" w:firstLineChars="300"/>
        <w:rPr>
          <w:rFonts w:hAnsi="宋体"/>
          <w:color w:val="auto"/>
          <w:szCs w:val="24"/>
          <w:highlight w:val="none"/>
        </w:rPr>
      </w:pPr>
    </w:p>
    <w:p w14:paraId="7352D90B">
      <w:pPr>
        <w:autoSpaceDN w:val="0"/>
        <w:spacing w:line="360" w:lineRule="auto"/>
        <w:ind w:firstLine="720" w:firstLineChars="300"/>
        <w:rPr>
          <w:rFonts w:ascii="宋体" w:hAnsi="宋体"/>
          <w:color w:val="auto"/>
          <w:szCs w:val="24"/>
          <w:highlight w:val="none"/>
        </w:rPr>
      </w:pPr>
    </w:p>
    <w:p w14:paraId="34C5CDF5">
      <w:pPr>
        <w:autoSpaceDN w:val="0"/>
        <w:spacing w:line="360" w:lineRule="auto"/>
        <w:rPr>
          <w:rFonts w:ascii="宋体" w:hAnsi="宋体"/>
          <w:b/>
          <w:bCs/>
          <w:color w:val="auto"/>
          <w:szCs w:val="24"/>
          <w:highlight w:val="none"/>
        </w:rPr>
      </w:pPr>
    </w:p>
    <w:p w14:paraId="2D32469A">
      <w:pPr>
        <w:autoSpaceDN w:val="0"/>
        <w:spacing w:line="360" w:lineRule="auto"/>
        <w:ind w:firstLine="840" w:firstLineChars="280"/>
        <w:rPr>
          <w:rFonts w:hint="default" w:ascii="宋体" w:hAnsi="宋体"/>
          <w:color w:val="auto"/>
          <w:sz w:val="30"/>
          <w:szCs w:val="30"/>
          <w:highlight w:val="none"/>
          <w:lang w:val="en-US"/>
        </w:rPr>
      </w:pPr>
      <w:r>
        <w:rPr>
          <w:rFonts w:hint="eastAsia" w:ascii="宋体" w:hAnsi="宋体"/>
          <w:color w:val="auto"/>
          <w:sz w:val="30"/>
          <w:szCs w:val="30"/>
          <w:highlight w:val="none"/>
        </w:rPr>
        <w:t xml:space="preserve">           成本代码：</w:t>
      </w:r>
      <w:r>
        <w:rPr>
          <w:rFonts w:hint="eastAsia" w:ascii="宋体" w:hAnsi="宋体" w:cs="宋体"/>
          <w:color w:val="auto"/>
          <w:sz w:val="30"/>
          <w:szCs w:val="30"/>
          <w:highlight w:val="none"/>
          <w:u w:val="single"/>
          <w:lang w:val="en-US" w:eastAsia="zh-CN"/>
        </w:rPr>
        <w:t xml:space="preserve">   5.6.2    </w:t>
      </w:r>
    </w:p>
    <w:p w14:paraId="3AFCC8D4">
      <w:pPr>
        <w:autoSpaceDN w:val="0"/>
        <w:spacing w:line="360" w:lineRule="auto"/>
        <w:ind w:firstLine="840" w:firstLineChars="280"/>
        <w:rPr>
          <w:rFonts w:hint="default" w:ascii="宋体" w:hAnsi="宋体" w:eastAsia="宋体"/>
          <w:color w:val="auto"/>
          <w:sz w:val="30"/>
          <w:szCs w:val="30"/>
          <w:highlight w:val="none"/>
          <w:lang w:val="en-US" w:eastAsia="zh-CN"/>
        </w:rPr>
      </w:pPr>
      <w:r>
        <w:rPr>
          <w:rFonts w:hint="eastAsia" w:ascii="宋体" w:hAnsi="宋体"/>
          <w:color w:val="auto"/>
          <w:sz w:val="30"/>
          <w:szCs w:val="30"/>
          <w:highlight w:val="none"/>
        </w:rPr>
        <w:t xml:space="preserve">           合同编号：</w:t>
      </w:r>
      <w:r>
        <w:rPr>
          <w:rFonts w:hint="eastAsia" w:ascii="宋体" w:hAnsi="宋体" w:cs="宋体"/>
          <w:sz w:val="30"/>
          <w:szCs w:val="30"/>
          <w:u w:val="single"/>
          <w:lang w:val="en-US" w:eastAsia="zh-CN"/>
        </w:rPr>
        <w:t xml:space="preserve"> </w:t>
      </w:r>
      <w:r>
        <w:rPr>
          <w:rFonts w:hint="eastAsia" w:ascii="宋体" w:hAnsi="宋体" w:eastAsia="宋体" w:cs="宋体"/>
          <w:color w:val="auto"/>
          <w:kern w:val="0"/>
          <w:sz w:val="30"/>
          <w:szCs w:val="30"/>
          <w:highlight w:val="none"/>
          <w:u w:val="single"/>
          <w:lang w:val="en-US" w:eastAsia="zh-CN"/>
        </w:rPr>
        <w:t>BLT.JA.08</w:t>
      </w:r>
      <w:r>
        <w:rPr>
          <w:rFonts w:hint="eastAsia" w:ascii="宋体" w:hAnsi="宋体" w:cs="宋体"/>
          <w:color w:val="auto"/>
          <w:kern w:val="0"/>
          <w:sz w:val="30"/>
          <w:szCs w:val="30"/>
          <w:highlight w:val="none"/>
          <w:u w:val="single"/>
          <w:lang w:val="en-US" w:eastAsia="zh-CN"/>
        </w:rPr>
        <w:t>5</w:t>
      </w:r>
      <w:r>
        <w:rPr>
          <w:rFonts w:hint="eastAsia" w:ascii="宋体" w:hAnsi="宋体" w:cs="宋体"/>
          <w:sz w:val="30"/>
          <w:szCs w:val="30"/>
          <w:u w:val="single"/>
          <w:lang w:val="en-US" w:eastAsia="zh-CN"/>
        </w:rPr>
        <w:t xml:space="preserve"> </w:t>
      </w:r>
    </w:p>
    <w:p w14:paraId="40112B21">
      <w:pPr>
        <w:pStyle w:val="50"/>
        <w:autoSpaceDN w:val="0"/>
        <w:spacing w:line="360" w:lineRule="auto"/>
        <w:ind w:firstLine="843" w:firstLineChars="280"/>
        <w:rPr>
          <w:rFonts w:hAnsi="宋体"/>
          <w:color w:val="auto"/>
          <w:sz w:val="30"/>
          <w:szCs w:val="30"/>
          <w:highlight w:val="none"/>
        </w:rPr>
      </w:pPr>
    </w:p>
    <w:p w14:paraId="0207083A">
      <w:pPr>
        <w:pStyle w:val="50"/>
        <w:autoSpaceDN w:val="0"/>
        <w:spacing w:line="360" w:lineRule="auto"/>
        <w:ind w:firstLine="843" w:firstLineChars="280"/>
        <w:rPr>
          <w:rFonts w:hAnsi="宋体"/>
          <w:color w:val="auto"/>
          <w:sz w:val="30"/>
          <w:szCs w:val="30"/>
          <w:highlight w:val="none"/>
        </w:rPr>
      </w:pPr>
    </w:p>
    <w:p w14:paraId="3E584E05">
      <w:pPr>
        <w:pStyle w:val="51"/>
        <w:spacing w:line="360" w:lineRule="auto"/>
        <w:rPr>
          <w:color w:val="auto"/>
          <w:highlight w:val="none"/>
        </w:rPr>
      </w:pPr>
    </w:p>
    <w:p w14:paraId="6EA22FF9">
      <w:pPr>
        <w:pStyle w:val="52"/>
        <w:rPr>
          <w:color w:val="auto"/>
          <w:highlight w:val="none"/>
        </w:rPr>
      </w:pPr>
    </w:p>
    <w:p w14:paraId="40DF3E35">
      <w:pPr>
        <w:ind w:firstLine="1506" w:firstLineChars="500"/>
        <w:jc w:val="left"/>
        <w:rPr>
          <w:rFonts w:hint="eastAsia" w:ascii="宋体" w:hAnsi="宋体" w:eastAsia="宋体"/>
          <w:color w:val="auto"/>
          <w:kern w:val="0"/>
          <w:sz w:val="30"/>
          <w:szCs w:val="30"/>
          <w:highlight w:val="none"/>
          <w:lang w:eastAsia="zh-CN"/>
        </w:rPr>
      </w:pPr>
      <w:r>
        <w:rPr>
          <w:rFonts w:hint="eastAsia" w:ascii="宋体" w:hAnsi="宋体"/>
          <w:b/>
          <w:color w:val="auto"/>
          <w:kern w:val="0"/>
          <w:sz w:val="30"/>
          <w:szCs w:val="30"/>
          <w:highlight w:val="none"/>
        </w:rPr>
        <w:t>发 包 人：</w:t>
      </w:r>
      <w:r>
        <w:rPr>
          <w:rFonts w:hint="eastAsia" w:ascii="宋体" w:hAnsi="宋体"/>
          <w:b/>
          <w:sz w:val="30"/>
          <w:szCs w:val="30"/>
          <w:u w:val="single"/>
          <w:lang w:eastAsia="zh-CN"/>
        </w:rPr>
        <w:t>河南浩德龙瑞置业有限公司</w:t>
      </w:r>
    </w:p>
    <w:p w14:paraId="2548CF0F">
      <w:pPr>
        <w:ind w:firstLine="1506" w:firstLineChars="500"/>
        <w:jc w:val="left"/>
        <w:rPr>
          <w:rFonts w:hint="eastAsia" w:ascii="宋体" w:hAnsi="宋体" w:eastAsia="宋体"/>
          <w:b/>
          <w:color w:val="auto"/>
          <w:kern w:val="0"/>
          <w:sz w:val="30"/>
          <w:szCs w:val="30"/>
          <w:highlight w:val="none"/>
          <w:u w:val="single"/>
          <w:lang w:eastAsia="zh-CN"/>
        </w:rPr>
      </w:pPr>
      <w:r>
        <w:rPr>
          <w:rFonts w:hint="eastAsia" w:ascii="宋体" w:hAnsi="宋体"/>
          <w:b/>
          <w:color w:val="auto"/>
          <w:kern w:val="0"/>
          <w:sz w:val="30"/>
          <w:szCs w:val="30"/>
          <w:highlight w:val="none"/>
        </w:rPr>
        <w:t>承 包 人：</w:t>
      </w:r>
      <w:r>
        <w:rPr>
          <w:rFonts w:hint="eastAsia" w:ascii="宋体" w:hAnsi="宋体"/>
          <w:b/>
          <w:color w:val="auto"/>
          <w:kern w:val="0"/>
          <w:sz w:val="30"/>
          <w:szCs w:val="30"/>
          <w:highlight w:val="none"/>
          <w:u w:val="single"/>
          <w:lang w:eastAsia="zh-CN"/>
        </w:rPr>
        <w:t>三门峡安泰人防工程有限公司</w:t>
      </w:r>
    </w:p>
    <w:p w14:paraId="167907F4">
      <w:pPr>
        <w:ind w:firstLine="1506" w:firstLineChars="500"/>
        <w:jc w:val="left"/>
        <w:rPr>
          <w:rFonts w:ascii="宋体" w:hAnsi="宋体"/>
          <w:b/>
          <w:color w:val="auto"/>
          <w:kern w:val="0"/>
          <w:sz w:val="30"/>
          <w:szCs w:val="30"/>
          <w:highlight w:val="none"/>
        </w:rPr>
      </w:pPr>
      <w:r>
        <w:rPr>
          <w:rFonts w:hint="eastAsia" w:ascii="宋体" w:hAnsi="宋体"/>
          <w:b/>
          <w:color w:val="auto"/>
          <w:kern w:val="0"/>
          <w:sz w:val="30"/>
          <w:szCs w:val="30"/>
          <w:highlight w:val="none"/>
        </w:rPr>
        <w:t>签订时间：</w:t>
      </w:r>
      <w:r>
        <w:rPr>
          <w:rFonts w:hint="eastAsia" w:ascii="宋体" w:hAnsi="宋体"/>
          <w:b/>
          <w:color w:val="auto"/>
          <w:kern w:val="0"/>
          <w:sz w:val="30"/>
          <w:szCs w:val="30"/>
          <w:highlight w:val="none"/>
          <w:u w:val="single"/>
          <w:lang w:val="en-US" w:eastAsia="zh-CN"/>
        </w:rPr>
        <w:t>2024</w:t>
      </w:r>
      <w:r>
        <w:rPr>
          <w:rFonts w:hint="eastAsia" w:ascii="宋体" w:hAnsi="宋体"/>
          <w:b/>
          <w:color w:val="auto"/>
          <w:kern w:val="0"/>
          <w:sz w:val="30"/>
          <w:szCs w:val="30"/>
          <w:highlight w:val="none"/>
        </w:rPr>
        <w:t>年</w:t>
      </w:r>
      <w:r>
        <w:rPr>
          <w:rFonts w:hint="eastAsia" w:ascii="宋体" w:hAnsi="宋体"/>
          <w:b/>
          <w:color w:val="auto"/>
          <w:kern w:val="0"/>
          <w:sz w:val="30"/>
          <w:szCs w:val="30"/>
          <w:highlight w:val="none"/>
          <w:u w:val="single"/>
          <w:lang w:val="en-US" w:eastAsia="zh-CN"/>
        </w:rPr>
        <w:t>10</w:t>
      </w:r>
      <w:r>
        <w:rPr>
          <w:rFonts w:hint="eastAsia" w:ascii="宋体" w:hAnsi="宋体"/>
          <w:b/>
          <w:color w:val="auto"/>
          <w:kern w:val="0"/>
          <w:sz w:val="30"/>
          <w:szCs w:val="30"/>
          <w:highlight w:val="none"/>
        </w:rPr>
        <w:t>月</w:t>
      </w:r>
      <w:r>
        <w:rPr>
          <w:rFonts w:hint="eastAsia" w:ascii="宋体" w:hAnsi="宋体"/>
          <w:b/>
          <w:color w:val="auto"/>
          <w:kern w:val="0"/>
          <w:sz w:val="30"/>
          <w:szCs w:val="30"/>
          <w:highlight w:val="none"/>
          <w:u w:val="single"/>
          <w:lang w:val="en-US" w:eastAsia="zh-CN"/>
        </w:rPr>
        <w:t xml:space="preserve">  </w:t>
      </w:r>
      <w:r>
        <w:rPr>
          <w:rFonts w:hint="eastAsia" w:ascii="宋体" w:hAnsi="宋体"/>
          <w:b/>
          <w:color w:val="auto"/>
          <w:kern w:val="0"/>
          <w:sz w:val="30"/>
          <w:szCs w:val="30"/>
          <w:highlight w:val="none"/>
        </w:rPr>
        <w:t>日</w:t>
      </w:r>
    </w:p>
    <w:p w14:paraId="16F55906">
      <w:pPr>
        <w:autoSpaceDN w:val="0"/>
        <w:spacing w:line="360" w:lineRule="auto"/>
        <w:ind w:firstLine="480" w:firstLineChars="200"/>
        <w:rPr>
          <w:rFonts w:ascii="宋体" w:hAnsi="宋体"/>
          <w:color w:val="auto"/>
          <w:szCs w:val="24"/>
          <w:highlight w:val="none"/>
        </w:rPr>
      </w:pPr>
    </w:p>
    <w:p w14:paraId="79A78792">
      <w:pPr>
        <w:pStyle w:val="53"/>
        <w:rPr>
          <w:rFonts w:ascii="宋体" w:hAnsi="宋体"/>
          <w:color w:val="auto"/>
          <w:szCs w:val="24"/>
          <w:highlight w:val="none"/>
        </w:rPr>
      </w:pPr>
    </w:p>
    <w:p w14:paraId="36BB2507">
      <w:pPr>
        <w:autoSpaceDN w:val="0"/>
        <w:spacing w:line="360" w:lineRule="auto"/>
        <w:rPr>
          <w:rFonts w:hint="eastAsia" w:ascii="宋体" w:hAnsi="宋体" w:cs="宋体"/>
          <w:b/>
          <w:bCs/>
          <w:color w:val="auto"/>
          <w:szCs w:val="24"/>
          <w:highlight w:val="none"/>
        </w:rPr>
      </w:pPr>
    </w:p>
    <w:p w14:paraId="4E2421CD">
      <w:pPr>
        <w:autoSpaceDN w:val="0"/>
        <w:spacing w:line="360" w:lineRule="auto"/>
        <w:rPr>
          <w:rFonts w:hint="eastAsia" w:ascii="宋体" w:hAnsi="宋体" w:eastAsia="宋体" w:cs="宋体"/>
          <w:color w:val="auto"/>
          <w:szCs w:val="24"/>
          <w:highlight w:val="none"/>
          <w:u w:val="single"/>
          <w:lang w:eastAsia="zh-CN"/>
        </w:rPr>
      </w:pPr>
      <w:r>
        <w:rPr>
          <w:rFonts w:hint="eastAsia" w:ascii="宋体" w:hAnsi="宋体" w:cs="宋体"/>
          <w:b/>
          <w:bCs/>
          <w:color w:val="auto"/>
          <w:szCs w:val="24"/>
          <w:highlight w:val="none"/>
        </w:rPr>
        <w:t>发包人</w:t>
      </w:r>
      <w:r>
        <w:rPr>
          <w:rFonts w:hint="eastAsia" w:ascii="宋体" w:hAnsi="宋体" w:cs="宋体"/>
          <w:color w:val="auto"/>
          <w:szCs w:val="24"/>
          <w:highlight w:val="none"/>
        </w:rPr>
        <w:t>（以下简称甲方）：</w:t>
      </w:r>
      <w:r>
        <w:rPr>
          <w:rFonts w:hint="eastAsia" w:ascii="宋体" w:hAnsi="宋体" w:cs="宋体"/>
          <w:sz w:val="24"/>
          <w:szCs w:val="24"/>
          <w:u w:val="single"/>
          <w:lang w:eastAsia="zh-CN"/>
        </w:rPr>
        <w:t>河南浩德龙瑞置业有限公司</w:t>
      </w:r>
    </w:p>
    <w:p w14:paraId="2EAE1E9C">
      <w:pPr>
        <w:pStyle w:val="50"/>
        <w:rPr>
          <w:rFonts w:hint="eastAsia" w:eastAsia="宋体"/>
          <w:color w:val="auto"/>
          <w:highlight w:val="none"/>
          <w:lang w:eastAsia="zh-CN"/>
        </w:rPr>
      </w:pPr>
      <w:r>
        <w:rPr>
          <w:rFonts w:hint="eastAsia" w:hAnsi="宋体" w:cs="宋体"/>
          <w:color w:val="auto"/>
          <w:highlight w:val="none"/>
        </w:rPr>
        <w:t>统一社会信用代码：</w:t>
      </w:r>
      <w:r>
        <w:rPr>
          <w:rFonts w:hint="eastAsia" w:hAnsi="宋体" w:cs="宋体"/>
          <w:b w:val="0"/>
          <w:bCs/>
          <w:sz w:val="24"/>
          <w:szCs w:val="24"/>
          <w:u w:val="single"/>
          <w:lang w:eastAsia="zh-CN"/>
        </w:rPr>
        <w:t>91410300MA9MYURF5B</w:t>
      </w:r>
    </w:p>
    <w:p w14:paraId="740C52D8">
      <w:pPr>
        <w:autoSpaceDN w:val="0"/>
        <w:spacing w:line="360" w:lineRule="auto"/>
        <w:rPr>
          <w:rFonts w:hint="eastAsia" w:ascii="宋体" w:hAnsi="宋体" w:eastAsia="宋体" w:cs="宋体"/>
          <w:color w:val="auto"/>
          <w:szCs w:val="24"/>
          <w:highlight w:val="none"/>
          <w:u w:val="single"/>
          <w:lang w:eastAsia="zh-CN"/>
        </w:rPr>
      </w:pPr>
      <w:r>
        <w:rPr>
          <w:rFonts w:hint="eastAsia" w:ascii="宋体" w:hAnsi="宋体" w:cs="宋体"/>
          <w:b/>
          <w:bCs/>
          <w:color w:val="auto"/>
          <w:szCs w:val="24"/>
          <w:highlight w:val="none"/>
        </w:rPr>
        <w:t>承包人</w:t>
      </w:r>
      <w:r>
        <w:rPr>
          <w:rFonts w:hint="eastAsia" w:ascii="宋体" w:hAnsi="宋体" w:cs="宋体"/>
          <w:color w:val="auto"/>
          <w:szCs w:val="24"/>
          <w:highlight w:val="none"/>
        </w:rPr>
        <w:t>（以下简称乙方）：</w:t>
      </w:r>
      <w:r>
        <w:rPr>
          <w:rFonts w:hint="eastAsia" w:ascii="宋体" w:hAnsi="宋体" w:cs="宋体"/>
          <w:color w:val="auto"/>
          <w:szCs w:val="24"/>
          <w:highlight w:val="none"/>
          <w:u w:val="single"/>
          <w:lang w:eastAsia="zh-CN"/>
        </w:rPr>
        <w:t>三门峡安泰人防工程有限公司</w:t>
      </w:r>
    </w:p>
    <w:p w14:paraId="09A2E978">
      <w:pPr>
        <w:pStyle w:val="50"/>
        <w:rPr>
          <w:rFonts w:hint="eastAsia" w:eastAsia="宋体"/>
          <w:b w:val="0"/>
          <w:bCs/>
          <w:color w:val="auto"/>
          <w:highlight w:val="none"/>
          <w:lang w:eastAsia="zh-CN"/>
        </w:rPr>
      </w:pPr>
      <w:r>
        <w:rPr>
          <w:rFonts w:hint="eastAsia" w:hAnsi="宋体" w:cs="宋体"/>
          <w:color w:val="auto"/>
          <w:highlight w:val="none"/>
        </w:rPr>
        <w:t>统一社会信用代码：</w:t>
      </w:r>
      <w:r>
        <w:rPr>
          <w:rFonts w:hint="eastAsia" w:hAnsi="宋体" w:cs="宋体"/>
          <w:b w:val="0"/>
          <w:bCs/>
          <w:color w:val="auto"/>
          <w:highlight w:val="none"/>
          <w:u w:val="single"/>
          <w:lang w:eastAsia="zh-CN"/>
        </w:rPr>
        <w:t>914112223961518919</w:t>
      </w:r>
    </w:p>
    <w:p w14:paraId="65655617">
      <w:pPr>
        <w:kinsoku w:val="0"/>
        <w:wordWrap w:val="0"/>
        <w:topLinePunct/>
        <w:autoSpaceDE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依照《中华人民共和国民法典》、《中华人民共和国建筑法》及其他有关法律、行政法规，遵循平等、自愿、公平和诚实信用的原则，双方就</w:t>
      </w:r>
      <w:r>
        <w:rPr>
          <w:rFonts w:hint="eastAsia" w:ascii="宋体" w:hAnsi="宋体" w:cs="宋体"/>
          <w:color w:val="auto"/>
          <w:szCs w:val="24"/>
          <w:highlight w:val="none"/>
          <w:u w:val="single"/>
          <w:lang w:val="en-US" w:eastAsia="zh-CN"/>
        </w:rPr>
        <w:t xml:space="preserve"> 洛阳市洛龙区悠然居项目</w:t>
      </w:r>
      <w:r>
        <w:rPr>
          <w:rFonts w:hint="eastAsia" w:ascii="宋体" w:hAnsi="宋体" w:cs="宋体"/>
          <w:color w:val="auto"/>
          <w:szCs w:val="24"/>
          <w:highlight w:val="none"/>
          <w:u w:val="single"/>
          <w:lang w:eastAsia="zh-CN"/>
        </w:rPr>
        <w:t>人防防化设备</w:t>
      </w:r>
      <w:r>
        <w:rPr>
          <w:rFonts w:hint="eastAsia" w:ascii="宋体" w:hAnsi="宋体" w:cs="宋体"/>
          <w:color w:val="auto"/>
          <w:szCs w:val="24"/>
          <w:highlight w:val="none"/>
          <w:u w:val="single"/>
        </w:rPr>
        <w:t>供货及安装</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rPr>
        <w:t>事项协商一致，订立本合同。</w:t>
      </w:r>
    </w:p>
    <w:p w14:paraId="7E6AB5F7">
      <w:pPr>
        <w:numPr>
          <w:ilvl w:val="255"/>
          <w:numId w:val="0"/>
        </w:numPr>
        <w:tabs>
          <w:tab w:val="left" w:pos="0"/>
        </w:tabs>
        <w:kinsoku w:val="0"/>
        <w:wordWrap w:val="0"/>
        <w:topLinePunct/>
        <w:autoSpaceDE w:val="0"/>
        <w:spacing w:line="360" w:lineRule="auto"/>
        <w:rPr>
          <w:rFonts w:ascii="宋体" w:hAnsi="宋体" w:cs="宋体"/>
          <w:color w:val="auto"/>
          <w:szCs w:val="24"/>
          <w:highlight w:val="none"/>
        </w:rPr>
      </w:pPr>
      <w:r>
        <w:rPr>
          <w:rFonts w:hint="eastAsia" w:ascii="宋体" w:hAnsi="宋体" w:cs="宋体"/>
          <w:b/>
          <w:bCs/>
          <w:color w:val="auto"/>
          <w:szCs w:val="24"/>
          <w:highlight w:val="none"/>
        </w:rPr>
        <w:t>一、工程概况</w:t>
      </w:r>
    </w:p>
    <w:p w14:paraId="4ED65620">
      <w:pPr>
        <w:spacing w:before="0" w:beforeLines="-2147483648" w:after="0" w:afterLines="-2147483648" w:line="360" w:lineRule="auto"/>
        <w:ind w:right="0" w:rightChars="0" w:firstLine="480" w:firstLineChars="200"/>
        <w:jc w:val="left"/>
        <w:rPr>
          <w:rFonts w:hint="eastAsia" w:ascii="宋体" w:hAnsi="宋体" w:cs="Times New Roman"/>
          <w:color w:val="auto"/>
          <w:szCs w:val="22"/>
          <w:highlight w:val="none"/>
        </w:rPr>
      </w:pPr>
      <w:r>
        <w:rPr>
          <w:rFonts w:hint="eastAsia" w:ascii="宋体" w:hAnsi="宋体" w:cs="Times New Roman"/>
          <w:color w:val="auto"/>
          <w:szCs w:val="22"/>
          <w:highlight w:val="none"/>
        </w:rPr>
        <w:t>1、工程名称：</w:t>
      </w:r>
      <w:r>
        <w:rPr>
          <w:rFonts w:hint="eastAsia" w:ascii="宋体" w:hAnsi="宋体" w:cs="Times New Roman"/>
          <w:color w:val="auto"/>
          <w:szCs w:val="22"/>
          <w:highlight w:val="none"/>
          <w:lang w:val="en-US" w:eastAsia="zh-CN"/>
        </w:rPr>
        <w:t>洛阳市洛龙区悠然居项目</w:t>
      </w:r>
      <w:r>
        <w:rPr>
          <w:rFonts w:hint="eastAsia" w:ascii="宋体" w:hAnsi="宋体" w:cs="Times New Roman"/>
          <w:color w:val="auto"/>
          <w:szCs w:val="22"/>
          <w:highlight w:val="none"/>
          <w:lang w:eastAsia="zh-CN"/>
        </w:rPr>
        <w:t>人防防化设备</w:t>
      </w:r>
      <w:r>
        <w:rPr>
          <w:rFonts w:hint="eastAsia" w:ascii="宋体" w:hAnsi="宋体" w:cs="Times New Roman"/>
          <w:color w:val="auto"/>
          <w:szCs w:val="22"/>
          <w:highlight w:val="none"/>
        </w:rPr>
        <w:t>供货及安装工程。</w:t>
      </w:r>
    </w:p>
    <w:p w14:paraId="6F027FDF">
      <w:pPr>
        <w:kinsoku/>
        <w:wordWrap/>
        <w:topLinePunct w:val="0"/>
        <w:autoSpaceDE/>
        <w:spacing w:line="360" w:lineRule="auto"/>
        <w:ind w:firstLine="480" w:firstLineChars="200"/>
        <w:rPr>
          <w:rFonts w:hint="eastAsia" w:ascii="宋体" w:hAnsi="宋体" w:cs="Times New Roman"/>
          <w:color w:val="auto"/>
          <w:szCs w:val="22"/>
          <w:highlight w:val="none"/>
        </w:rPr>
      </w:pPr>
      <w:r>
        <w:rPr>
          <w:rFonts w:hint="eastAsia" w:ascii="宋体" w:hAnsi="宋体" w:cs="Times New Roman"/>
          <w:color w:val="auto"/>
          <w:szCs w:val="22"/>
          <w:highlight w:val="none"/>
        </w:rPr>
        <w:t>2、工程地点：</w:t>
      </w:r>
      <w:r>
        <w:rPr>
          <w:rFonts w:hint="eastAsia" w:ascii="宋体" w:hAnsi="宋体" w:cs="Times New Roman"/>
          <w:color w:val="auto"/>
          <w:highlight w:val="none"/>
          <w:u w:val="none"/>
          <w:lang w:eastAsia="zh-CN"/>
        </w:rPr>
        <w:t>河南省洛阳市文景路与渠东路交叉口东南角项目施工现场</w:t>
      </w:r>
      <w:r>
        <w:rPr>
          <w:rFonts w:hint="eastAsia" w:ascii="宋体" w:hAnsi="宋体" w:cs="Times New Roman"/>
          <w:color w:val="auto"/>
          <w:szCs w:val="22"/>
          <w:highlight w:val="none"/>
        </w:rPr>
        <w:t>。</w:t>
      </w:r>
    </w:p>
    <w:p w14:paraId="07D33B2C">
      <w:pPr>
        <w:numPr>
          <w:ilvl w:val="255"/>
          <w:numId w:val="0"/>
        </w:numPr>
        <w:tabs>
          <w:tab w:val="left" w:pos="0"/>
        </w:tabs>
        <w:kinsoku w:val="0"/>
        <w:wordWrap w:val="0"/>
        <w:topLinePunct/>
        <w:autoSpaceDE w:val="0"/>
        <w:spacing w:line="360" w:lineRule="auto"/>
        <w:rPr>
          <w:rFonts w:ascii="宋体" w:hAnsi="宋体" w:cs="宋体"/>
          <w:color w:val="auto"/>
          <w:szCs w:val="24"/>
          <w:highlight w:val="none"/>
        </w:rPr>
      </w:pPr>
      <w:r>
        <w:rPr>
          <w:rFonts w:hint="eastAsia" w:ascii="宋体" w:hAnsi="宋体" w:cs="宋体"/>
          <w:b/>
          <w:bCs/>
          <w:color w:val="auto"/>
          <w:szCs w:val="24"/>
          <w:highlight w:val="none"/>
        </w:rPr>
        <w:t>二、承包范围</w:t>
      </w:r>
    </w:p>
    <w:p w14:paraId="79134E85">
      <w:pPr>
        <w:kinsoku w:val="0"/>
        <w:wordWrap w:val="0"/>
        <w:topLinePunct/>
        <w:autoSpaceDE w:val="0"/>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承包范围：</w:t>
      </w:r>
      <w:r>
        <w:rPr>
          <w:rFonts w:hint="eastAsia" w:ascii="宋体" w:hAnsi="宋体" w:cs="宋体"/>
          <w:color w:val="auto"/>
          <w:szCs w:val="24"/>
          <w:highlight w:val="none"/>
          <w:u w:val="none"/>
          <w:lang w:val="en-US" w:eastAsia="zh-CN"/>
        </w:rPr>
        <w:t>洛阳市洛龙区悠然居项目</w:t>
      </w:r>
      <w:r>
        <w:rPr>
          <w:rFonts w:hint="eastAsia" w:ascii="宋体" w:hAnsi="宋体" w:cs="宋体"/>
          <w:color w:val="auto"/>
          <w:szCs w:val="24"/>
          <w:highlight w:val="none"/>
        </w:rPr>
        <w:t>战时人防图纸、设计变更范围内防排烟工程、强弱电工程、给水工程、标识标牌等设备采购及安装调试、封堵、检测、操作及维修、人防验收等全部内容。具体内容详见合同附件二《价格清单》。</w:t>
      </w:r>
    </w:p>
    <w:p w14:paraId="3A4D7815">
      <w:pPr>
        <w:kinsoku/>
        <w:wordWrap/>
        <w:topLinePunct w:val="0"/>
        <w:autoSpaceDE/>
        <w:spacing w:line="360" w:lineRule="auto"/>
        <w:ind w:firstLine="480" w:firstLineChars="200"/>
        <w:rPr>
          <w:rFonts w:hint="eastAsia" w:ascii="宋体" w:hAnsi="宋体" w:cs="Times New Roman"/>
          <w:color w:val="auto"/>
          <w:szCs w:val="22"/>
          <w:highlight w:val="none"/>
        </w:rPr>
      </w:pPr>
      <w:r>
        <w:rPr>
          <w:rFonts w:hint="eastAsia" w:ascii="宋体" w:hAnsi="宋体" w:cs="Times New Roman"/>
          <w:color w:val="auto"/>
          <w:szCs w:val="22"/>
          <w:highlight w:val="none"/>
          <w:lang w:val="en-US" w:eastAsia="zh-CN"/>
        </w:rPr>
        <w:t>1.</w:t>
      </w:r>
      <w:r>
        <w:rPr>
          <w:rFonts w:hint="eastAsia" w:ascii="宋体" w:hAnsi="宋体" w:cs="Times New Roman"/>
          <w:color w:val="auto"/>
          <w:szCs w:val="22"/>
          <w:highlight w:val="none"/>
        </w:rPr>
        <w:t>1、 给水系统仅计算水箱（不含）之后管路及阀门的安装及调试；不含手摇泵处的阀门及管道。</w:t>
      </w:r>
    </w:p>
    <w:p w14:paraId="71017554">
      <w:pPr>
        <w:kinsoku/>
        <w:wordWrap/>
        <w:topLinePunct w:val="0"/>
        <w:autoSpaceDE/>
        <w:spacing w:line="360" w:lineRule="auto"/>
        <w:ind w:firstLine="480" w:firstLineChars="200"/>
        <w:rPr>
          <w:rFonts w:hint="eastAsia" w:ascii="宋体" w:hAnsi="宋体" w:cs="Times New Roman"/>
          <w:color w:val="auto"/>
          <w:szCs w:val="22"/>
          <w:highlight w:val="none"/>
        </w:rPr>
      </w:pPr>
      <w:r>
        <w:rPr>
          <w:rFonts w:hint="eastAsia" w:ascii="宋体" w:hAnsi="宋体" w:cs="Times New Roman"/>
          <w:color w:val="auto"/>
          <w:szCs w:val="22"/>
          <w:highlight w:val="none"/>
          <w:lang w:val="en-US" w:eastAsia="zh-CN"/>
        </w:rPr>
        <w:t>1.</w:t>
      </w:r>
      <w:r>
        <w:rPr>
          <w:rFonts w:hint="eastAsia" w:ascii="宋体" w:hAnsi="宋体" w:cs="Times New Roman"/>
          <w:color w:val="auto"/>
          <w:szCs w:val="22"/>
          <w:highlight w:val="none"/>
        </w:rPr>
        <w:t>2、通风系统包括风机、通风管道、风阀、风口、设备</w:t>
      </w:r>
      <w:r>
        <w:rPr>
          <w:rFonts w:hint="eastAsia" w:ascii="宋体" w:hAnsi="宋体" w:cs="Times New Roman"/>
          <w:color w:val="auto"/>
          <w:szCs w:val="22"/>
          <w:highlight w:val="none"/>
          <w:lang w:eastAsia="zh-CN"/>
        </w:rPr>
        <w:t>、</w:t>
      </w:r>
      <w:r>
        <w:rPr>
          <w:rFonts w:hint="eastAsia" w:ascii="宋体" w:hAnsi="宋体" w:cs="Times New Roman"/>
          <w:color w:val="auto"/>
          <w:szCs w:val="22"/>
          <w:highlight w:val="none"/>
        </w:rPr>
        <w:t>配线等图纸范围内防护单元口部及移动电站内的全部工程内容；不含空气放射性监测仪、空气染毒监测仪、空气质量监测仪，不含风机配电箱，不含防爆超压排气活门、气密测量管。</w:t>
      </w:r>
    </w:p>
    <w:p w14:paraId="0B9C46BF">
      <w:pPr>
        <w:kinsoku/>
        <w:wordWrap/>
        <w:topLinePunct w:val="0"/>
        <w:autoSpaceDE/>
        <w:spacing w:line="360" w:lineRule="auto"/>
        <w:ind w:firstLine="480" w:firstLineChars="200"/>
        <w:rPr>
          <w:rFonts w:hint="eastAsia" w:ascii="宋体" w:hAnsi="宋体" w:cs="Times New Roman"/>
          <w:color w:val="auto"/>
          <w:szCs w:val="22"/>
          <w:highlight w:val="none"/>
        </w:rPr>
      </w:pPr>
      <w:r>
        <w:rPr>
          <w:rFonts w:hint="eastAsia" w:ascii="宋体" w:hAnsi="宋体" w:cs="Times New Roman"/>
          <w:color w:val="auto"/>
          <w:szCs w:val="22"/>
          <w:highlight w:val="none"/>
          <w:lang w:val="en-US" w:eastAsia="zh-CN"/>
        </w:rPr>
        <w:t>1.</w:t>
      </w:r>
      <w:r>
        <w:rPr>
          <w:rFonts w:hint="eastAsia" w:ascii="宋体" w:hAnsi="宋体" w:cs="Times New Roman"/>
          <w:color w:val="auto"/>
          <w:szCs w:val="22"/>
          <w:highlight w:val="none"/>
        </w:rPr>
        <w:t>3、弱电系统包括弱电控制箱及之后的配线及设备的采购及安装调试等全部工程内容；人防电话组线箱前进线暂按100米计入，后期</w:t>
      </w:r>
      <w:r>
        <w:rPr>
          <w:rFonts w:hint="eastAsia" w:ascii="宋体" w:hAnsi="宋体" w:cs="Times New Roman"/>
          <w:color w:val="auto"/>
          <w:szCs w:val="22"/>
          <w:highlight w:val="none"/>
          <w:lang w:eastAsia="zh-CN"/>
        </w:rPr>
        <w:t>根据</w:t>
      </w:r>
      <w:r>
        <w:rPr>
          <w:rFonts w:hint="eastAsia" w:ascii="宋体" w:hAnsi="宋体" w:cs="Times New Roman"/>
          <w:color w:val="auto"/>
          <w:szCs w:val="22"/>
          <w:highlight w:val="none"/>
        </w:rPr>
        <w:t>工程量据实结算。</w:t>
      </w:r>
    </w:p>
    <w:p w14:paraId="47672FB6">
      <w:pPr>
        <w:kinsoku/>
        <w:wordWrap/>
        <w:topLinePunct w:val="0"/>
        <w:autoSpaceDE/>
        <w:spacing w:line="360" w:lineRule="auto"/>
        <w:ind w:firstLine="480" w:firstLineChars="200"/>
        <w:rPr>
          <w:rFonts w:hint="eastAsia" w:ascii="宋体" w:hAnsi="宋体" w:cs="Times New Roman"/>
          <w:color w:val="auto"/>
          <w:szCs w:val="22"/>
          <w:highlight w:val="none"/>
        </w:rPr>
      </w:pPr>
      <w:r>
        <w:rPr>
          <w:rFonts w:hint="eastAsia" w:ascii="宋体" w:hAnsi="宋体" w:cs="Times New Roman"/>
          <w:color w:val="auto"/>
          <w:szCs w:val="22"/>
          <w:highlight w:val="none"/>
          <w:lang w:val="en-US" w:eastAsia="zh-CN"/>
        </w:rPr>
        <w:t>1.</w:t>
      </w:r>
      <w:r>
        <w:rPr>
          <w:rFonts w:hint="eastAsia" w:ascii="宋体" w:hAnsi="宋体" w:cs="Times New Roman"/>
          <w:color w:val="auto"/>
          <w:szCs w:val="22"/>
          <w:highlight w:val="none"/>
        </w:rPr>
        <w:t>4、所有的标识标牌等包验收通过；</w:t>
      </w:r>
    </w:p>
    <w:p w14:paraId="76B46470">
      <w:pPr>
        <w:numPr>
          <w:ilvl w:val="255"/>
          <w:numId w:val="0"/>
        </w:numPr>
        <w:kinsoku w:val="0"/>
        <w:wordWrap w:val="0"/>
        <w:topLinePunct/>
        <w:autoSpaceDE w:val="0"/>
        <w:spacing w:line="360" w:lineRule="auto"/>
        <w:rPr>
          <w:rFonts w:hAnsi="宋体" w:cs="宋体"/>
          <w:bCs/>
          <w:color w:val="auto"/>
          <w:szCs w:val="24"/>
          <w:highlight w:val="none"/>
        </w:rPr>
      </w:pPr>
      <w:r>
        <w:rPr>
          <w:rFonts w:hint="eastAsia" w:ascii="宋体" w:hAnsi="宋体" w:cs="宋体"/>
          <w:b/>
          <w:bCs/>
          <w:color w:val="auto"/>
          <w:szCs w:val="24"/>
          <w:highlight w:val="none"/>
          <w:lang w:eastAsia="zh-CN"/>
        </w:rPr>
        <w:t>三</w:t>
      </w:r>
      <w:r>
        <w:rPr>
          <w:rFonts w:hint="eastAsia" w:ascii="宋体" w:hAnsi="宋体" w:cs="宋体"/>
          <w:b/>
          <w:bCs/>
          <w:color w:val="auto"/>
          <w:szCs w:val="24"/>
          <w:highlight w:val="none"/>
        </w:rPr>
        <w:t>、工期要求</w:t>
      </w:r>
    </w:p>
    <w:p w14:paraId="0A6EE471">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工期：</w:t>
      </w:r>
      <w:r>
        <w:rPr>
          <w:rFonts w:hint="eastAsia" w:ascii="宋体" w:hAnsi="宋体"/>
          <w:color w:val="auto"/>
          <w:highlight w:val="none"/>
          <w:u w:val="single"/>
          <w:lang w:val="en-US" w:eastAsia="zh-CN"/>
        </w:rPr>
        <w:t>60</w:t>
      </w:r>
      <w:r>
        <w:rPr>
          <w:rFonts w:hint="eastAsia" w:ascii="宋体" w:hAnsi="宋体"/>
          <w:color w:val="auto"/>
          <w:highlight w:val="none"/>
        </w:rPr>
        <w:t>日历天，自乙方进场之日起，工程全部施工安装、调试完毕、验收合格之日止。其中：</w:t>
      </w:r>
      <w:r>
        <w:rPr>
          <w:rFonts w:hint="eastAsia" w:ascii="宋体" w:hAnsi="宋体"/>
          <w:color w:val="auto"/>
          <w:highlight w:val="none"/>
          <w:lang w:eastAsia="zh-CN"/>
        </w:rPr>
        <w:t>人防防化设备</w:t>
      </w:r>
      <w:r>
        <w:rPr>
          <w:rFonts w:hint="eastAsia" w:ascii="宋体" w:hAnsi="宋体"/>
          <w:color w:val="auto"/>
          <w:highlight w:val="none"/>
        </w:rPr>
        <w:t>供货期限为</w:t>
      </w:r>
      <w:r>
        <w:rPr>
          <w:rFonts w:hint="eastAsia" w:ascii="宋体" w:hAnsi="宋体"/>
          <w:color w:val="auto"/>
          <w:highlight w:val="none"/>
          <w:u w:val="single"/>
          <w:lang w:val="en-US" w:eastAsia="zh-CN"/>
        </w:rPr>
        <w:t>30</w:t>
      </w:r>
      <w:r>
        <w:rPr>
          <w:rFonts w:hint="eastAsia" w:ascii="宋体" w:hAnsi="宋体"/>
          <w:color w:val="auto"/>
          <w:highlight w:val="none"/>
        </w:rPr>
        <w:t>日历天，安装期限为</w:t>
      </w:r>
      <w:r>
        <w:rPr>
          <w:rFonts w:hint="eastAsia" w:ascii="宋体" w:hAnsi="宋体"/>
          <w:color w:val="auto"/>
          <w:highlight w:val="none"/>
          <w:u w:val="single"/>
          <w:lang w:val="en-US" w:eastAsia="zh-CN"/>
        </w:rPr>
        <w:t>30</w:t>
      </w:r>
      <w:r>
        <w:rPr>
          <w:rFonts w:hint="eastAsia" w:ascii="宋体" w:hAnsi="宋体"/>
          <w:color w:val="auto"/>
          <w:highlight w:val="none"/>
        </w:rPr>
        <w:t>日历天；具体的进场时间、到货数量以甲方发出的书面通知为准，乙方承诺满足甲方供货工期要求并不因此要求工期补偿/赔偿</w:t>
      </w:r>
      <w:r>
        <w:rPr>
          <w:rFonts w:hint="eastAsia" w:ascii="宋体" w:hAnsi="宋体" w:cs="宋体"/>
          <w:color w:val="auto"/>
          <w:highlight w:val="none"/>
        </w:rPr>
        <w:t>。</w:t>
      </w:r>
    </w:p>
    <w:p w14:paraId="66829BC1">
      <w:pPr>
        <w:spacing w:line="360" w:lineRule="auto"/>
        <w:ind w:firstLine="480" w:firstLineChars="200"/>
        <w:rPr>
          <w:rFonts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施工过程中如遇甲方责任或不可抗力等因素所延误的工期，经甲、乙双方签证认可后予以调整，并在此基础上确定完工日期。</w:t>
      </w:r>
    </w:p>
    <w:p w14:paraId="07BC73FC">
      <w:pPr>
        <w:pStyle w:val="50"/>
        <w:numPr>
          <w:ilvl w:val="255"/>
          <w:numId w:val="0"/>
        </w:numPr>
        <w:kinsoku w:val="0"/>
        <w:wordWrap w:val="0"/>
        <w:topLinePunct/>
        <w:autoSpaceDE w:val="0"/>
        <w:spacing w:line="360" w:lineRule="auto"/>
        <w:rPr>
          <w:rFonts w:hAnsi="宋体" w:cs="宋体"/>
          <w:b w:val="0"/>
          <w:color w:val="auto"/>
          <w:szCs w:val="24"/>
          <w:highlight w:val="none"/>
        </w:rPr>
      </w:pPr>
      <w:r>
        <w:rPr>
          <w:rFonts w:hint="eastAsia" w:hAnsi="宋体" w:cs="宋体"/>
          <w:color w:val="auto"/>
          <w:szCs w:val="24"/>
          <w:highlight w:val="none"/>
          <w:lang w:eastAsia="zh-CN"/>
        </w:rPr>
        <w:t>四</w:t>
      </w:r>
      <w:r>
        <w:rPr>
          <w:rFonts w:hint="eastAsia" w:hAnsi="宋体" w:cs="宋体"/>
          <w:color w:val="auto"/>
          <w:szCs w:val="24"/>
          <w:highlight w:val="none"/>
        </w:rPr>
        <w:t>、承包方式</w:t>
      </w:r>
    </w:p>
    <w:p w14:paraId="5C5ACEA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1、含税固定</w:t>
      </w:r>
      <w:r>
        <w:rPr>
          <w:rFonts w:hint="eastAsia" w:ascii="宋体" w:hAnsi="宋体" w:eastAsia="宋体" w:cs="宋体"/>
          <w:color w:val="auto"/>
          <w:szCs w:val="24"/>
          <w:highlight w:val="none"/>
          <w:lang w:val="en-US" w:eastAsia="zh-CN"/>
        </w:rPr>
        <w:t>总价</w:t>
      </w:r>
      <w:r>
        <w:rPr>
          <w:rFonts w:hint="eastAsia" w:ascii="宋体" w:hAnsi="宋体" w:eastAsia="宋体" w:cs="宋体"/>
          <w:color w:val="auto"/>
          <w:szCs w:val="24"/>
          <w:highlight w:val="none"/>
        </w:rPr>
        <w:t>包干。</w:t>
      </w:r>
    </w:p>
    <w:p w14:paraId="261D2963">
      <w:pPr>
        <w:kinsoku/>
        <w:wordWrap/>
        <w:topLinePunct w:val="0"/>
        <w:autoSpaceDE/>
        <w:spacing w:line="360" w:lineRule="auto"/>
        <w:ind w:firstLine="480" w:firstLineChars="200"/>
        <w:rPr>
          <w:rFonts w:hint="eastAsia" w:ascii="宋体" w:hAnsi="宋体" w:cs="宋体"/>
          <w:color w:val="auto"/>
          <w:szCs w:val="24"/>
          <w:highlight w:val="none"/>
        </w:rPr>
      </w:pPr>
      <w:r>
        <w:rPr>
          <w:rFonts w:hint="eastAsia" w:ascii="宋体" w:hAnsi="宋体" w:eastAsia="宋体" w:cs="宋体"/>
          <w:b w:val="0"/>
          <w:bCs w:val="0"/>
          <w:color w:val="auto"/>
          <w:szCs w:val="24"/>
          <w:highlight w:val="none"/>
        </w:rPr>
        <w:t>2、</w:t>
      </w:r>
      <w:r>
        <w:rPr>
          <w:rFonts w:hint="eastAsia" w:ascii="宋体" w:hAnsi="宋体" w:cs="宋体"/>
          <w:color w:val="auto"/>
          <w:szCs w:val="24"/>
          <w:highlight w:val="none"/>
        </w:rPr>
        <w:t>含税固定总价包含但不限于材料费</w:t>
      </w:r>
      <w:r>
        <w:rPr>
          <w:rFonts w:hint="eastAsia" w:ascii="宋体" w:hAnsi="宋体" w:cs="宋体"/>
          <w:color w:val="auto"/>
          <w:szCs w:val="24"/>
          <w:highlight w:val="none"/>
          <w:lang w:eastAsia="zh-CN"/>
        </w:rPr>
        <w:t>、</w:t>
      </w:r>
      <w:r>
        <w:rPr>
          <w:rFonts w:hint="eastAsia" w:ascii="宋体" w:hAnsi="宋体" w:cs="宋体"/>
          <w:color w:val="auto"/>
          <w:szCs w:val="24"/>
          <w:highlight w:val="none"/>
        </w:rPr>
        <w:t>加工制作费、运输费、装卸费、检测费、</w:t>
      </w:r>
      <w:r>
        <w:rPr>
          <w:rFonts w:hint="eastAsia" w:ascii="宋体" w:hAnsi="宋体" w:cs="宋体"/>
          <w:color w:val="auto"/>
          <w:szCs w:val="24"/>
          <w:highlight w:val="none"/>
          <w:lang w:val="en-US" w:eastAsia="zh-CN"/>
        </w:rPr>
        <w:t>安装</w:t>
      </w:r>
      <w:r>
        <w:rPr>
          <w:rFonts w:hint="eastAsia" w:ascii="宋体" w:hAnsi="宋体" w:cs="宋体"/>
          <w:color w:val="auto"/>
          <w:szCs w:val="24"/>
          <w:highlight w:val="none"/>
        </w:rPr>
        <w:t>所需的人工费、机械费、设备及附属配件费、措施费、调试费、施工水电费、安全文明施工费、成品及半成品保护费、垃圾清运费、风险、管理费、利润、税金等的全部费用。如洛阳人防办要求进行防护设备第三方检测并出具检测报告，费用按照清单中约定的检测费固定综合单价进行计价。除此之外，甲方无需向乙方或第三方支付其他任何费用。</w:t>
      </w:r>
    </w:p>
    <w:p w14:paraId="3B2D3E95">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3、各分项工程施工图或报价清单中没有说明但在施工过程中为完成各分项工程必须完成的所有工作，视为已经包含在各分项工程固定综合单价中。</w:t>
      </w:r>
    </w:p>
    <w:p w14:paraId="7236FA4E">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4、乙方应提前视察现场并了解现场现状，本合同签订时乙方已清楚并考虑工地现场条件，包括周围环境、交通道路、现场地质条件、施工场地及周围地下管网、承包范围、施工图纸、施工组织设计，且已考虑施工技术措施、文明施工、安全生产维护、交叉施工等因素。</w:t>
      </w:r>
    </w:p>
    <w:p w14:paraId="59CA83FC">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5、各分项工程固定综合单价及合同固定总价已充分考虑上述因素并考虑在价格中。各分项工程固定综合单价视为由工程开工至完成竣工验收并符合交付使用标准的一切费用。乙方为完成本合同规定的工作所需施工组织中的所有费用均已包含在各分项工程固定综合单价内，不再另外计取。</w:t>
      </w:r>
    </w:p>
    <w:p w14:paraId="38FF5898">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6、施工过程中经甲方认可的实际施工方案仅作为甲方对乙方技术方案的肯定，不作为计价依据，甲方不接受乙方重新组价或者调价的要求。</w:t>
      </w:r>
    </w:p>
    <w:p w14:paraId="4FCCED27">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7、各分项工程固定综合单价及合同固定总价结算时不做任何调整</w:t>
      </w:r>
      <w:r>
        <w:rPr>
          <w:rFonts w:hint="eastAsia" w:ascii="宋体" w:hAnsi="宋体" w:cs="宋体"/>
          <w:color w:val="auto"/>
          <w:szCs w:val="24"/>
          <w:highlight w:val="none"/>
          <w:lang w:eastAsia="zh-CN"/>
        </w:rPr>
        <w:t>。</w:t>
      </w:r>
    </w:p>
    <w:p w14:paraId="1DA88D3A">
      <w:pPr>
        <w:pStyle w:val="50"/>
        <w:numPr>
          <w:ilvl w:val="255"/>
          <w:numId w:val="0"/>
        </w:numPr>
        <w:kinsoku w:val="0"/>
        <w:wordWrap w:val="0"/>
        <w:topLinePunct/>
        <w:autoSpaceDE w:val="0"/>
        <w:spacing w:line="360" w:lineRule="auto"/>
        <w:rPr>
          <w:rFonts w:hAnsi="宋体" w:cs="宋体"/>
          <w:color w:val="auto"/>
          <w:szCs w:val="24"/>
          <w:highlight w:val="none"/>
        </w:rPr>
      </w:pPr>
      <w:r>
        <w:rPr>
          <w:rFonts w:hint="eastAsia" w:hAnsi="宋体" w:cs="宋体"/>
          <w:color w:val="auto"/>
          <w:szCs w:val="24"/>
          <w:highlight w:val="none"/>
        </w:rPr>
        <w:t>五、合同价格</w:t>
      </w:r>
    </w:p>
    <w:p w14:paraId="27675F60">
      <w:pPr>
        <w:kinsoku/>
        <w:wordWrap/>
        <w:topLinePunct w:val="0"/>
        <w:autoSpaceDE/>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1、合同含税固定</w:t>
      </w:r>
      <w:r>
        <w:rPr>
          <w:rFonts w:hint="eastAsia" w:ascii="宋体" w:hAnsi="宋体" w:cs="宋体"/>
          <w:color w:val="auto"/>
          <w:szCs w:val="24"/>
          <w:highlight w:val="none"/>
          <w:lang w:val="en-US" w:eastAsia="zh-CN"/>
        </w:rPr>
        <w:t>总价</w:t>
      </w:r>
      <w:r>
        <w:rPr>
          <w:rFonts w:hint="eastAsia" w:ascii="宋体" w:hAnsi="宋体" w:cs="宋体"/>
          <w:color w:val="auto"/>
          <w:szCs w:val="24"/>
          <w:highlight w:val="none"/>
        </w:rPr>
        <w:t>为¥</w:t>
      </w:r>
      <w:r>
        <w:rPr>
          <w:rFonts w:hint="eastAsia" w:ascii="宋体" w:hAnsi="宋体" w:cs="宋体"/>
          <w:color w:val="auto"/>
          <w:szCs w:val="24"/>
          <w:highlight w:val="none"/>
          <w:u w:val="single"/>
        </w:rPr>
        <w:t>208960.73</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lang w:val="en-US" w:eastAsia="zh-CN"/>
        </w:rPr>
        <w:t>贰拾万捌仟玖佰陆拾元柒角叁分</w:t>
      </w:r>
      <w:r>
        <w:rPr>
          <w:rFonts w:hint="eastAsia" w:ascii="宋体" w:hAnsi="宋体" w:cs="宋体"/>
          <w:color w:val="auto"/>
          <w:szCs w:val="24"/>
          <w:highlight w:val="none"/>
          <w:u w:val="single"/>
        </w:rPr>
        <w:t>，（以下简称“合同总价”）</w:t>
      </w:r>
      <w:r>
        <w:rPr>
          <w:rFonts w:hint="eastAsia" w:ascii="宋体" w:hAnsi="宋体" w:cs="宋体"/>
          <w:color w:val="auto"/>
          <w:szCs w:val="24"/>
          <w:highlight w:val="none"/>
        </w:rPr>
        <w:t>。其中不含税金额为¥</w:t>
      </w:r>
      <w:r>
        <w:rPr>
          <w:rFonts w:hint="eastAsia" w:ascii="宋体" w:hAnsi="宋体" w:cs="宋体"/>
          <w:color w:val="auto"/>
          <w:szCs w:val="24"/>
          <w:highlight w:val="none"/>
          <w:u w:val="single"/>
        </w:rPr>
        <w:t>184921.00</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lang w:val="en-US" w:eastAsia="zh-CN"/>
        </w:rPr>
        <w:t>壹拾捌万肆仟玖佰贰拾壹元零角零分</w:t>
      </w:r>
      <w:r>
        <w:rPr>
          <w:rFonts w:hint="eastAsia" w:ascii="宋体" w:hAnsi="宋体" w:cs="宋体"/>
          <w:color w:val="auto"/>
          <w:szCs w:val="24"/>
          <w:highlight w:val="none"/>
        </w:rPr>
        <w:t>），增值税税金为¥</w:t>
      </w:r>
      <w:r>
        <w:rPr>
          <w:rFonts w:hint="eastAsia" w:ascii="宋体" w:hAnsi="宋体" w:cs="宋体"/>
          <w:color w:val="auto"/>
          <w:szCs w:val="24"/>
          <w:highlight w:val="none"/>
          <w:u w:val="single"/>
        </w:rPr>
        <w:t>24039.73</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lang w:val="en-US" w:eastAsia="zh-CN"/>
        </w:rPr>
        <w:t>贰万肆仟零叁拾玖元柒角叁分</w:t>
      </w:r>
      <w:r>
        <w:rPr>
          <w:rFonts w:hint="eastAsia" w:ascii="宋体" w:hAnsi="宋体" w:cs="宋体"/>
          <w:color w:val="auto"/>
          <w:szCs w:val="24"/>
          <w:highlight w:val="none"/>
        </w:rPr>
        <w:t>），税率</w:t>
      </w:r>
      <w:r>
        <w:rPr>
          <w:rFonts w:hint="eastAsia" w:ascii="宋体" w:hAnsi="宋体" w:cs="宋体"/>
          <w:color w:val="auto"/>
          <w:szCs w:val="24"/>
          <w:highlight w:val="none"/>
          <w:u w:val="single"/>
          <w:lang w:val="en-US" w:eastAsia="zh-CN"/>
        </w:rPr>
        <w:t>13</w:t>
      </w:r>
      <w:r>
        <w:rPr>
          <w:rFonts w:hint="eastAsia" w:ascii="宋体" w:hAnsi="宋体" w:cs="宋体"/>
          <w:color w:val="auto"/>
          <w:szCs w:val="24"/>
          <w:highlight w:val="none"/>
        </w:rPr>
        <w:t>%。具体</w:t>
      </w:r>
      <w:r>
        <w:rPr>
          <w:rFonts w:hint="eastAsia" w:ascii="宋体" w:hAnsi="宋体" w:cs="宋体"/>
          <w:color w:val="auto"/>
          <w:szCs w:val="24"/>
          <w:highlight w:val="none"/>
          <w:lang w:eastAsia="zh-CN"/>
        </w:rPr>
        <w:t>金额</w:t>
      </w:r>
      <w:r>
        <w:rPr>
          <w:rFonts w:hint="eastAsia" w:ascii="宋体" w:hAnsi="宋体" w:cs="宋体"/>
          <w:color w:val="auto"/>
          <w:szCs w:val="24"/>
          <w:highlight w:val="none"/>
        </w:rPr>
        <w:t>详见合同附件二《价格清单》。</w:t>
      </w:r>
    </w:p>
    <w:p w14:paraId="4922EA3B">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、增值税税率说明：</w:t>
      </w:r>
    </w:p>
    <w:p w14:paraId="75C6E9C1">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2</w:t>
      </w:r>
      <w:r>
        <w:rPr>
          <w:rFonts w:ascii="宋体" w:hAnsi="宋体" w:cs="宋体"/>
          <w:color w:val="auto"/>
          <w:szCs w:val="24"/>
          <w:highlight w:val="none"/>
        </w:rPr>
        <w:t>.1</w:t>
      </w:r>
      <w:r>
        <w:rPr>
          <w:rFonts w:hint="eastAsia" w:ascii="宋体" w:hAnsi="宋体" w:cs="宋体"/>
          <w:color w:val="auto"/>
          <w:szCs w:val="24"/>
          <w:highlight w:val="none"/>
        </w:rPr>
        <w:t>、合同价增值税税率按</w:t>
      </w:r>
      <w:r>
        <w:rPr>
          <w:rFonts w:hint="eastAsia" w:ascii="宋体" w:hAnsi="宋体" w:cs="宋体"/>
          <w:color w:val="auto"/>
          <w:szCs w:val="24"/>
          <w:highlight w:val="none"/>
          <w:u w:val="single"/>
          <w:lang w:val="en-US" w:eastAsia="zh-CN"/>
        </w:rPr>
        <w:t>13</w:t>
      </w:r>
      <w:r>
        <w:rPr>
          <w:rFonts w:ascii="宋体" w:hAnsi="宋体" w:cs="宋体"/>
          <w:color w:val="auto"/>
          <w:szCs w:val="24"/>
          <w:highlight w:val="none"/>
        </w:rPr>
        <w:t>%</w:t>
      </w:r>
      <w:r>
        <w:rPr>
          <w:rFonts w:hint="eastAsia" w:ascii="宋体" w:hAnsi="宋体" w:cs="宋体"/>
          <w:color w:val="auto"/>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4EF7165E">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2</w:t>
      </w:r>
      <w:r>
        <w:rPr>
          <w:rFonts w:ascii="宋体" w:hAnsi="宋体" w:cs="宋体"/>
          <w:color w:val="auto"/>
          <w:szCs w:val="24"/>
          <w:highlight w:val="none"/>
        </w:rPr>
        <w:t>.2</w:t>
      </w:r>
      <w:r>
        <w:rPr>
          <w:rFonts w:hint="eastAsia" w:ascii="宋体" w:hAnsi="宋体" w:cs="宋体"/>
          <w:color w:val="auto"/>
          <w:szCs w:val="24"/>
          <w:highlight w:val="none"/>
        </w:rPr>
        <w:t>、如因乙方纳税资格变更引起增值税税率变化，风险由乙方自行承担（税率增加的，</w:t>
      </w:r>
      <w:r>
        <w:rPr>
          <w:rFonts w:hint="eastAsia" w:ascii="宋体" w:hAnsi="宋体" w:cs="宋体"/>
          <w:color w:val="auto"/>
          <w:szCs w:val="24"/>
          <w:highlight w:val="none"/>
          <w:lang w:eastAsia="zh-CN"/>
        </w:rPr>
        <w:t>甲方</w:t>
      </w:r>
      <w:r>
        <w:rPr>
          <w:rFonts w:hint="eastAsia" w:ascii="宋体" w:hAnsi="宋体" w:cs="宋体"/>
          <w:color w:val="auto"/>
          <w:szCs w:val="24"/>
          <w:highlight w:val="none"/>
        </w:rPr>
        <w:t>仍按原税率支付税金；税率减小的，</w:t>
      </w:r>
      <w:r>
        <w:rPr>
          <w:rFonts w:hint="eastAsia" w:ascii="宋体" w:hAnsi="宋体" w:cs="宋体"/>
          <w:color w:val="auto"/>
          <w:szCs w:val="24"/>
          <w:highlight w:val="none"/>
          <w:lang w:eastAsia="zh-CN"/>
        </w:rPr>
        <w:t>甲方</w:t>
      </w:r>
      <w:r>
        <w:rPr>
          <w:rFonts w:hint="eastAsia" w:ascii="宋体" w:hAnsi="宋体" w:cs="宋体"/>
          <w:color w:val="auto"/>
          <w:szCs w:val="24"/>
          <w:highlight w:val="none"/>
        </w:rPr>
        <w:t>按减小后的税率支付税金）。</w:t>
      </w:r>
    </w:p>
    <w:p w14:paraId="6ED97125">
      <w:pPr>
        <w:pStyle w:val="50"/>
        <w:tabs>
          <w:tab w:val="left" w:pos="0"/>
        </w:tabs>
        <w:kinsoku w:val="0"/>
        <w:wordWrap w:val="0"/>
        <w:topLinePunct/>
        <w:autoSpaceDE w:val="0"/>
        <w:spacing w:line="360" w:lineRule="auto"/>
        <w:rPr>
          <w:rFonts w:hAnsi="宋体" w:cs="宋体"/>
          <w:color w:val="auto"/>
          <w:szCs w:val="24"/>
          <w:highlight w:val="none"/>
        </w:rPr>
      </w:pPr>
      <w:r>
        <w:rPr>
          <w:rFonts w:hint="eastAsia" w:hAnsi="宋体" w:cs="宋体"/>
          <w:color w:val="auto"/>
          <w:szCs w:val="24"/>
          <w:highlight w:val="none"/>
        </w:rPr>
        <w:t>六、工程价款支付</w:t>
      </w:r>
      <w:r>
        <w:rPr>
          <w:rFonts w:hAnsi="宋体" w:cs="宋体"/>
          <w:color w:val="auto"/>
          <w:szCs w:val="24"/>
          <w:highlight w:val="none"/>
        </w:rPr>
        <w:t xml:space="preserve"> </w:t>
      </w:r>
    </w:p>
    <w:p w14:paraId="65C4B95B">
      <w:pPr>
        <w:kinsoku/>
        <w:wordWrap/>
        <w:topLinePunct w:val="0"/>
        <w:autoSpaceDE/>
        <w:spacing w:line="360" w:lineRule="auto"/>
        <w:ind w:firstLine="420" w:firstLineChars="175"/>
        <w:rPr>
          <w:rFonts w:hint="eastAsia" w:ascii="宋体" w:hAnsi="宋体" w:eastAsia="宋体" w:cs="宋体"/>
          <w:bCs w:val="0"/>
          <w:color w:val="auto"/>
          <w:szCs w:val="24"/>
          <w:highlight w:val="none"/>
          <w:lang w:eastAsia="zh-CN"/>
        </w:rPr>
      </w:pPr>
      <w:r>
        <w:rPr>
          <w:rFonts w:hint="eastAsia" w:ascii="宋体" w:hAnsi="宋体" w:cs="宋体"/>
          <w:bCs w:val="0"/>
          <w:color w:val="auto"/>
          <w:szCs w:val="24"/>
          <w:highlight w:val="none"/>
        </w:rPr>
        <w:t>1、合同</w:t>
      </w:r>
      <w:r>
        <w:rPr>
          <w:rFonts w:hint="eastAsia" w:ascii="宋体" w:hAnsi="宋体" w:cs="宋体"/>
          <w:bCs w:val="0"/>
          <w:color w:val="auto"/>
          <w:szCs w:val="24"/>
          <w:highlight w:val="none"/>
          <w:lang w:eastAsia="zh-CN"/>
        </w:rPr>
        <w:t>签订后</w:t>
      </w:r>
      <w:r>
        <w:rPr>
          <w:rFonts w:hint="eastAsia" w:ascii="宋体" w:hAnsi="宋体" w:cs="宋体"/>
          <w:bCs w:val="0"/>
          <w:color w:val="auto"/>
          <w:szCs w:val="24"/>
          <w:highlight w:val="none"/>
        </w:rPr>
        <w:t>乙方进场前预付设备</w:t>
      </w:r>
      <w:r>
        <w:rPr>
          <w:rFonts w:hint="eastAsia" w:ascii="宋体" w:hAnsi="宋体" w:cs="宋体"/>
          <w:bCs w:val="0"/>
          <w:color w:val="auto"/>
          <w:szCs w:val="24"/>
          <w:highlight w:val="none"/>
          <w:lang w:eastAsia="zh-CN"/>
        </w:rPr>
        <w:t>（</w:t>
      </w:r>
      <w:r>
        <w:rPr>
          <w:rFonts w:hint="eastAsia" w:ascii="宋体" w:hAnsi="宋体" w:cs="宋体"/>
          <w:bCs w:val="0"/>
          <w:color w:val="auto"/>
          <w:szCs w:val="24"/>
          <w:highlight w:val="none"/>
        </w:rPr>
        <w:t>风机、风阀、滤尘器、吸</w:t>
      </w:r>
      <w:r>
        <w:rPr>
          <w:rFonts w:hint="eastAsia" w:ascii="宋体" w:hAnsi="宋体" w:cs="宋体"/>
          <w:bCs w:val="0"/>
          <w:color w:val="auto"/>
          <w:szCs w:val="24"/>
          <w:highlight w:val="none"/>
          <w:lang w:val="en-US" w:eastAsia="zh-CN"/>
        </w:rPr>
        <w:t>收</w:t>
      </w:r>
      <w:r>
        <w:rPr>
          <w:rFonts w:hint="eastAsia" w:ascii="宋体" w:hAnsi="宋体" w:cs="宋体"/>
          <w:bCs w:val="0"/>
          <w:color w:val="auto"/>
          <w:szCs w:val="24"/>
          <w:highlight w:val="none"/>
        </w:rPr>
        <w:t>器）</w:t>
      </w:r>
      <w:r>
        <w:rPr>
          <w:rFonts w:hint="eastAsia" w:ascii="宋体" w:hAnsi="宋体" w:cs="宋体"/>
          <w:bCs w:val="0"/>
          <w:color w:val="auto"/>
          <w:szCs w:val="24"/>
          <w:highlight w:val="none"/>
          <w:lang w:val="en-US" w:eastAsia="zh-CN"/>
        </w:rPr>
        <w:t>对应合同金额</w:t>
      </w:r>
      <w:r>
        <w:rPr>
          <w:rFonts w:hint="eastAsia" w:ascii="宋体" w:hAnsi="宋体" w:cs="宋体"/>
          <w:bCs w:val="0"/>
          <w:color w:val="auto"/>
          <w:szCs w:val="24"/>
          <w:highlight w:val="none"/>
        </w:rPr>
        <w:t>的20%</w:t>
      </w:r>
      <w:r>
        <w:rPr>
          <w:rFonts w:hint="eastAsia" w:ascii="宋体" w:hAnsi="宋体" w:cs="宋体"/>
          <w:bCs w:val="0"/>
          <w:color w:val="auto"/>
          <w:szCs w:val="24"/>
          <w:highlight w:val="none"/>
          <w:lang w:eastAsia="zh-CN"/>
        </w:rPr>
        <w:t>。</w:t>
      </w:r>
    </w:p>
    <w:p w14:paraId="42C39FE9">
      <w:pPr>
        <w:kinsoku/>
        <w:wordWrap/>
        <w:topLinePunct w:val="0"/>
        <w:autoSpaceDE/>
        <w:spacing w:line="360" w:lineRule="auto"/>
        <w:ind w:firstLine="420" w:firstLineChars="175"/>
        <w:rPr>
          <w:rFonts w:hint="eastAsia" w:ascii="宋体" w:hAnsi="宋体" w:eastAsia="宋体" w:cs="宋体"/>
          <w:bCs w:val="0"/>
          <w:color w:val="auto"/>
          <w:szCs w:val="24"/>
          <w:highlight w:val="none"/>
          <w:lang w:eastAsia="zh-CN"/>
        </w:rPr>
      </w:pPr>
      <w:r>
        <w:rPr>
          <w:rFonts w:hint="eastAsia" w:ascii="宋体" w:hAnsi="宋体" w:cs="宋体"/>
          <w:bCs w:val="0"/>
          <w:color w:val="auto"/>
          <w:szCs w:val="24"/>
          <w:highlight w:val="none"/>
        </w:rPr>
        <w:t>2、给水管道及附件、人防通风系统设备、管道、风口、风阀等材料到场并经甲方及相关部门验收合格后</w:t>
      </w:r>
      <w:r>
        <w:rPr>
          <w:rFonts w:hint="eastAsia" w:ascii="宋体" w:hAnsi="宋体" w:cs="宋体"/>
          <w:bCs w:val="0"/>
          <w:color w:val="auto"/>
          <w:szCs w:val="24"/>
          <w:highlight w:val="none"/>
          <w:lang w:eastAsia="zh-CN"/>
        </w:rPr>
        <w:t>，支付至</w:t>
      </w:r>
      <w:r>
        <w:rPr>
          <w:rFonts w:hint="eastAsia" w:ascii="宋体" w:hAnsi="宋体" w:cs="宋体"/>
          <w:bCs w:val="0"/>
          <w:color w:val="auto"/>
          <w:szCs w:val="24"/>
          <w:highlight w:val="none"/>
          <w:lang w:val="en-US" w:eastAsia="zh-CN"/>
        </w:rPr>
        <w:t>对应合同金额</w:t>
      </w:r>
      <w:r>
        <w:rPr>
          <w:rFonts w:hint="eastAsia" w:ascii="宋体" w:hAnsi="宋体" w:cs="宋体"/>
          <w:bCs w:val="0"/>
          <w:color w:val="auto"/>
          <w:szCs w:val="24"/>
          <w:highlight w:val="none"/>
        </w:rPr>
        <w:t>的50%</w:t>
      </w:r>
      <w:r>
        <w:rPr>
          <w:rFonts w:hint="eastAsia" w:ascii="宋体" w:hAnsi="宋体" w:cs="宋体"/>
          <w:bCs w:val="0"/>
          <w:color w:val="auto"/>
          <w:szCs w:val="24"/>
          <w:highlight w:val="none"/>
          <w:lang w:eastAsia="zh-CN"/>
        </w:rPr>
        <w:t>。</w:t>
      </w:r>
    </w:p>
    <w:p w14:paraId="40B4BADB">
      <w:pPr>
        <w:kinsoku/>
        <w:wordWrap/>
        <w:topLinePunct w:val="0"/>
        <w:autoSpaceDE/>
        <w:spacing w:line="360" w:lineRule="auto"/>
        <w:ind w:firstLine="420" w:firstLineChars="175"/>
        <w:rPr>
          <w:rFonts w:hint="eastAsia" w:ascii="宋体" w:hAnsi="宋体" w:eastAsia="宋体" w:cs="宋体"/>
          <w:bCs w:val="0"/>
          <w:color w:val="auto"/>
          <w:szCs w:val="24"/>
          <w:highlight w:val="none"/>
          <w:lang w:eastAsia="zh-CN"/>
        </w:rPr>
      </w:pPr>
      <w:r>
        <w:rPr>
          <w:rFonts w:hint="eastAsia" w:ascii="宋体" w:hAnsi="宋体" w:cs="宋体"/>
          <w:bCs w:val="0"/>
          <w:color w:val="auto"/>
          <w:szCs w:val="24"/>
          <w:highlight w:val="none"/>
        </w:rPr>
        <w:t>3、全部工程安装完成并经甲方及相关部门验收合格后，</w:t>
      </w:r>
      <w:r>
        <w:rPr>
          <w:rFonts w:hint="eastAsia" w:ascii="宋体" w:hAnsi="宋体" w:cs="宋体"/>
          <w:bCs w:val="0"/>
          <w:color w:val="auto"/>
          <w:szCs w:val="24"/>
          <w:highlight w:val="none"/>
          <w:lang w:eastAsia="zh-CN"/>
        </w:rPr>
        <w:t>支付至</w:t>
      </w:r>
      <w:r>
        <w:rPr>
          <w:rFonts w:hint="eastAsia" w:ascii="宋体" w:hAnsi="宋体" w:cs="宋体"/>
          <w:bCs w:val="0"/>
          <w:color w:val="auto"/>
          <w:szCs w:val="24"/>
          <w:highlight w:val="none"/>
          <w:lang w:val="en-US" w:eastAsia="zh-CN"/>
        </w:rPr>
        <w:t>已</w:t>
      </w:r>
      <w:r>
        <w:rPr>
          <w:rFonts w:hint="eastAsia" w:ascii="宋体" w:hAnsi="宋体" w:cs="宋体"/>
          <w:bCs w:val="0"/>
          <w:color w:val="auto"/>
          <w:szCs w:val="24"/>
          <w:highlight w:val="none"/>
        </w:rPr>
        <w:t>完工程对应合同金额的80%</w:t>
      </w:r>
      <w:r>
        <w:rPr>
          <w:rFonts w:hint="eastAsia" w:ascii="宋体" w:hAnsi="宋体" w:cs="宋体"/>
          <w:bCs w:val="0"/>
          <w:color w:val="auto"/>
          <w:szCs w:val="24"/>
          <w:highlight w:val="none"/>
          <w:lang w:eastAsia="zh-CN"/>
        </w:rPr>
        <w:t>。</w:t>
      </w:r>
    </w:p>
    <w:p w14:paraId="3473EF4B">
      <w:pPr>
        <w:kinsoku/>
        <w:wordWrap/>
        <w:topLinePunct w:val="0"/>
        <w:autoSpaceDE/>
        <w:spacing w:line="360" w:lineRule="auto"/>
        <w:ind w:firstLine="420" w:firstLineChars="175"/>
        <w:rPr>
          <w:rFonts w:hint="eastAsia" w:ascii="宋体" w:hAnsi="宋体" w:eastAsia="宋体" w:cs="宋体"/>
          <w:bCs w:val="0"/>
          <w:color w:val="auto"/>
          <w:szCs w:val="24"/>
          <w:highlight w:val="none"/>
          <w:lang w:eastAsia="zh-CN"/>
        </w:rPr>
      </w:pPr>
      <w:r>
        <w:rPr>
          <w:rFonts w:hint="eastAsia" w:ascii="宋体" w:hAnsi="宋体" w:cs="宋体"/>
          <w:bCs w:val="0"/>
          <w:color w:val="auto"/>
          <w:szCs w:val="24"/>
          <w:highlight w:val="none"/>
        </w:rPr>
        <w:t>4、全部</w:t>
      </w:r>
      <w:r>
        <w:rPr>
          <w:rFonts w:hint="eastAsia" w:ascii="宋体" w:hAnsi="宋体" w:cs="宋体"/>
          <w:bCs w:val="0"/>
          <w:color w:val="auto"/>
          <w:szCs w:val="24"/>
          <w:highlight w:val="none"/>
          <w:lang w:val="en-US" w:eastAsia="zh-CN"/>
        </w:rPr>
        <w:t>工程</w:t>
      </w:r>
      <w:r>
        <w:rPr>
          <w:rFonts w:hint="eastAsia" w:ascii="宋体" w:hAnsi="宋体" w:cs="宋体"/>
          <w:bCs w:val="0"/>
          <w:color w:val="auto"/>
          <w:szCs w:val="24"/>
          <w:highlight w:val="none"/>
        </w:rPr>
        <w:t>调试完成，工程竣工人防验收合格并取得河南省人民防空工程竣工验收备案证、结算完成后，支付至结算金额的97%</w:t>
      </w:r>
      <w:r>
        <w:rPr>
          <w:rFonts w:hint="eastAsia" w:ascii="宋体" w:hAnsi="宋体" w:cs="宋体"/>
          <w:bCs w:val="0"/>
          <w:color w:val="auto"/>
          <w:szCs w:val="24"/>
          <w:highlight w:val="none"/>
          <w:lang w:eastAsia="zh-CN"/>
        </w:rPr>
        <w:t>。</w:t>
      </w:r>
    </w:p>
    <w:p w14:paraId="3B9BD227">
      <w:pPr>
        <w:kinsoku/>
        <w:wordWrap/>
        <w:topLinePunct w:val="0"/>
        <w:autoSpaceDE/>
        <w:spacing w:line="360" w:lineRule="auto"/>
        <w:ind w:firstLine="420" w:firstLineChars="175"/>
        <w:rPr>
          <w:rFonts w:hint="eastAsia" w:ascii="宋体" w:hAnsi="宋体" w:cs="宋体"/>
          <w:bCs w:val="0"/>
          <w:color w:val="auto"/>
          <w:szCs w:val="24"/>
          <w:highlight w:val="none"/>
        </w:rPr>
      </w:pPr>
      <w:r>
        <w:rPr>
          <w:rFonts w:hint="eastAsia" w:ascii="宋体" w:hAnsi="宋体" w:cs="宋体"/>
          <w:bCs w:val="0"/>
          <w:color w:val="auto"/>
          <w:szCs w:val="24"/>
          <w:highlight w:val="none"/>
        </w:rPr>
        <w:t>5、</w:t>
      </w:r>
      <w:r>
        <w:rPr>
          <w:rFonts w:hint="eastAsia" w:ascii="宋体" w:hAnsi="宋体" w:cs="宋体"/>
          <w:color w:val="auto"/>
          <w:szCs w:val="24"/>
          <w:highlight w:val="none"/>
        </w:rPr>
        <w:t>工程剩余金额（即结算金额的3%）留为质保金。工程质保期为2年（自工程竣工人防验收合格并取得河南省人民防空工程竣工验收备案证之日起算）。质保期满且无质量问题后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因此导致工程质保金低于3%，乙方应在收到甲方补足通知之日起3日内予以补足</w:t>
      </w:r>
      <w:r>
        <w:rPr>
          <w:rFonts w:hint="eastAsia" w:ascii="宋体" w:hAnsi="宋体" w:cs="宋体"/>
          <w:bCs w:val="0"/>
          <w:color w:val="auto"/>
          <w:szCs w:val="24"/>
          <w:highlight w:val="none"/>
        </w:rPr>
        <w:t>。</w:t>
      </w:r>
    </w:p>
    <w:p w14:paraId="039502FA">
      <w:pPr>
        <w:kinsoku/>
        <w:wordWrap/>
        <w:topLinePunct w:val="0"/>
        <w:autoSpaceDE/>
        <w:spacing w:line="360" w:lineRule="auto"/>
        <w:ind w:firstLine="420" w:firstLineChars="175"/>
        <w:rPr>
          <w:rFonts w:hint="eastAsia" w:ascii="宋体" w:hAnsi="宋体" w:cs="宋体"/>
          <w:bCs w:val="0"/>
          <w:color w:val="auto"/>
          <w:szCs w:val="24"/>
          <w:highlight w:val="none"/>
        </w:rPr>
      </w:pPr>
      <w:r>
        <w:rPr>
          <w:rFonts w:hint="eastAsia" w:ascii="宋体" w:hAnsi="宋体" w:cs="宋体"/>
          <w:bCs w:val="0"/>
          <w:color w:val="auto"/>
          <w:szCs w:val="24"/>
          <w:highlight w:val="none"/>
          <w:lang w:val="en-US" w:eastAsia="zh-CN"/>
        </w:rPr>
        <w:t>6</w:t>
      </w:r>
      <w:r>
        <w:rPr>
          <w:rFonts w:hint="eastAsia" w:ascii="宋体" w:hAnsi="宋体" w:cs="宋体"/>
          <w:bCs w:val="0"/>
          <w:color w:val="auto"/>
          <w:szCs w:val="24"/>
          <w:highlight w:val="none"/>
        </w:rPr>
        <w:t>、每次付款前，乙方应按甲方要求出具合法有效的增值税专用发票，乙方延迟开具发票或开具的发票有瑕疵，甲方可延迟付款且不视为违约。当甲方向乙方累计支付款项至本合同结算值的9</w:t>
      </w:r>
      <w:r>
        <w:rPr>
          <w:rFonts w:hint="eastAsia" w:ascii="宋体" w:hAnsi="宋体" w:cs="宋体"/>
          <w:bCs w:val="0"/>
          <w:color w:val="auto"/>
          <w:szCs w:val="24"/>
          <w:highlight w:val="none"/>
          <w:lang w:val="en-US" w:eastAsia="zh-CN"/>
        </w:rPr>
        <w:t>7</w:t>
      </w:r>
      <w:r>
        <w:rPr>
          <w:rFonts w:hint="eastAsia" w:ascii="宋体" w:hAnsi="宋体" w:cs="宋体"/>
          <w:bCs w:val="0"/>
          <w:color w:val="auto"/>
          <w:szCs w:val="24"/>
          <w:highlight w:val="none"/>
        </w:rPr>
        <w:t>％时，乙方须向甲方开具结算金额100％的合法有效的发票，否则甲方除扣留质保金外，还有权拒绝支付应付的工程款。乙方应在开票之后5个工作日内将发票送达甲方，甲方签收发票的日期为发票的送达日期。</w:t>
      </w:r>
    </w:p>
    <w:p w14:paraId="4F8E8E99">
      <w:pPr>
        <w:kinsoku/>
        <w:wordWrap/>
        <w:topLinePunct w:val="0"/>
        <w:autoSpaceDE/>
        <w:spacing w:line="360" w:lineRule="auto"/>
        <w:ind w:firstLine="420" w:firstLineChars="175"/>
        <w:rPr>
          <w:rFonts w:hint="eastAsia" w:ascii="宋体" w:hAnsi="宋体" w:cs="宋体"/>
          <w:bCs w:val="0"/>
          <w:color w:val="auto"/>
          <w:szCs w:val="24"/>
          <w:highlight w:val="none"/>
        </w:rPr>
      </w:pPr>
      <w:r>
        <w:rPr>
          <w:rFonts w:hint="eastAsia" w:ascii="宋体" w:hAnsi="宋体" w:cs="宋体"/>
          <w:bCs w:val="0"/>
          <w:color w:val="auto"/>
          <w:szCs w:val="24"/>
          <w:highlight w:val="none"/>
          <w:lang w:val="en-US" w:eastAsia="zh-CN"/>
        </w:rPr>
        <w:t>7</w:t>
      </w:r>
      <w:r>
        <w:rPr>
          <w:rFonts w:hint="eastAsia" w:ascii="宋体" w:hAnsi="宋体" w:cs="宋体"/>
          <w:bCs w:val="0"/>
          <w:color w:val="auto"/>
          <w:szCs w:val="24"/>
          <w:highlight w:val="none"/>
        </w:rPr>
        <w:t>、对发票不合规的约定</w:t>
      </w:r>
      <w:r>
        <w:rPr>
          <w:rFonts w:hint="eastAsia" w:ascii="宋体" w:hAnsi="宋体" w:cs="宋体"/>
          <w:bCs w:val="0"/>
          <w:color w:val="auto"/>
          <w:szCs w:val="24"/>
          <w:highlight w:val="none"/>
          <w:lang w:eastAsia="zh-CN"/>
        </w:rPr>
        <w:t>：</w:t>
      </w:r>
    </w:p>
    <w:p w14:paraId="41614B35">
      <w:pPr>
        <w:kinsoku/>
        <w:wordWrap/>
        <w:topLinePunct w:val="0"/>
        <w:autoSpaceDE/>
        <w:spacing w:line="360" w:lineRule="auto"/>
        <w:ind w:firstLine="420" w:firstLineChars="175"/>
        <w:rPr>
          <w:rFonts w:hint="eastAsia" w:ascii="宋体" w:hAnsi="宋体" w:cs="宋体"/>
          <w:bCs w:val="0"/>
          <w:color w:val="auto"/>
          <w:szCs w:val="24"/>
          <w:highlight w:val="none"/>
        </w:rPr>
      </w:pPr>
      <w:r>
        <w:rPr>
          <w:rFonts w:hint="eastAsia" w:ascii="宋体" w:hAnsi="宋体" w:cs="宋体"/>
          <w:bCs w:val="0"/>
          <w:color w:val="auto"/>
          <w:szCs w:val="24"/>
          <w:highlight w:val="none"/>
          <w:lang w:val="en-US" w:eastAsia="zh-CN"/>
        </w:rPr>
        <w:t>7</w:t>
      </w:r>
      <w:r>
        <w:rPr>
          <w:rFonts w:hint="eastAsia" w:ascii="宋体" w:hAnsi="宋体" w:cs="宋体"/>
          <w:bCs w:val="0"/>
          <w:color w:val="auto"/>
          <w:szCs w:val="24"/>
          <w:highlight w:val="none"/>
        </w:rPr>
        <w:t>.1、乙方提供的发票为增值税专用发票的，因乙方迟延送达、开具错误等原因导致其提供的增值税专用发票没有通过税务部门认证，造成甲方不能抵扣的，甲方有权拒绝接收。</w:t>
      </w:r>
    </w:p>
    <w:p w14:paraId="05082C92">
      <w:pPr>
        <w:kinsoku/>
        <w:wordWrap/>
        <w:topLinePunct w:val="0"/>
        <w:autoSpaceDE/>
        <w:spacing w:line="360" w:lineRule="auto"/>
        <w:ind w:firstLine="420" w:firstLineChars="175"/>
        <w:rPr>
          <w:rFonts w:hint="eastAsia" w:ascii="宋体" w:hAnsi="宋体" w:cs="宋体"/>
          <w:bCs w:val="0"/>
          <w:color w:val="auto"/>
          <w:szCs w:val="24"/>
          <w:highlight w:val="none"/>
        </w:rPr>
      </w:pPr>
      <w:r>
        <w:rPr>
          <w:rFonts w:hint="eastAsia" w:ascii="宋体" w:hAnsi="宋体" w:cs="宋体"/>
          <w:bCs w:val="0"/>
          <w:color w:val="auto"/>
          <w:szCs w:val="24"/>
          <w:highlight w:val="none"/>
          <w:lang w:val="en-US" w:eastAsia="zh-CN"/>
        </w:rPr>
        <w:t>7</w:t>
      </w:r>
      <w:r>
        <w:rPr>
          <w:rFonts w:hint="eastAsia" w:ascii="宋体" w:hAnsi="宋体" w:cs="宋体"/>
          <w:bCs w:val="0"/>
          <w:color w:val="auto"/>
          <w:szCs w:val="24"/>
          <w:highlight w:val="none"/>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0FC65672">
      <w:pPr>
        <w:kinsoku/>
        <w:wordWrap/>
        <w:topLinePunct w:val="0"/>
        <w:autoSpaceDE/>
        <w:spacing w:line="360" w:lineRule="auto"/>
        <w:ind w:firstLine="420" w:firstLineChars="175"/>
        <w:rPr>
          <w:rFonts w:hint="eastAsia" w:ascii="宋体" w:hAnsi="宋体" w:cs="宋体"/>
          <w:bCs w:val="0"/>
          <w:color w:val="auto"/>
          <w:szCs w:val="24"/>
          <w:highlight w:val="none"/>
        </w:rPr>
      </w:pPr>
      <w:r>
        <w:rPr>
          <w:rFonts w:hint="eastAsia" w:ascii="宋体" w:hAnsi="宋体" w:cs="宋体"/>
          <w:bCs w:val="0"/>
          <w:color w:val="auto"/>
          <w:szCs w:val="24"/>
          <w:highlight w:val="none"/>
          <w:lang w:val="en-US" w:eastAsia="zh-CN"/>
        </w:rPr>
        <w:t>8</w:t>
      </w:r>
      <w:r>
        <w:rPr>
          <w:rFonts w:hint="eastAsia" w:ascii="宋体" w:hAnsi="宋体" w:cs="宋体"/>
          <w:bCs w:val="0"/>
          <w:color w:val="auto"/>
          <w:szCs w:val="24"/>
          <w:highlight w:val="none"/>
        </w:rPr>
        <w:t>、</w:t>
      </w:r>
      <w:r>
        <w:rPr>
          <w:rFonts w:hint="eastAsia" w:ascii="宋体" w:hAnsi="宋体" w:cs="宋体"/>
          <w:bCs w:val="0"/>
          <w:color w:val="auto"/>
          <w:szCs w:val="24"/>
          <w:highlight w:val="none"/>
          <w:lang w:eastAsia="zh-CN"/>
        </w:rPr>
        <w:t>其他</w:t>
      </w:r>
      <w:r>
        <w:rPr>
          <w:rFonts w:hint="eastAsia" w:ascii="宋体" w:hAnsi="宋体" w:cs="宋体"/>
          <w:bCs w:val="0"/>
          <w:color w:val="auto"/>
          <w:szCs w:val="24"/>
          <w:highlight w:val="none"/>
        </w:rPr>
        <w:t>税务风险的合同约定</w:t>
      </w:r>
      <w:r>
        <w:rPr>
          <w:rFonts w:hint="eastAsia" w:ascii="宋体" w:hAnsi="宋体" w:cs="宋体"/>
          <w:bCs w:val="0"/>
          <w:color w:val="auto"/>
          <w:szCs w:val="24"/>
          <w:highlight w:val="none"/>
          <w:lang w:eastAsia="zh-CN"/>
        </w:rPr>
        <w:t>：</w:t>
      </w:r>
    </w:p>
    <w:p w14:paraId="449D6E3A">
      <w:pPr>
        <w:kinsoku/>
        <w:wordWrap/>
        <w:topLinePunct w:val="0"/>
        <w:autoSpaceDE/>
        <w:spacing w:line="360" w:lineRule="auto"/>
        <w:ind w:firstLine="420" w:firstLineChars="175"/>
        <w:rPr>
          <w:rFonts w:hint="eastAsia" w:ascii="宋体" w:hAnsi="宋体" w:cs="宋体"/>
          <w:bCs w:val="0"/>
          <w:color w:val="auto"/>
          <w:szCs w:val="24"/>
          <w:highlight w:val="none"/>
        </w:rPr>
      </w:pPr>
      <w:r>
        <w:rPr>
          <w:rFonts w:hint="eastAsia" w:ascii="宋体" w:hAnsi="宋体" w:cs="宋体"/>
          <w:bCs w:val="0"/>
          <w:color w:val="auto"/>
          <w:szCs w:val="24"/>
          <w:highlight w:val="none"/>
          <w:lang w:val="en-US" w:eastAsia="zh-CN"/>
        </w:rPr>
        <w:t>8</w:t>
      </w:r>
      <w:r>
        <w:rPr>
          <w:rFonts w:hint="eastAsia" w:ascii="宋体" w:hAnsi="宋体" w:cs="宋体"/>
          <w:bCs w:val="0"/>
          <w:color w:val="auto"/>
          <w:szCs w:val="24"/>
          <w:highlight w:val="none"/>
        </w:rPr>
        <w:t>.1、如果甲方丢失增值税专用发票联和抵扣联，乙方应向甲方提供专用发票记账联复印件，并加盖乙方发票专用章。</w:t>
      </w:r>
    </w:p>
    <w:p w14:paraId="24A22128">
      <w:pPr>
        <w:kinsoku/>
        <w:wordWrap/>
        <w:topLinePunct w:val="0"/>
        <w:autoSpaceDE/>
        <w:spacing w:line="360" w:lineRule="auto"/>
        <w:ind w:firstLine="420" w:firstLineChars="175"/>
        <w:rPr>
          <w:rFonts w:hint="eastAsia" w:ascii="宋体" w:hAnsi="宋体" w:cs="宋体"/>
          <w:bCs w:val="0"/>
          <w:color w:val="auto"/>
          <w:szCs w:val="24"/>
          <w:highlight w:val="none"/>
        </w:rPr>
      </w:pPr>
      <w:r>
        <w:rPr>
          <w:rFonts w:hint="eastAsia" w:ascii="宋体" w:hAnsi="宋体" w:cs="宋体"/>
          <w:bCs w:val="0"/>
          <w:color w:val="auto"/>
          <w:szCs w:val="24"/>
          <w:highlight w:val="none"/>
          <w:lang w:val="en-US" w:eastAsia="zh-CN"/>
        </w:rPr>
        <w:t>8</w:t>
      </w:r>
      <w:r>
        <w:rPr>
          <w:rFonts w:hint="eastAsia" w:ascii="宋体" w:hAnsi="宋体" w:cs="宋体"/>
          <w:bCs w:val="0"/>
          <w:color w:val="auto"/>
          <w:szCs w:val="24"/>
          <w:highlight w:val="none"/>
        </w:rPr>
        <w:t>.2、如果获得开具的汇总专用发票，则乙方应提供其防伪税控系统开具的《销售货物或者提供应税劳务清单》，并加盖发票专用章。</w:t>
      </w:r>
    </w:p>
    <w:p w14:paraId="5A23D3C3">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真实发生且合理合规的设计变更、现场签证事项，在按甲方制度审批完成后的次月随节点进度款进行付款（每次具备支付条件的签证变更金额累计金额需超过3万元，累计已审批变更签证金额不足3万元时依次滚动到下节点，甲方内部流程显示为审批中或未发起审批的金额不具备支付条件）；支付比例为流程已审批完成且已确认金额的80%，剩余20%于竣工结算后支付。</w:t>
      </w:r>
    </w:p>
    <w:p w14:paraId="1CF315B8">
      <w:pPr>
        <w:pStyle w:val="2"/>
        <w:keepNext w:val="0"/>
        <w:keepLines w:val="0"/>
        <w:numPr>
          <w:ilvl w:val="0"/>
          <w:numId w:val="0"/>
        </w:numPr>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七、甲方现场移交标准</w:t>
      </w:r>
    </w:p>
    <w:p w14:paraId="6F7F4C4A">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1、本工程移交界面为工地现状条件，且乙方已充分踏勘现场，对工地现状条件下施工所需的措施费等相关费用已综合考虑在合同固定总价内。</w:t>
      </w:r>
    </w:p>
    <w:p w14:paraId="402BF590">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2、甲方只负责告知施工现场堆放材料的场地，乙方自行解决施工及管理人员住宿办公场所，由此产生的费用由乙方自行承担。本项目施工现场红线内只允许搭设生产性设施，乙方所有人员（除少数保安人员及仓库管理人员外）均不得在施工现场红线内居住。</w:t>
      </w:r>
    </w:p>
    <w:p w14:paraId="5220DE14">
      <w:pPr>
        <w:pStyle w:val="50"/>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3、土建工程的总承包施工单位是按合同约定的施工范围及交楼标准施工，工程质量必须符合国家有关规定验收标准，在交楼时如发现不满足的由总承包施工单位负责整改到满足规范要求为止。</w:t>
      </w:r>
    </w:p>
    <w:p w14:paraId="50607D51">
      <w:pPr>
        <w:pStyle w:val="50"/>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4、乙方需在进场施工前踏勘现场所有工作面并进行详细检查。对于不符合相关标准及规范要求的工作面，乙方需书面提交资料由甲方督促总承包单位完成整改，直至满足相 关标准及规范要求。对于乙方验收合格的工作面，甲方视为乙方可进场施工。</w:t>
      </w:r>
    </w:p>
    <w:p w14:paraId="62E517EC">
      <w:pPr>
        <w:pStyle w:val="50"/>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5、甲方告知水源电源接驳点，但是具体接驳工作及产生的水电费由乙方自行承担。乙方在施工中用水、用电耗直接向总承包单位缴纳（具体的计量计价方式由乙方和总承包单位自行协商确定）。</w:t>
      </w:r>
    </w:p>
    <w:p w14:paraId="471D12E6">
      <w:pPr>
        <w:pStyle w:val="50"/>
        <w:numPr>
          <w:ilvl w:val="255"/>
          <w:numId w:val="0"/>
        </w:numPr>
        <w:tabs>
          <w:tab w:val="left" w:pos="0"/>
        </w:tabs>
        <w:kinsoku w:val="0"/>
        <w:wordWrap w:val="0"/>
        <w:topLinePunct/>
        <w:autoSpaceDE w:val="0"/>
        <w:spacing w:line="360" w:lineRule="auto"/>
        <w:rPr>
          <w:rFonts w:hAnsi="宋体" w:cs="宋体"/>
          <w:color w:val="auto"/>
          <w:szCs w:val="24"/>
          <w:highlight w:val="none"/>
        </w:rPr>
      </w:pPr>
      <w:r>
        <w:rPr>
          <w:rFonts w:hint="eastAsia" w:hAnsi="宋体" w:cs="宋体"/>
          <w:color w:val="auto"/>
          <w:szCs w:val="24"/>
          <w:highlight w:val="none"/>
          <w:lang w:val="en-US" w:eastAsia="zh-CN"/>
        </w:rPr>
        <w:t>八</w:t>
      </w:r>
      <w:r>
        <w:rPr>
          <w:rFonts w:hint="eastAsia" w:hAnsi="宋体" w:cs="宋体"/>
          <w:color w:val="auto"/>
          <w:szCs w:val="24"/>
          <w:highlight w:val="none"/>
        </w:rPr>
        <w:t>、技术质量要求</w:t>
      </w:r>
    </w:p>
    <w:p w14:paraId="7E002F50">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1、国家、地方、行业相关的主要设计规范、规定及标准包括但不限于：</w:t>
      </w:r>
    </w:p>
    <w:p w14:paraId="2637C373">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《人民防空地下室设计规范》（GB50038-2005）</w:t>
      </w:r>
    </w:p>
    <w:p w14:paraId="3BB3A72C">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 xml:space="preserve">《通风与空调工程施工质量验收规范》GB50243-2013 </w:t>
      </w:r>
    </w:p>
    <w:p w14:paraId="2A52EDA4">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 xml:space="preserve">《防空地下室通风设计》07FK01-02 </w:t>
      </w:r>
    </w:p>
    <w:p w14:paraId="1F0267D7">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 xml:space="preserve">《人民防空工程防护功能平战转换设计标准》RKJ1-98 </w:t>
      </w:r>
    </w:p>
    <w:p w14:paraId="48201EFD">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《人民防空工程防化设计规范》RFJ013-2010</w:t>
      </w:r>
    </w:p>
    <w:p w14:paraId="25768D7A">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《人民防空工程设计防火规范》GB50098-2009</w:t>
      </w:r>
    </w:p>
    <w:p w14:paraId="7D9CAE3C">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《人民防空工程质量检验评定标准》RFJ01-2015</w:t>
      </w:r>
    </w:p>
    <w:p w14:paraId="25D27B9D">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《民用建筑设计通则》GB50352-2005</w:t>
      </w:r>
    </w:p>
    <w:p w14:paraId="6E0DB4C4">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《汽车库、修车库、停车场设计防火规范》GB50067-2014</w:t>
      </w:r>
    </w:p>
    <w:p w14:paraId="5E8C03E8">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 xml:space="preserve">《汽车库建筑设计规范》JGJ100-2015 </w:t>
      </w:r>
    </w:p>
    <w:p w14:paraId="78F559D1">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《建筑设计防火规范》GB50016-2014</w:t>
      </w:r>
    </w:p>
    <w:p w14:paraId="54FAB94D">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《屋面工程技术规范》GB50345-2012</w:t>
      </w:r>
    </w:p>
    <w:p w14:paraId="2BB403F9">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《地下工程防水技术规范》GB50108-2008</w:t>
      </w:r>
    </w:p>
    <w:p w14:paraId="44052BDD">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《建筑防排烟系统技术标准》GB51251-2017</w:t>
      </w:r>
    </w:p>
    <w:p w14:paraId="107CA556">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《民用建筑供暖通风与空气调节设计规范》GB50736-2012</w:t>
      </w:r>
    </w:p>
    <w:p w14:paraId="0D665BE8">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《建筑机电工程抗震设计规范》GB50981-2014</w:t>
      </w:r>
    </w:p>
    <w:p w14:paraId="27E36BD0">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w:t>
      </w:r>
      <w:r>
        <w:rPr>
          <w:rFonts w:hint="eastAsia" w:ascii="宋体" w:hAnsi="宋体" w:cs="宋体"/>
          <w:color w:val="auto"/>
          <w:szCs w:val="24"/>
          <w:highlight w:val="none"/>
          <w:lang w:eastAsia="zh-CN"/>
        </w:rPr>
        <w:t>人防防化设备</w:t>
      </w:r>
      <w:r>
        <w:rPr>
          <w:rFonts w:hint="eastAsia" w:ascii="宋体" w:hAnsi="宋体" w:cs="宋体"/>
          <w:color w:val="auto"/>
          <w:szCs w:val="24"/>
          <w:highlight w:val="none"/>
        </w:rPr>
        <w:t>供货、安装工程技术要求：</w:t>
      </w:r>
    </w:p>
    <w:p w14:paraId="0EE1C62C">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2.1、乙方应为市人防办认可的</w:t>
      </w:r>
      <w:r>
        <w:rPr>
          <w:rFonts w:hint="eastAsia" w:ascii="宋体" w:hAnsi="宋体" w:cs="宋体"/>
          <w:color w:val="auto"/>
          <w:szCs w:val="24"/>
          <w:highlight w:val="none"/>
          <w:lang w:eastAsia="zh-CN"/>
        </w:rPr>
        <w:t>人防化设备</w:t>
      </w:r>
      <w:r>
        <w:rPr>
          <w:rFonts w:hint="eastAsia" w:ascii="宋体" w:hAnsi="宋体" w:cs="宋体"/>
          <w:color w:val="auto"/>
          <w:szCs w:val="24"/>
          <w:highlight w:val="none"/>
        </w:rPr>
        <w:t>定点生产厂。</w:t>
      </w:r>
    </w:p>
    <w:p w14:paraId="405C87B5">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2.2、乙方应具有施工许可证及相关的资质证明等文件、施工应严格按照图纸、图集和人防工程有关规范要求</w:t>
      </w:r>
      <w:r>
        <w:rPr>
          <w:rFonts w:hint="eastAsia" w:ascii="宋体" w:hAnsi="宋体" w:cs="宋体"/>
          <w:color w:val="auto"/>
          <w:szCs w:val="24"/>
          <w:highlight w:val="none"/>
          <w:lang w:eastAsia="zh-CN"/>
        </w:rPr>
        <w:t>施工</w:t>
      </w:r>
      <w:r>
        <w:rPr>
          <w:rFonts w:hint="eastAsia" w:ascii="宋体" w:hAnsi="宋体" w:cs="宋体"/>
          <w:color w:val="auto"/>
          <w:szCs w:val="24"/>
          <w:highlight w:val="none"/>
        </w:rPr>
        <w:t>。</w:t>
      </w:r>
    </w:p>
    <w:p w14:paraId="4511089C">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2.3、乙方有义务检查验收总包单位的预留洞口，出现问题由乙方承担相应责任。</w:t>
      </w:r>
    </w:p>
    <w:p w14:paraId="45342C6C">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2.4、按人防图纸要求的数量、位置配置设备及配套的预埋件，并保证产品质量和安装质量合格。</w:t>
      </w:r>
    </w:p>
    <w:p w14:paraId="1AE5F4E0">
      <w:pPr>
        <w:spacing w:line="360" w:lineRule="auto"/>
        <w:ind w:firstLine="420" w:firstLineChars="175"/>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2.5、本工程人防类别为</w:t>
      </w:r>
      <w:r>
        <w:rPr>
          <w:rFonts w:hint="eastAsia" w:ascii="宋体" w:hAnsi="宋体" w:cs="宋体"/>
          <w:color w:val="auto"/>
          <w:szCs w:val="24"/>
          <w:highlight w:val="none"/>
          <w:u w:val="none"/>
          <w:lang w:val="en-US" w:eastAsia="zh-CN"/>
        </w:rPr>
        <w:t>乙</w:t>
      </w:r>
      <w:r>
        <w:rPr>
          <w:rFonts w:hint="eastAsia" w:ascii="宋体" w:hAnsi="宋体" w:cs="宋体"/>
          <w:color w:val="auto"/>
          <w:szCs w:val="24"/>
          <w:highlight w:val="none"/>
        </w:rPr>
        <w:t>类</w:t>
      </w:r>
      <w:r>
        <w:rPr>
          <w:rFonts w:hint="eastAsia" w:ascii="宋体" w:hAnsi="宋体" w:cs="宋体"/>
          <w:color w:val="auto"/>
          <w:szCs w:val="24"/>
          <w:highlight w:val="none"/>
          <w:lang w:eastAsia="zh-CN"/>
        </w:rPr>
        <w:t>，</w:t>
      </w:r>
      <w:r>
        <w:rPr>
          <w:rFonts w:hint="eastAsia" w:ascii="宋体" w:hAnsi="宋体" w:cs="宋体"/>
          <w:color w:val="auto"/>
          <w:szCs w:val="24"/>
          <w:highlight w:val="none"/>
        </w:rPr>
        <w:t>构件的埋设应考虑满足平战结合要求。</w:t>
      </w:r>
    </w:p>
    <w:p w14:paraId="4EC96E64">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2.6、按规范要求</w:t>
      </w:r>
      <w:r>
        <w:rPr>
          <w:rFonts w:hint="eastAsia" w:ascii="宋体" w:hAnsi="宋体" w:cs="宋体"/>
          <w:color w:val="auto"/>
          <w:szCs w:val="24"/>
          <w:highlight w:val="none"/>
          <w:lang w:eastAsia="zh-CN"/>
        </w:rPr>
        <w:t>做好</w:t>
      </w:r>
      <w:r>
        <w:rPr>
          <w:rFonts w:hint="eastAsia" w:ascii="宋体" w:hAnsi="宋体" w:cs="宋体"/>
          <w:color w:val="auto"/>
          <w:szCs w:val="24"/>
          <w:highlight w:val="none"/>
        </w:rPr>
        <w:t>设备的防雷接地连接。</w:t>
      </w:r>
    </w:p>
    <w:p w14:paraId="096DC2FC">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2.7、总包单位应积极配合施工单位、给设备的封堵创造有利条件。</w:t>
      </w:r>
    </w:p>
    <w:p w14:paraId="15327DB8">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2.8、预埋件，预留孔（槽）等应在工程施工中一次就位，预制构件应与工程施工同步做好，并应设置构件存放位置。</w:t>
      </w:r>
    </w:p>
    <w:p w14:paraId="40748096">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2.9、各类设备及附件按人防规范完成全部安装。</w:t>
      </w:r>
    </w:p>
    <w:p w14:paraId="67B6F015">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2.10、防护单元隔墙通行口封堵、防护封堵板封堵平时预埋件，预留孔槽一次到位；预制构件应同步做好，就近存放。</w:t>
      </w:r>
    </w:p>
    <w:p w14:paraId="6F380B1B">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rPr>
        <w:t>2.11、各类防化设备及附属材料的供应与安装，必须满足战时人防规范要求及确保验收合格要求。</w:t>
      </w:r>
    </w:p>
    <w:p w14:paraId="0F29608F">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2.12、人防标识制作安装必须达到人防规范要求及确保验收合格要求。</w:t>
      </w:r>
    </w:p>
    <w:p w14:paraId="3A98D9E6">
      <w:pPr>
        <w:pStyle w:val="50"/>
        <w:numPr>
          <w:ilvl w:val="255"/>
          <w:numId w:val="0"/>
        </w:numPr>
        <w:tabs>
          <w:tab w:val="left" w:pos="0"/>
        </w:tabs>
        <w:kinsoku w:val="0"/>
        <w:wordWrap w:val="0"/>
        <w:topLinePunct/>
        <w:autoSpaceDE w:val="0"/>
        <w:spacing w:line="360" w:lineRule="auto"/>
        <w:outlineLvl w:val="9"/>
        <w:rPr>
          <w:rFonts w:hAnsi="宋体" w:cs="宋体"/>
          <w:b w:val="0"/>
          <w:color w:val="auto"/>
          <w:szCs w:val="24"/>
          <w:highlight w:val="none"/>
        </w:rPr>
      </w:pPr>
      <w:r>
        <w:rPr>
          <w:rFonts w:hint="eastAsia" w:hAnsi="宋体" w:cs="宋体"/>
          <w:color w:val="auto"/>
          <w:szCs w:val="24"/>
          <w:highlight w:val="none"/>
          <w:lang w:val="en-US" w:eastAsia="zh-CN"/>
        </w:rPr>
        <w:t>九</w:t>
      </w:r>
      <w:r>
        <w:rPr>
          <w:rFonts w:hint="eastAsia" w:hAnsi="宋体" w:cs="宋体"/>
          <w:color w:val="auto"/>
          <w:szCs w:val="24"/>
          <w:highlight w:val="none"/>
        </w:rPr>
        <w:t>、设备、材料</w:t>
      </w:r>
      <w:r>
        <w:rPr>
          <w:rFonts w:hint="eastAsia" w:ascii="宋体" w:hAnsi="宋体" w:cs="宋体"/>
          <w:color w:val="auto"/>
          <w:sz w:val="24"/>
          <w:szCs w:val="24"/>
          <w:highlight w:val="none"/>
        </w:rPr>
        <w:t>供应要求</w:t>
      </w:r>
    </w:p>
    <w:p w14:paraId="682E136E">
      <w:pPr>
        <w:pStyle w:val="50"/>
        <w:spacing w:line="360" w:lineRule="auto"/>
        <w:ind w:firstLine="480"/>
        <w:rPr>
          <w:rFonts w:hint="eastAsia" w:ascii="宋体" w:hAnsi="宋体" w:eastAsia="宋体" w:cs="宋体"/>
          <w:b w:val="0"/>
          <w:color w:val="auto"/>
          <w:kern w:val="2"/>
          <w:position w:val="0"/>
          <w:highlight w:val="none"/>
        </w:rPr>
      </w:pPr>
      <w:r>
        <w:rPr>
          <w:rFonts w:hint="eastAsia" w:ascii="宋体" w:hAnsi="宋体" w:eastAsia="宋体" w:cs="宋体"/>
          <w:b w:val="0"/>
          <w:color w:val="auto"/>
          <w:kern w:val="2"/>
          <w:position w:val="0"/>
          <w:highlight w:val="none"/>
        </w:rPr>
        <w:t>1、本工程所有材料及设备均由乙方采购，乙方必须保证所采用的材料符合国家和地方现行规范标准，符合本合同要求的材料品牌、规格、质量标准及其他技术要求。</w:t>
      </w:r>
    </w:p>
    <w:p w14:paraId="00FB8944">
      <w:pPr>
        <w:pStyle w:val="50"/>
        <w:spacing w:line="360" w:lineRule="auto"/>
        <w:ind w:firstLine="480"/>
        <w:rPr>
          <w:rFonts w:hint="eastAsia" w:ascii="宋体" w:hAnsi="宋体" w:eastAsia="宋体" w:cs="宋体"/>
          <w:b w:val="0"/>
          <w:color w:val="auto"/>
          <w:kern w:val="2"/>
          <w:position w:val="0"/>
          <w:highlight w:val="none"/>
        </w:rPr>
      </w:pPr>
      <w:r>
        <w:rPr>
          <w:rFonts w:hint="eastAsia" w:ascii="宋体" w:hAnsi="宋体" w:eastAsia="宋体" w:cs="宋体"/>
          <w:b w:val="0"/>
          <w:color w:val="auto"/>
          <w:kern w:val="2"/>
          <w:position w:val="0"/>
          <w:highlight w:val="none"/>
        </w:rPr>
        <w:t>2、乙方使用的材料设备如不符合合同约定要求，甲方或监理单位有权要求乙方负责更换、拆除并重新采购，由此产生的责任及损失由乙方承担。因材料不合格造成费用等损失均由乙方承担。</w:t>
      </w:r>
    </w:p>
    <w:p w14:paraId="14A799E6">
      <w:pPr>
        <w:pStyle w:val="50"/>
        <w:spacing w:line="360" w:lineRule="auto"/>
        <w:ind w:firstLine="480"/>
        <w:rPr>
          <w:rFonts w:hint="eastAsia" w:ascii="宋体" w:hAnsi="宋体" w:eastAsia="宋体" w:cs="宋体"/>
          <w:b w:val="0"/>
          <w:color w:val="auto"/>
          <w:kern w:val="2"/>
          <w:position w:val="0"/>
          <w:highlight w:val="none"/>
        </w:rPr>
      </w:pPr>
      <w:r>
        <w:rPr>
          <w:rFonts w:hint="eastAsia" w:ascii="宋体" w:hAnsi="宋体" w:eastAsia="宋体" w:cs="宋体"/>
          <w:b w:val="0"/>
          <w:color w:val="auto"/>
          <w:kern w:val="2"/>
          <w:position w:val="0"/>
          <w:highlight w:val="none"/>
        </w:rPr>
        <w:t>3、乙方在购置设备及材料前必须经甲方、监理书面认可后方可采购。乙方采购的设备、材料等在进场前要先向甲方和监理方填报《材料、设备进场报验单》，经甲方和监理验收合格并书面签字认可后方能进场。材料进场验收要求详见《中浩德控股集团有限公司工程材料/设备进场验收管理制度V1.0 》。未经甲方和监理工程师检查认可的设备、材料不得进场；已进场但自检或甲方检验不合格的设备、材料应清退出场，由此造成的责任及损失由乙方负责。甲方的认可及/或签证并不视为对乙方供应设备及材料的质量合格的认可，也不因此免除乙方对设备及材料的质量瑕疵担保的责任。</w:t>
      </w:r>
    </w:p>
    <w:p w14:paraId="644AA36C">
      <w:pPr>
        <w:pStyle w:val="50"/>
        <w:spacing w:line="360" w:lineRule="auto"/>
        <w:ind w:firstLine="480"/>
        <w:rPr>
          <w:rFonts w:hint="eastAsia" w:ascii="宋体" w:hAnsi="宋体" w:eastAsia="宋体" w:cs="宋体"/>
          <w:b w:val="0"/>
          <w:color w:val="auto"/>
          <w:kern w:val="2"/>
          <w:position w:val="0"/>
          <w:highlight w:val="none"/>
        </w:rPr>
      </w:pPr>
      <w:r>
        <w:rPr>
          <w:rFonts w:hint="eastAsia" w:ascii="宋体" w:hAnsi="宋体" w:eastAsia="宋体" w:cs="宋体"/>
          <w:b w:val="0"/>
          <w:color w:val="auto"/>
          <w:kern w:val="2"/>
          <w:position w:val="0"/>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677D70FC">
      <w:pPr>
        <w:pStyle w:val="50"/>
        <w:spacing w:line="360" w:lineRule="auto"/>
        <w:ind w:firstLine="480"/>
        <w:rPr>
          <w:rFonts w:hint="eastAsia" w:ascii="宋体" w:hAnsi="宋体" w:eastAsia="宋体" w:cs="宋体"/>
          <w:b w:val="0"/>
          <w:color w:val="auto"/>
          <w:kern w:val="2"/>
          <w:position w:val="0"/>
          <w:highlight w:val="none"/>
          <w:lang w:val="en-US" w:eastAsia="zh-CN"/>
        </w:rPr>
      </w:pPr>
      <w:r>
        <w:rPr>
          <w:rFonts w:hint="eastAsia" w:ascii="宋体" w:hAnsi="宋体" w:eastAsia="宋体" w:cs="宋体"/>
          <w:b w:val="0"/>
          <w:color w:val="auto"/>
          <w:kern w:val="2"/>
          <w:position w:val="0"/>
          <w:highlight w:val="none"/>
          <w:lang w:val="en-US" w:eastAsia="zh-CN"/>
        </w:rPr>
        <w:t>5、主要材料品牌约定详见附件二《价格清单》中约定的品牌，定制材料以现场封样确认的品牌为准。</w:t>
      </w:r>
    </w:p>
    <w:p w14:paraId="0D14AC02">
      <w:pPr>
        <w:pStyle w:val="50"/>
        <w:numPr>
          <w:ilvl w:val="255"/>
          <w:numId w:val="0"/>
        </w:numPr>
        <w:tabs>
          <w:tab w:val="left" w:pos="0"/>
        </w:tabs>
        <w:kinsoku w:val="0"/>
        <w:wordWrap w:val="0"/>
        <w:topLinePunct/>
        <w:autoSpaceDE w:val="0"/>
        <w:spacing w:line="360" w:lineRule="auto"/>
        <w:ind w:firstLine="480" w:firstLineChars="200"/>
        <w:outlineLvl w:val="9"/>
        <w:rPr>
          <w:rFonts w:hint="eastAsia" w:ascii="宋体" w:hAnsi="宋体" w:eastAsia="宋体" w:cs="宋体"/>
          <w:b w:val="0"/>
          <w:color w:val="auto"/>
          <w:kern w:val="2"/>
          <w:position w:val="0"/>
          <w:highlight w:val="none"/>
          <w:lang w:val="en-US" w:eastAsia="zh-CN"/>
        </w:rPr>
      </w:pPr>
      <w:r>
        <w:rPr>
          <w:rFonts w:hint="eastAsia" w:ascii="宋体" w:hAnsi="宋体" w:eastAsia="宋体" w:cs="宋体"/>
          <w:b w:val="0"/>
          <w:color w:val="auto"/>
          <w:kern w:val="2"/>
          <w:position w:val="0"/>
          <w:highlight w:val="none"/>
          <w:lang w:val="en-US" w:eastAsia="zh-CN"/>
        </w:rPr>
        <w:t>6、乙方确保随货提供的检测报告、合格证的真实性，否则，乙方应对所供产品符合合同约定承担证明责任。</w:t>
      </w:r>
    </w:p>
    <w:p w14:paraId="674B8B27">
      <w:pPr>
        <w:pStyle w:val="50"/>
        <w:numPr>
          <w:ilvl w:val="255"/>
          <w:numId w:val="0"/>
        </w:numPr>
        <w:tabs>
          <w:tab w:val="left" w:pos="0"/>
        </w:tabs>
        <w:kinsoku w:val="0"/>
        <w:wordWrap w:val="0"/>
        <w:topLinePunct/>
        <w:autoSpaceDE w:val="0"/>
        <w:spacing w:line="360" w:lineRule="auto"/>
        <w:outlineLvl w:val="9"/>
        <w:rPr>
          <w:rFonts w:hAnsi="宋体" w:cs="宋体"/>
          <w:b w:val="0"/>
          <w:color w:val="auto"/>
          <w:szCs w:val="24"/>
          <w:highlight w:val="none"/>
        </w:rPr>
      </w:pPr>
      <w:r>
        <w:rPr>
          <w:rFonts w:hint="eastAsia" w:hAnsi="宋体" w:cs="宋体"/>
          <w:color w:val="auto"/>
          <w:szCs w:val="24"/>
          <w:highlight w:val="none"/>
          <w:lang w:val="en-US" w:eastAsia="zh-CN"/>
        </w:rPr>
        <w:t>十</w:t>
      </w:r>
      <w:r>
        <w:rPr>
          <w:rFonts w:hint="eastAsia" w:hAnsi="宋体" w:cs="宋体"/>
          <w:color w:val="auto"/>
          <w:szCs w:val="24"/>
          <w:highlight w:val="none"/>
        </w:rPr>
        <w:t>、现场安全文明施工及管理要求</w:t>
      </w:r>
    </w:p>
    <w:p w14:paraId="244AA59A">
      <w:pPr>
        <w:spacing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highlight w:val="none"/>
        </w:rPr>
        <w:t>1、乙方对供货及安装过程中的安全承担全部责任，派专人负责具体的安全工作，并经常性地做好安全宣传教育，严防安全隐患，杜绝伤亡事故和火灾的发生。如发生事故，责任由乙方负责，与甲方无关，乙方同时保护现场并及时上报有关部门。</w:t>
      </w:r>
    </w:p>
    <w:p w14:paraId="165531B9">
      <w:pPr>
        <w:spacing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highlight w:val="none"/>
        </w:rPr>
        <w:t>2、乙方及乙方供货及安装人员在甲方现场包括但不限于因用水、用电、高空作业、使用机器发生伤亡事故的，其经济责任、法律责任和其他民事责任均由乙方负责。</w:t>
      </w:r>
    </w:p>
    <w:p w14:paraId="095E5422">
      <w:pPr>
        <w:spacing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highlight w:val="none"/>
        </w:rPr>
        <w:t>3、乙方及乙方派驻供货及安装现场的现场代表须向甲方签订安全责任书，对工程质量、安全作出相应承诺和确定目标值。若上述目标不能达到，应向甲方支付违约金2000元/次并向甲方给予经济补偿和承担相应的法律责任。</w:t>
      </w:r>
    </w:p>
    <w:p w14:paraId="1C483715">
      <w:pPr>
        <w:spacing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highlight w:val="none"/>
        </w:rPr>
        <w:t>4、供货及安装现场用电器具应有接地、接零装置和线路布置规范化，安全防护措施到位。乙方自身职工、与甲方有关的第三方人员在现场发生伤亡事故，其经济责任、法律责任和其他民事责任均由乙方负责。</w:t>
      </w:r>
    </w:p>
    <w:p w14:paraId="4C67ADE2">
      <w:pPr>
        <w:spacing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highlight w:val="none"/>
        </w:rPr>
        <w:t>5、乙方应加强对现场供货及安装人员的教育。供货及安装现场严禁酗酒、打架斗殴、赌博和其他违法违章现象，每发现一次，乙方按2000元/次向甲方支付违约金。</w:t>
      </w:r>
    </w:p>
    <w:p w14:paraId="3004CB97">
      <w:pPr>
        <w:spacing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highlight w:val="none"/>
        </w:rPr>
        <w:t>6、乙方严禁对现场甲方工作人员、与甲方有关第三方人员、监理人员等，进行请客、行贿等。甲方发现一次无论何原因将对各方参与人员给予发生数额10倍以上的经济处罚，达到刑事责任时，将依据有关法律追究当事人的刑事责任。</w:t>
      </w:r>
    </w:p>
    <w:p w14:paraId="2CB6423B">
      <w:pPr>
        <w:spacing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highlight w:val="none"/>
        </w:rPr>
        <w:t>7、乙方需遵守甲方、监理及总承包单位的相关安全规程制度，否则按相关制度进行处罚。</w:t>
      </w:r>
    </w:p>
    <w:p w14:paraId="75309ED3">
      <w:pPr>
        <w:spacing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highlight w:val="none"/>
        </w:rPr>
        <w:t>8、乙方在供货及安装过程中要服从甲方及监理人员的统一指挥，做好防尘防噪措施，各项措施和管理达到洛阳市文明建设的有关规定。现场安装实行工完场清制度，垃圾及时清运出场。</w:t>
      </w:r>
    </w:p>
    <w:p w14:paraId="0309C9BA">
      <w:pPr>
        <w:spacing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highlight w:val="none"/>
        </w:rPr>
        <w:t>9、乙方应保证供货及安装现场的卫生标准、噪声标准等指标满足国家、地方的有关规定。供货及安装中因乙方违反规定造成的损失和发生的费用（若主管部门罚款）均由乙方承担。</w:t>
      </w:r>
    </w:p>
    <w:p w14:paraId="564D9722">
      <w:pPr>
        <w:pStyle w:val="50"/>
        <w:numPr>
          <w:ilvl w:val="255"/>
          <w:numId w:val="0"/>
        </w:numPr>
        <w:tabs>
          <w:tab w:val="left" w:pos="0"/>
        </w:tabs>
        <w:kinsoku w:val="0"/>
        <w:wordWrap w:val="0"/>
        <w:topLinePunct/>
        <w:autoSpaceDE w:val="0"/>
        <w:spacing w:line="360" w:lineRule="auto"/>
        <w:ind w:firstLine="480" w:firstLineChars="200"/>
        <w:outlineLvl w:val="9"/>
        <w:rPr>
          <w:rFonts w:hint="eastAsia" w:hAnsi="宋体" w:cs="宋体"/>
          <w:color w:val="auto"/>
          <w:szCs w:val="24"/>
          <w:highlight w:val="none"/>
        </w:rPr>
      </w:pPr>
      <w:r>
        <w:rPr>
          <w:rFonts w:hint="eastAsia" w:ascii="宋体" w:hAnsi="宋体" w:eastAsia="宋体" w:cs="宋体"/>
          <w:b w:val="0"/>
          <w:color w:val="auto"/>
          <w:kern w:val="2"/>
          <w:position w:val="0"/>
          <w:highlight w:val="none"/>
        </w:rPr>
        <w:t>10、供货及安装过程中如发生扰民或民扰，由乙方与甲方协调解决，费用乙方承担。</w:t>
      </w:r>
    </w:p>
    <w:p w14:paraId="31E70614">
      <w:pPr>
        <w:pStyle w:val="50"/>
        <w:numPr>
          <w:ilvl w:val="255"/>
          <w:numId w:val="0"/>
        </w:numPr>
        <w:tabs>
          <w:tab w:val="left" w:pos="0"/>
        </w:tabs>
        <w:kinsoku w:val="0"/>
        <w:wordWrap w:val="0"/>
        <w:topLinePunct/>
        <w:autoSpaceDE w:val="0"/>
        <w:spacing w:line="360" w:lineRule="auto"/>
        <w:ind w:firstLine="0" w:firstLineChars="0"/>
        <w:outlineLvl w:val="9"/>
        <w:rPr>
          <w:rFonts w:hAnsi="宋体" w:cs="宋体"/>
          <w:b w:val="0"/>
          <w:color w:val="auto"/>
          <w:szCs w:val="24"/>
          <w:highlight w:val="none"/>
        </w:rPr>
      </w:pPr>
      <w:r>
        <w:rPr>
          <w:rFonts w:hint="eastAsia" w:hAnsi="宋体" w:cs="宋体"/>
          <w:color w:val="auto"/>
          <w:szCs w:val="24"/>
          <w:highlight w:val="none"/>
        </w:rPr>
        <w:t>十</w:t>
      </w:r>
      <w:r>
        <w:rPr>
          <w:rFonts w:hint="eastAsia" w:hAnsi="宋体" w:cs="宋体"/>
          <w:color w:val="auto"/>
          <w:szCs w:val="24"/>
          <w:highlight w:val="none"/>
          <w:lang w:val="en-US" w:eastAsia="zh-CN"/>
        </w:rPr>
        <w:t>一</w:t>
      </w:r>
      <w:r>
        <w:rPr>
          <w:rFonts w:hint="eastAsia" w:hAnsi="宋体" w:cs="宋体"/>
          <w:color w:val="auto"/>
          <w:szCs w:val="24"/>
          <w:highlight w:val="none"/>
        </w:rPr>
        <w:t>、验收</w:t>
      </w:r>
    </w:p>
    <w:p w14:paraId="7F37D400">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1、工程质量达到</w:t>
      </w:r>
      <w:r>
        <w:rPr>
          <w:rFonts w:hint="eastAsia" w:ascii="宋体" w:hAnsi="宋体" w:cs="宋体"/>
          <w:color w:val="auto"/>
          <w:szCs w:val="24"/>
          <w:highlight w:val="none"/>
        </w:rPr>
        <w:t>图纸及相关规范要求的</w:t>
      </w:r>
      <w:r>
        <w:rPr>
          <w:rFonts w:hint="eastAsia" w:ascii="宋体" w:hAnsi="宋体" w:cs="宋体"/>
          <w:bCs/>
          <w:color w:val="auto"/>
          <w:szCs w:val="24"/>
          <w:highlight w:val="none"/>
        </w:rPr>
        <w:t>合格标准。</w:t>
      </w:r>
    </w:p>
    <w:p w14:paraId="2FEC4ECA">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2、适用标准、规范：国家、河南省现行的相关施工验收规范、标准</w:t>
      </w:r>
      <w:r>
        <w:rPr>
          <w:rFonts w:hint="eastAsia" w:ascii="宋体" w:hAnsi="宋体" w:cs="宋体"/>
          <w:color w:val="auto"/>
          <w:szCs w:val="24"/>
          <w:highlight w:val="none"/>
        </w:rPr>
        <w:t>及甲方企业标准中较高标准执行</w:t>
      </w:r>
      <w:r>
        <w:rPr>
          <w:rFonts w:hint="eastAsia" w:ascii="宋体" w:hAnsi="宋体" w:cs="宋体"/>
          <w:bCs/>
          <w:color w:val="auto"/>
          <w:szCs w:val="24"/>
          <w:highlight w:val="none"/>
        </w:rPr>
        <w:t>。</w:t>
      </w:r>
    </w:p>
    <w:p w14:paraId="406AD95D">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3、本工程要求一次验收合格率100%，同时满足图纸设计和甲方的要求。因乙方原因导致工程质量达不到工程质量目标，乙方应无条件返工直至达到合格标准，并承担由此造成的一切损失。同时，甲方不予工期顺延。</w:t>
      </w:r>
    </w:p>
    <w:p w14:paraId="58F1D3FA">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4、施工中，凡出现质量不合格的分部分项工程经甲方、监理或政府相关部门提出进行返工的，乙方必须认真执行，并承担由此发生的全部费用，乙方并不能因此而获得工期顺延。</w:t>
      </w:r>
    </w:p>
    <w:p w14:paraId="1BA44834">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5、施工期间，乙方必须认真执行甲方及监理单位对工程施工的管理要求。如乙方不能认真完成相关的管理要求，甲方及监理单位有权根据情况对乙方下发《整改通知书》，乙方在接到《整改通知书》后须按要求整改，否则，监理将继续下达《整改通知书》，直至乙方整改完成为止。除第一次外，后续每下发一次《整改通知书》，乙方向甲方支付违约金5000元/次，并且赔偿由此对甲方造成的损失。</w:t>
      </w:r>
    </w:p>
    <w:p w14:paraId="6C28E048">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6、若工程质量达不到约定的标准，甲方、监理工程师一经发现，要求乙方拆除和重新施工，乙方应按甲方、监理工程师要求拆除和重新施工，直到符合约定的标准为止。因乙方原因达不到约定的标准，由乙方承担拆除和重新施工的费用，工期不予以顺延。甲方、监理工程师的检查检验不应影响施工正常进行。</w:t>
      </w:r>
    </w:p>
    <w:p w14:paraId="3F4BD93D">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7、隐蔽工程由乙方书面通知甲方、监理，由甲方、监理相关工程技术人员到现场检查验收，经验收合格后并履行隐蔽工程签证手续，乙方可将该部位隐蔽。</w:t>
      </w:r>
    </w:p>
    <w:p w14:paraId="7ED7D8F0">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8、工程安装完毕，乙方应通过自查自检，认为合格后，通知甲方、监理验收，验收合格后，甲方、监理应及时给予办理验收签证手续。</w:t>
      </w:r>
    </w:p>
    <w:p w14:paraId="49A6A3B9">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、经甲方竣工验收合格后7日内，乙方需向甲方提供装订成册完整的竣工验收资料并确保一次性通过项目所在地市质监站的验收和人防办的备案验收,最终出具河南省人民防空工程竣工验收备案证等相关资料。</w:t>
      </w:r>
    </w:p>
    <w:p w14:paraId="287AC0CC">
      <w:pPr>
        <w:pStyle w:val="50"/>
        <w:numPr>
          <w:ilvl w:val="255"/>
          <w:numId w:val="0"/>
        </w:numPr>
        <w:tabs>
          <w:tab w:val="left" w:pos="0"/>
        </w:tabs>
        <w:kinsoku w:val="0"/>
        <w:wordWrap w:val="0"/>
        <w:topLinePunct/>
        <w:autoSpaceDE w:val="0"/>
        <w:spacing w:line="360" w:lineRule="auto"/>
        <w:outlineLvl w:val="9"/>
        <w:rPr>
          <w:rFonts w:hAnsi="宋体" w:cs="宋体"/>
          <w:b w:val="0"/>
          <w:color w:val="auto"/>
          <w:szCs w:val="24"/>
          <w:highlight w:val="none"/>
        </w:rPr>
      </w:pPr>
      <w:r>
        <w:rPr>
          <w:rFonts w:hint="eastAsia" w:hAnsi="宋体" w:cs="宋体"/>
          <w:color w:val="auto"/>
          <w:szCs w:val="24"/>
          <w:highlight w:val="none"/>
        </w:rPr>
        <w:t>十</w:t>
      </w:r>
      <w:r>
        <w:rPr>
          <w:rFonts w:hint="eastAsia" w:hAnsi="宋体" w:cs="宋体"/>
          <w:color w:val="auto"/>
          <w:szCs w:val="24"/>
          <w:highlight w:val="none"/>
          <w:lang w:val="en-US" w:eastAsia="zh-CN"/>
        </w:rPr>
        <w:t>二</w:t>
      </w:r>
      <w:r>
        <w:rPr>
          <w:rFonts w:hint="eastAsia" w:hAnsi="宋体" w:cs="宋体"/>
          <w:color w:val="auto"/>
          <w:szCs w:val="24"/>
          <w:highlight w:val="none"/>
        </w:rPr>
        <w:t>、工程变更、签证</w:t>
      </w:r>
    </w:p>
    <w:p w14:paraId="1C1C1C12">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1、乙方应严格按照经甲方</w:t>
      </w:r>
      <w:r>
        <w:rPr>
          <w:rFonts w:hint="eastAsia" w:ascii="宋体" w:hAnsi="宋体" w:cs="宋体"/>
          <w:color w:val="auto"/>
          <w:szCs w:val="24"/>
          <w:highlight w:val="none"/>
          <w:lang w:eastAsia="zh-CN"/>
        </w:rPr>
        <w:t>审核</w:t>
      </w:r>
      <w:r>
        <w:rPr>
          <w:rFonts w:hint="eastAsia" w:ascii="宋体" w:hAnsi="宋体" w:cs="宋体"/>
          <w:color w:val="auto"/>
          <w:szCs w:val="24"/>
          <w:highlight w:val="none"/>
        </w:rPr>
        <w:t>签认的施工图纸施工，不得随意变更；若</w:t>
      </w:r>
      <w:r>
        <w:rPr>
          <w:rFonts w:hint="eastAsia" w:ascii="宋体" w:hAnsi="宋体" w:cs="宋体"/>
          <w:color w:val="auto"/>
          <w:szCs w:val="24"/>
          <w:highlight w:val="none"/>
          <w:lang w:eastAsia="zh-CN"/>
        </w:rPr>
        <w:t>确需</w:t>
      </w:r>
      <w:r>
        <w:rPr>
          <w:rFonts w:hint="eastAsia" w:ascii="宋体" w:hAnsi="宋体" w:cs="宋体"/>
          <w:color w:val="auto"/>
          <w:szCs w:val="24"/>
          <w:highlight w:val="none"/>
        </w:rPr>
        <w:t>变更，应按程序报甲方书面同意后，方可变更施工，否则造成的一切后果及责任均由乙方负责。</w:t>
      </w:r>
    </w:p>
    <w:p w14:paraId="1A37C842">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2、施工过程中，若甲方需要增减项目或变更项目应提前以书面形式通知乙方，乙方承诺满足甲方的需求。</w:t>
      </w:r>
    </w:p>
    <w:p w14:paraId="6F083269">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3、变更、签证的计价原则：本合同执行期间，若因招标人设计原因引起的设计变更，由招标人出具设计变更单。因设计变更引起部分分项工程子目的增加，该项子目的综合单价在合同中（即后附表工程量清单计价表）有相同子目的执行相同子目的单价，合同中后附表中有相近子目的按相近子目执行；若合同中后附表无适用或类似于变更、签证工程综合单价的，则由</w:t>
      </w:r>
      <w:r>
        <w:rPr>
          <w:rFonts w:hint="default" w:ascii="宋体" w:hAnsi="宋体" w:cs="宋体"/>
          <w:color w:val="auto"/>
          <w:szCs w:val="24"/>
          <w:highlight w:val="none"/>
          <w:lang w:val="en-US"/>
        </w:rPr>
        <w:t>招标人认价后按照认价</w:t>
      </w:r>
      <w:r>
        <w:rPr>
          <w:rFonts w:hint="eastAsia" w:ascii="宋体" w:hAnsi="宋体" w:cs="宋体"/>
          <w:color w:val="auto"/>
          <w:szCs w:val="24"/>
          <w:highlight w:val="none"/>
        </w:rPr>
        <w:t>计入结算；若在施工过程中未由招标人认价的，结算时按照招标人认为可行的单价计入结算，中标人不得有任何异议。</w:t>
      </w:r>
    </w:p>
    <w:p w14:paraId="11EB7512">
      <w:pPr>
        <w:pStyle w:val="17"/>
        <w:ind w:firstLine="480" w:firstLineChars="200"/>
        <w:rPr>
          <w:rFonts w:hint="eastAsia" w:ascii="宋体" w:hAnsi="宋体" w:cs="宋体"/>
          <w:color w:val="auto"/>
          <w:kern w:val="2"/>
          <w:sz w:val="24"/>
          <w:szCs w:val="22"/>
          <w:highlight w:val="none"/>
        </w:rPr>
      </w:pPr>
      <w:r>
        <w:rPr>
          <w:rFonts w:hint="eastAsia" w:ascii="宋体" w:hAnsi="宋体" w:cs="宋体"/>
          <w:color w:val="auto"/>
          <w:kern w:val="2"/>
          <w:sz w:val="24"/>
          <w:szCs w:val="22"/>
          <w:highlight w:val="none"/>
        </w:rPr>
        <w:t>4、设计变更与现场签证必须进行一单一算、一月一清。为了保证甲方</w:t>
      </w:r>
      <w:r>
        <w:rPr>
          <w:rFonts w:hint="eastAsia" w:ascii="宋体" w:hAnsi="宋体" w:cs="宋体"/>
          <w:color w:val="auto"/>
          <w:kern w:val="2"/>
          <w:sz w:val="24"/>
          <w:szCs w:val="22"/>
          <w:highlight w:val="none"/>
          <w:lang w:eastAsia="zh-CN"/>
        </w:rPr>
        <w:t>成本招采部</w:t>
      </w:r>
      <w:r>
        <w:rPr>
          <w:rFonts w:hint="eastAsia" w:ascii="宋体" w:hAnsi="宋体" w:cs="宋体"/>
          <w:color w:val="auto"/>
          <w:kern w:val="2"/>
          <w:sz w:val="24"/>
          <w:szCs w:val="22"/>
          <w:highlight w:val="none"/>
        </w:rPr>
        <w:t>、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p>
    <w:p w14:paraId="06BE7B9D">
      <w:pPr>
        <w:spacing w:line="360" w:lineRule="auto"/>
        <w:ind w:firstLine="420" w:firstLineChars="175"/>
        <w:rPr>
          <w:rFonts w:hint="eastAsia" w:ascii="宋体" w:hAnsi="宋体" w:cs="宋体"/>
          <w:bCs/>
          <w:color w:val="auto"/>
          <w:szCs w:val="24"/>
          <w:highlight w:val="none"/>
        </w:rPr>
      </w:pPr>
      <w:r>
        <w:rPr>
          <w:rFonts w:hint="eastAsia" w:ascii="宋体" w:hAnsi="宋体" w:cs="宋体"/>
          <w:bCs/>
          <w:color w:val="auto"/>
          <w:szCs w:val="24"/>
          <w:highlight w:val="none"/>
        </w:rPr>
        <w:t>5、若甲方需在本合同约定的标的或工作量以外委托乙方完成一定的工作量，应以正式书面形式将具体工作范围、价款、完成时间、付款方式等主要内容通知乙方。若无正式书面委托，甲方不予结算。</w:t>
      </w:r>
    </w:p>
    <w:p w14:paraId="0660FF22">
      <w:pPr>
        <w:pStyle w:val="50"/>
        <w:spacing w:line="360" w:lineRule="auto"/>
        <w:outlineLvl w:val="9"/>
        <w:rPr>
          <w:rFonts w:hint="eastAsia" w:ascii="宋体" w:hAnsi="宋体" w:eastAsia="宋体" w:cs="宋体"/>
          <w:color w:val="auto"/>
          <w:sz w:val="24"/>
          <w:szCs w:val="24"/>
          <w:highlight w:val="none"/>
          <w:lang w:eastAsia="zh-CN"/>
        </w:rPr>
      </w:pPr>
      <w:r>
        <w:rPr>
          <w:rFonts w:hint="eastAsia" w:ascii="宋体" w:hAnsi="宋体" w:cs="宋体"/>
          <w:b/>
          <w:bCs w:val="0"/>
          <w:color w:val="auto"/>
          <w:sz w:val="24"/>
          <w:szCs w:val="24"/>
          <w:highlight w:val="none"/>
        </w:rPr>
        <w:t>十</w:t>
      </w:r>
      <w:r>
        <w:rPr>
          <w:rFonts w:hint="eastAsia" w:hAnsi="宋体" w:cs="宋体"/>
          <w:b/>
          <w:bCs w:val="0"/>
          <w:color w:val="auto"/>
          <w:sz w:val="24"/>
          <w:szCs w:val="24"/>
          <w:highlight w:val="none"/>
          <w:lang w:val="en-US" w:eastAsia="zh-CN"/>
        </w:rPr>
        <w:t>三</w:t>
      </w:r>
      <w:r>
        <w:rPr>
          <w:rFonts w:hint="eastAsia" w:ascii="宋体" w:hAnsi="宋体" w:cs="宋体"/>
          <w:b/>
          <w:bCs w:val="0"/>
          <w:color w:val="auto"/>
          <w:sz w:val="24"/>
          <w:szCs w:val="24"/>
          <w:highlight w:val="none"/>
        </w:rPr>
        <w:t>、结算</w:t>
      </w:r>
      <w:r>
        <w:rPr>
          <w:rFonts w:hint="eastAsia" w:ascii="宋体" w:hAnsi="宋体" w:cs="宋体"/>
          <w:b/>
          <w:bCs w:val="0"/>
          <w:color w:val="auto"/>
          <w:sz w:val="24"/>
          <w:szCs w:val="24"/>
          <w:highlight w:val="none"/>
          <w:lang w:eastAsia="zh-CN"/>
        </w:rPr>
        <w:t>方式</w:t>
      </w:r>
    </w:p>
    <w:p w14:paraId="1C3E56D6">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1、结算</w:t>
      </w:r>
      <w:r>
        <w:rPr>
          <w:rFonts w:hint="eastAsia" w:ascii="宋体" w:hAnsi="宋体" w:cs="宋体"/>
          <w:color w:val="auto"/>
          <w:szCs w:val="24"/>
          <w:highlight w:val="none"/>
          <w:lang w:eastAsia="zh-CN"/>
        </w:rPr>
        <w:t>金</w:t>
      </w:r>
      <w:r>
        <w:rPr>
          <w:rFonts w:hint="eastAsia" w:ascii="宋体" w:hAnsi="宋体" w:cs="宋体"/>
          <w:color w:val="auto"/>
          <w:szCs w:val="24"/>
          <w:highlight w:val="none"/>
        </w:rPr>
        <w:t>额=含税固定总价±变更、签证造价－其他应扣费用（含违约金）。</w:t>
      </w:r>
    </w:p>
    <w:p w14:paraId="06B2BABC">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2、乙方结算资料在报送甲方时一次性报送完整，在甲方结算审价过程中，不再接受增加任何结算资料（图纸、签证变更单、价格凭证等），送审的结算书中若有遗漏项目均作为让利给发包人，不作增加调整。</w:t>
      </w:r>
    </w:p>
    <w:p w14:paraId="166EC922">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3、乙方报送结算书应诚实准确，若最终审减额（报送金额—结算金额）超过结算金额的5%，则需要乙方向甲方支付超出5%部分的费用的3%作为违约金，且违约金在结算金额中一次性扣除。</w:t>
      </w:r>
    </w:p>
    <w:p w14:paraId="1152FA95">
      <w:pPr>
        <w:spacing w:line="360" w:lineRule="auto"/>
        <w:ind w:firstLine="420" w:firstLineChars="175"/>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4、若甲方需在本合同约定的标的或工作量以外委托乙方完成一定的工作量，应以正式书面形式将具体工作范围、价款、完成时间、付款方式等主要内容通知乙方。若无正式书面委托，甲方不予结算。</w:t>
      </w:r>
    </w:p>
    <w:p w14:paraId="08EC6530">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工程全部完工，验收合格且出具合格验收意见文件后30日内乙方提交装订成册完整的工程竣工结算资料两套，逾期提交或提交资料不合格，由此产生未能及时结算的责任由乙方承担。若乙方在上述时间内不提交结算资料，甲方有权单独进行结算，乙方应接受甲方结算结果；若提交资料不完整（遗漏或后补资料）视为放弃；放弃部分甲方只计算变更减少部分，不再计算变更增加部分，乙方不得提出异议，由此产生的未能及时结算的责任由乙方自己承担。甲方成本部门收到乙方提交合格的结算资料后90个工作日内审查完毕并通知乙方，乙方接到结算审查通知后10个工作日内确认或提出异议，逾期视为已认可甲方审查意见。</w:t>
      </w:r>
    </w:p>
    <w:p w14:paraId="6F6F734E">
      <w:pPr>
        <w:pStyle w:val="50"/>
        <w:spacing w:line="360" w:lineRule="auto"/>
        <w:outlineLvl w:val="9"/>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十</w:t>
      </w:r>
      <w:r>
        <w:rPr>
          <w:rFonts w:hint="eastAsia" w:hAnsi="宋体" w:cs="宋体"/>
          <w:b/>
          <w:bCs w:val="0"/>
          <w:color w:val="auto"/>
          <w:sz w:val="24"/>
          <w:szCs w:val="24"/>
          <w:highlight w:val="none"/>
          <w:lang w:val="en-US" w:eastAsia="zh-CN"/>
        </w:rPr>
        <w:t>四</w:t>
      </w:r>
      <w:r>
        <w:rPr>
          <w:rFonts w:hint="eastAsia" w:ascii="宋体" w:hAnsi="宋体" w:cs="宋体"/>
          <w:b/>
          <w:bCs w:val="0"/>
          <w:color w:val="auto"/>
          <w:sz w:val="24"/>
          <w:szCs w:val="24"/>
          <w:highlight w:val="none"/>
        </w:rPr>
        <w:t>、保修期</w:t>
      </w:r>
    </w:p>
    <w:p w14:paraId="61674E2F">
      <w:pPr>
        <w:spacing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本工程终身保修，自工程竣工人防验收合格并取得河南省人民防空工程竣工验收备案证之日起算。若有施工质量问题、用料问题等，乙方必须在接到通知后的24个小时内派员维修并在12小时内完成修复，因质量、用料问题等引起的损坏，乙方免收一切费用。若乙方拒绝维修的，甲方有权自行或委托第三方处理，因此产生的费用及责任均由乙方自行承担。因质量问题给甲方或第三方造成损失的，乙方承担全部赔偿责任。</w:t>
      </w:r>
    </w:p>
    <w:p w14:paraId="79266DE9">
      <w:pPr>
        <w:pStyle w:val="50"/>
        <w:spacing w:line="360" w:lineRule="auto"/>
        <w:outlineLvl w:val="9"/>
        <w:rPr>
          <w:rFonts w:ascii="宋体" w:hAnsi="宋体" w:cs="宋体"/>
          <w:b/>
          <w:color w:val="auto"/>
          <w:sz w:val="24"/>
          <w:szCs w:val="24"/>
          <w:highlight w:val="none"/>
        </w:rPr>
      </w:pPr>
      <w:r>
        <w:rPr>
          <w:rFonts w:hint="eastAsia" w:ascii="宋体" w:hAnsi="宋体" w:cs="宋体"/>
          <w:b/>
          <w:bCs w:val="0"/>
          <w:color w:val="auto"/>
          <w:sz w:val="24"/>
          <w:szCs w:val="24"/>
          <w:highlight w:val="none"/>
        </w:rPr>
        <w:t>十</w:t>
      </w:r>
      <w:r>
        <w:rPr>
          <w:rFonts w:hint="eastAsia" w:hAnsi="宋体" w:cs="宋体"/>
          <w:b/>
          <w:bCs w:val="0"/>
          <w:color w:val="auto"/>
          <w:sz w:val="24"/>
          <w:szCs w:val="24"/>
          <w:highlight w:val="none"/>
          <w:lang w:val="en-US" w:eastAsia="zh-CN"/>
        </w:rPr>
        <w:t>五</w:t>
      </w:r>
      <w:r>
        <w:rPr>
          <w:rFonts w:hint="eastAsia" w:ascii="宋体" w:hAnsi="宋体" w:cs="宋体"/>
          <w:b/>
          <w:bCs w:val="0"/>
          <w:color w:val="auto"/>
          <w:sz w:val="24"/>
          <w:szCs w:val="24"/>
          <w:highlight w:val="none"/>
        </w:rPr>
        <w:t>、双方责任与义务</w:t>
      </w:r>
    </w:p>
    <w:p w14:paraId="5E737D54">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1、甲方的责任与义务</w:t>
      </w:r>
    </w:p>
    <w:p w14:paraId="21C00C5A">
      <w:pPr>
        <w:spacing w:line="360" w:lineRule="auto"/>
        <w:ind w:firstLine="480" w:firstLineChars="200"/>
        <w:rPr>
          <w:rFonts w:hint="eastAsia" w:ascii="宋体" w:hAnsi="宋体" w:cs="宋体"/>
          <w:color w:val="auto"/>
          <w:highlight w:val="none"/>
        </w:rPr>
      </w:pPr>
      <w:r>
        <w:rPr>
          <w:rFonts w:hint="eastAsia" w:ascii="宋体" w:hAnsi="宋体" w:cs="宋体"/>
          <w:color w:val="auto"/>
          <w:szCs w:val="24"/>
          <w:highlight w:val="none"/>
        </w:rPr>
        <w:t>1.1、遵守法律法规和规章，甲方应在其实施本合同的全部工作中遵守与本合同有关的法律法规和规章，并应承担由于其</w:t>
      </w:r>
      <w:r>
        <w:rPr>
          <w:rFonts w:hint="eastAsia" w:ascii="宋体" w:hAnsi="宋体" w:cs="宋体"/>
          <w:color w:val="auto"/>
          <w:highlight w:val="none"/>
        </w:rPr>
        <w:t>自身违反上述法律法规和规章的责任。</w:t>
      </w:r>
    </w:p>
    <w:p w14:paraId="6E91A860">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1.2、</w:t>
      </w:r>
      <w:r>
        <w:rPr>
          <w:rFonts w:hint="eastAsia" w:ascii="宋体" w:hAnsi="宋体" w:cs="宋体"/>
          <w:color w:val="auto"/>
          <w:szCs w:val="24"/>
          <w:highlight w:val="none"/>
        </w:rPr>
        <w:t>甲方委派</w:t>
      </w:r>
      <w:r>
        <w:rPr>
          <w:rFonts w:hint="eastAsia" w:ascii="宋体" w:hAnsi="宋体" w:cs="宋体"/>
          <w:color w:val="auto"/>
          <w:szCs w:val="24"/>
          <w:highlight w:val="none"/>
          <w:u w:val="single"/>
          <w:lang w:val="en-US" w:eastAsia="zh-CN"/>
        </w:rPr>
        <w:t>刘亚辉</w:t>
      </w:r>
      <w:r>
        <w:rPr>
          <w:rFonts w:hint="eastAsia" w:ascii="宋体" w:hAnsi="宋体" w:cs="宋体"/>
          <w:color w:val="auto"/>
          <w:szCs w:val="24"/>
          <w:highlight w:val="none"/>
        </w:rPr>
        <w:t>为现场代表（身份证号码：</w:t>
      </w:r>
      <w:r>
        <w:rPr>
          <w:rFonts w:hint="eastAsia" w:ascii="宋体" w:hAnsi="宋体" w:eastAsia="宋体" w:cs="宋体"/>
          <w:sz w:val="24"/>
          <w:szCs w:val="24"/>
          <w:u w:val="single"/>
        </w:rPr>
        <w:t>410223198612025072</w:t>
      </w:r>
      <w:r>
        <w:rPr>
          <w:rFonts w:hint="eastAsia" w:ascii="宋体" w:hAnsi="宋体" w:cs="宋体"/>
          <w:color w:val="auto"/>
          <w:szCs w:val="24"/>
          <w:highlight w:val="none"/>
        </w:rPr>
        <w:t>），电话</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18039270800</w:t>
      </w:r>
      <w:r>
        <w:rPr>
          <w:rFonts w:hint="eastAsia" w:ascii="宋体" w:hAnsi="宋体" w:cs="宋体"/>
          <w:color w:val="auto"/>
          <w:szCs w:val="24"/>
          <w:highlight w:val="none"/>
        </w:rPr>
        <w:t>，</w:t>
      </w:r>
      <w:r>
        <w:rPr>
          <w:rFonts w:hint="eastAsia" w:ascii="宋体" w:hAnsi="宋体" w:cs="宋体"/>
          <w:color w:val="auto"/>
          <w:highlight w:val="none"/>
        </w:rPr>
        <w:t>监督、检查产品、工程的质量，协调工作中发生的有关事宜，并参与产品、工程的初验、验收和签证工作。如现场代表变更则需及时通知乙方。</w:t>
      </w:r>
    </w:p>
    <w:p w14:paraId="62521C19">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1.3、甲方应提供乙方所需工程建筑图、说明书、建筑平面图、变更图及有关技术文件等作为乙方产品设计和施工的有效依据。</w:t>
      </w:r>
    </w:p>
    <w:p w14:paraId="1923365C">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1.4、甲方协调乙方与土建单位施工配合问题，并督促工程进度。</w:t>
      </w:r>
    </w:p>
    <w:p w14:paraId="22AD05AE">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1.5、签订合同时，甲方向乙方提供建筑施工图、变更通知及相关材料1套。</w:t>
      </w:r>
    </w:p>
    <w:p w14:paraId="407E1503">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1.6、甲方应及时按合同要求给乙方拨付工程款、组织工程竣工验收并按合同规定办理竣工结算。</w:t>
      </w:r>
    </w:p>
    <w:p w14:paraId="3B27C1D5">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1.7、协调水源、电源接驳点。</w:t>
      </w:r>
    </w:p>
    <w:p w14:paraId="2C195503">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1.8、协调现场交叉施工各项问题。</w:t>
      </w:r>
    </w:p>
    <w:p w14:paraId="7592829A">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 乙方责任与义务</w:t>
      </w:r>
    </w:p>
    <w:p w14:paraId="6CE6AC67">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2.1、遵守法律法规和规章，乙方应在其负责的各项工作中遵守与本合同工程有关的法律法规和规章，并保证甲方免于承担由于乙方违反上述法律法规和规章的任何责任。</w:t>
      </w:r>
    </w:p>
    <w:p w14:paraId="67B6896F">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2.2、</w:t>
      </w:r>
      <w:r>
        <w:rPr>
          <w:rFonts w:hint="eastAsia" w:ascii="宋体" w:hAnsi="宋体" w:cs="宋体"/>
          <w:color w:val="auto"/>
          <w:szCs w:val="24"/>
          <w:highlight w:val="none"/>
        </w:rPr>
        <w:t>乙方委派</w:t>
      </w:r>
      <w:r>
        <w:rPr>
          <w:rFonts w:hint="eastAsia" w:ascii="宋体" w:hAnsi="宋体" w:cs="宋体"/>
          <w:color w:val="auto"/>
          <w:szCs w:val="24"/>
          <w:highlight w:val="none"/>
          <w:u w:val="single"/>
          <w:lang w:val="en-US" w:eastAsia="zh-CN"/>
        </w:rPr>
        <w:t xml:space="preserve"> 李鹏举 </w:t>
      </w:r>
      <w:r>
        <w:rPr>
          <w:rFonts w:hint="eastAsia" w:ascii="宋体" w:hAnsi="宋体" w:cs="宋体"/>
          <w:color w:val="auto"/>
          <w:szCs w:val="24"/>
          <w:highlight w:val="none"/>
        </w:rPr>
        <w:t>现场代表（身份证号码：</w:t>
      </w:r>
      <w:r>
        <w:rPr>
          <w:rFonts w:hint="eastAsia" w:ascii="宋体" w:hAnsi="宋体" w:cs="宋体"/>
          <w:color w:val="auto"/>
          <w:szCs w:val="24"/>
          <w:highlight w:val="none"/>
          <w:u w:val="single"/>
          <w:lang w:val="en-US" w:eastAsia="zh-CN"/>
        </w:rPr>
        <w:t xml:space="preserve"> 410183198209087012 </w:t>
      </w:r>
      <w:r>
        <w:rPr>
          <w:rFonts w:hint="eastAsia" w:ascii="宋体" w:hAnsi="宋体" w:cs="宋体"/>
          <w:color w:val="auto"/>
          <w:szCs w:val="24"/>
          <w:highlight w:val="none"/>
        </w:rPr>
        <w:t>），电话</w:t>
      </w:r>
      <w:r>
        <w:rPr>
          <w:rFonts w:hint="eastAsia" w:ascii="宋体" w:hAnsi="宋体" w:cs="宋体"/>
          <w:color w:val="auto"/>
          <w:szCs w:val="24"/>
          <w:highlight w:val="none"/>
          <w:u w:val="single"/>
          <w:lang w:val="en-US" w:eastAsia="zh-CN"/>
        </w:rPr>
        <w:t xml:space="preserve"> 13837105646 </w:t>
      </w:r>
      <w:r>
        <w:rPr>
          <w:rFonts w:hint="eastAsia" w:ascii="宋体" w:hAnsi="宋体" w:cs="宋体"/>
          <w:color w:val="auto"/>
          <w:szCs w:val="24"/>
          <w:highlight w:val="none"/>
        </w:rPr>
        <w:t>，</w:t>
      </w:r>
      <w:r>
        <w:rPr>
          <w:rFonts w:hint="eastAsia" w:ascii="宋体" w:hAnsi="宋体" w:cs="宋体"/>
          <w:color w:val="auto"/>
          <w:highlight w:val="none"/>
        </w:rPr>
        <w:t>并须持有与工程项目相适应的资格证书，负责施工期间的施工质量、安全问题，协调工作中发生的有关事宜。如现场代表变更则需经甲方同意。若乙方</w:t>
      </w:r>
      <w:r>
        <w:rPr>
          <w:rFonts w:hint="eastAsia" w:ascii="宋体" w:hAnsi="宋体" w:cs="宋体"/>
          <w:color w:val="auto"/>
          <w:szCs w:val="24"/>
          <w:highlight w:val="none"/>
        </w:rPr>
        <w:t>委派</w:t>
      </w:r>
      <w:r>
        <w:rPr>
          <w:rFonts w:hint="eastAsia" w:ascii="宋体" w:hAnsi="宋体" w:cs="宋体"/>
          <w:color w:val="auto"/>
          <w:highlight w:val="none"/>
        </w:rPr>
        <w:t>人员不配合甲方工作或甲方对以上人员工作能力不满意，甲方有权要求乙方无条件更换。</w:t>
      </w:r>
    </w:p>
    <w:p w14:paraId="409B34FC">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2.3、参加甲方组织的现场交底，拟定施工方案和进度计划，编制施工组织设计，交甲方及监理单位共同审定同意后执行。</w:t>
      </w:r>
    </w:p>
    <w:p w14:paraId="5C8B9C7C">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2.4、严格执行施工规范、安全操作规程、防火安全规定、环境保护规定。严格按照图纸或做法说明进行施工，做好各项质量检查记录，参加竣工验收、工程量计算。</w:t>
      </w:r>
    </w:p>
    <w:p w14:paraId="71063C25">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、乙方应服从甲方、监理单位、总承包单位的管理，密切配合总承包单位施工，遵守工地的有关规定；严格执行工序开工前向监理报验制度。</w:t>
      </w:r>
    </w:p>
    <w:p w14:paraId="0080B0B6">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、乙方不得将该工程转包或分包，否则甲方不支付乙方所发生的任何费用。</w:t>
      </w:r>
    </w:p>
    <w:p w14:paraId="2963C829">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按照施工安全规范的要求，采取相应的安全施工防护措施，对验收合格前的安全负全责，发生安全事故与甲方及总承包单位无关，一切责任由乙方承担，甲方因此承担责任的，乙方应负责赔偿；做到文明施工，工完料清、场清。</w:t>
      </w:r>
    </w:p>
    <w:p w14:paraId="6D7C6ECC">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8</w:t>
      </w:r>
      <w:r>
        <w:rPr>
          <w:rFonts w:hint="eastAsia" w:ascii="宋体" w:hAnsi="宋体" w:cs="宋体"/>
          <w:color w:val="auto"/>
          <w:highlight w:val="none"/>
        </w:rPr>
        <w:t>、施工中未经</w:t>
      </w:r>
      <w:r>
        <w:rPr>
          <w:rFonts w:hint="eastAsia" w:ascii="宋体" w:hAnsi="宋体" w:cs="宋体"/>
          <w:color w:val="auto"/>
          <w:highlight w:val="none"/>
          <w:lang w:eastAsia="zh-CN"/>
        </w:rPr>
        <w:t>甲方</w:t>
      </w:r>
      <w:r>
        <w:rPr>
          <w:rFonts w:hint="eastAsia" w:ascii="宋体" w:hAnsi="宋体" w:cs="宋体"/>
          <w:color w:val="auto"/>
          <w:highlight w:val="none"/>
        </w:rPr>
        <w:t>同意或有关部门批准，不得随意拆改原建筑物结构及各种管线。</w:t>
      </w:r>
    </w:p>
    <w:p w14:paraId="1A6EAA0B">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、工程竣工未移交甲方之前，负责对现场的一切设施和工程成品进行保护。</w:t>
      </w:r>
    </w:p>
    <w:p w14:paraId="4B3A769D">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10</w:t>
      </w:r>
      <w:r>
        <w:rPr>
          <w:rFonts w:hint="eastAsia" w:ascii="宋体" w:hAnsi="宋体" w:cs="宋体"/>
          <w:color w:val="auto"/>
          <w:highlight w:val="none"/>
        </w:rPr>
        <w:t>、做好各项质量自检记录，参加竣工验收，编制工程结算。</w:t>
      </w:r>
    </w:p>
    <w:p w14:paraId="7C16D614">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11</w:t>
      </w:r>
      <w:r>
        <w:rPr>
          <w:rFonts w:hint="eastAsia" w:ascii="宋体" w:hAnsi="宋体" w:cs="宋体"/>
          <w:color w:val="auto"/>
          <w:highlight w:val="none"/>
        </w:rPr>
        <w:t>、遵守国家或地方政府及有关部门对施工现场管理规定；服从甲方的有关指令，积极配合甲方进度安排。</w:t>
      </w:r>
    </w:p>
    <w:p w14:paraId="612E8F12">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2</w:t>
      </w:r>
      <w:r>
        <w:rPr>
          <w:rFonts w:hint="eastAsia" w:ascii="宋体" w:hAnsi="宋体" w:cs="宋体"/>
          <w:color w:val="auto"/>
          <w:highlight w:val="none"/>
        </w:rPr>
        <w:t>、依据规范要求，负责组织工程验收及检测，验收及检测费由乙方自理。</w:t>
      </w:r>
    </w:p>
    <w:p w14:paraId="4783762E">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3</w:t>
      </w:r>
      <w:r>
        <w:rPr>
          <w:rFonts w:hint="eastAsia" w:ascii="宋体" w:hAnsi="宋体" w:cs="宋体"/>
          <w:color w:val="auto"/>
          <w:highlight w:val="none"/>
        </w:rPr>
        <w:t>、根据施工验收规范及甲方要求，及时向甲方和总承包单位提供该分项技术资料。</w:t>
      </w:r>
    </w:p>
    <w:p w14:paraId="45653C2A">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4</w:t>
      </w:r>
      <w:r>
        <w:rPr>
          <w:rFonts w:hint="eastAsia" w:ascii="宋体" w:hAnsi="宋体" w:cs="宋体"/>
          <w:color w:val="auto"/>
          <w:highlight w:val="none"/>
        </w:rPr>
        <w:t>、保险：</w:t>
      </w:r>
    </w:p>
    <w:p w14:paraId="224908D7">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4</w:t>
      </w:r>
      <w:r>
        <w:rPr>
          <w:rFonts w:hint="eastAsia" w:ascii="宋体" w:hAnsi="宋体" w:cs="宋体"/>
          <w:color w:val="auto"/>
          <w:highlight w:val="none"/>
        </w:rPr>
        <w:t>.1、工程本身及工程材料、设备、乙方自有人员和施工机械设备的保险由乙方负责并承担保险费用。</w:t>
      </w:r>
    </w:p>
    <w:p w14:paraId="5B0737DB">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4</w:t>
      </w:r>
      <w:r>
        <w:rPr>
          <w:rFonts w:hint="eastAsia" w:ascii="宋体" w:hAnsi="宋体" w:cs="宋体"/>
          <w:color w:val="auto"/>
          <w:highlight w:val="none"/>
        </w:rPr>
        <w:t>.2、乙方须办理本工程的其他必要的保险，并保证甲方不因此承担责任。</w:t>
      </w:r>
    </w:p>
    <w:p w14:paraId="55AE7E11">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4</w:t>
      </w:r>
      <w:r>
        <w:rPr>
          <w:rFonts w:hint="eastAsia" w:ascii="宋体" w:hAnsi="宋体" w:cs="宋体"/>
          <w:color w:val="auto"/>
          <w:highlight w:val="none"/>
        </w:rPr>
        <w:t>.3、保险事故发生时，乙方应尽力采取必要的措施，防止或者减少损失。</w:t>
      </w:r>
    </w:p>
    <w:p w14:paraId="75389086">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5</w:t>
      </w:r>
      <w:r>
        <w:rPr>
          <w:rFonts w:ascii="宋体" w:hAnsi="宋体" w:cs="宋体"/>
          <w:color w:val="auto"/>
          <w:highlight w:val="none"/>
        </w:rPr>
        <w:t>、其余未尽事宜详见甲方项目工程管理制度</w:t>
      </w:r>
      <w:r>
        <w:rPr>
          <w:rFonts w:hint="eastAsia" w:ascii="宋体" w:hAnsi="宋体" w:cs="宋体"/>
          <w:color w:val="auto"/>
          <w:highlight w:val="none"/>
        </w:rPr>
        <w:t>。</w:t>
      </w:r>
    </w:p>
    <w:p w14:paraId="482F89C3">
      <w:pPr>
        <w:pStyle w:val="17"/>
        <w:numPr>
          <w:ilvl w:val="255"/>
          <w:numId w:val="0"/>
        </w:numPr>
        <w:tabs>
          <w:tab w:val="left" w:pos="0"/>
        </w:tabs>
        <w:kinsoku w:val="0"/>
        <w:wordWrap w:val="0"/>
        <w:topLinePunct/>
        <w:autoSpaceDE w:val="0"/>
        <w:rPr>
          <w:rFonts w:ascii="宋体" w:hAnsi="宋体" w:cs="宋体"/>
          <w:color w:val="auto"/>
          <w:sz w:val="24"/>
          <w:szCs w:val="24"/>
          <w:highlight w:val="none"/>
        </w:rPr>
      </w:pP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rPr>
        <w:t>、违约责任</w:t>
      </w:r>
    </w:p>
    <w:p w14:paraId="1B40E71B">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1、除不可抗力外，甲乙双方应严格遵守本合同的条款，否则，违约方须承担违约责任。</w:t>
      </w:r>
    </w:p>
    <w:p w14:paraId="6D620A84">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2、若乙方未能按本合同约定工期供</w:t>
      </w:r>
      <w:r>
        <w:rPr>
          <w:rFonts w:hint="eastAsia" w:ascii="宋体" w:hAnsi="宋体" w:cs="宋体"/>
          <w:color w:val="auto"/>
          <w:highlight w:val="none"/>
          <w:lang w:val="en-US" w:eastAsia="zh-CN"/>
        </w:rPr>
        <w:t>货及安装</w:t>
      </w:r>
      <w:r>
        <w:rPr>
          <w:rFonts w:hint="eastAsia" w:ascii="宋体" w:hAnsi="宋体" w:cs="宋体"/>
          <w:color w:val="auto"/>
          <w:highlight w:val="none"/>
        </w:rPr>
        <w:t>完成，视为乙方违约，如因乙方自身原因导致工期逾期，每逾期一天乙方向甲方支付人民币500元作为违约金</w:t>
      </w:r>
      <w:r>
        <w:rPr>
          <w:rFonts w:hint="eastAsia" w:ascii="宋体" w:hAnsi="宋体" w:cs="宋体"/>
          <w:color w:val="auto"/>
          <w:highlight w:val="none"/>
          <w:lang w:eastAsia="zh-CN"/>
        </w:rPr>
        <w:t>，</w:t>
      </w:r>
      <w:r>
        <w:rPr>
          <w:rFonts w:hint="eastAsia" w:ascii="宋体" w:hAnsi="宋体" w:eastAsia="宋体" w:cs="宋体"/>
          <w:color w:val="auto"/>
          <w:highlight w:val="none"/>
        </w:rPr>
        <w:t>同时因施工逾期引起的相关损失由乙方承担</w:t>
      </w:r>
      <w:r>
        <w:rPr>
          <w:rFonts w:hint="eastAsia" w:ascii="宋体" w:hAnsi="宋体" w:cs="宋体"/>
          <w:color w:val="auto"/>
          <w:highlight w:val="none"/>
        </w:rPr>
        <w:t>。</w:t>
      </w:r>
    </w:p>
    <w:p w14:paraId="3A7982AE">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乙方所提供的产品，未能达到合同约定的品牌、规格、型号、数量及相关质量、技术标准的，或不符合甲方要求的，视为乙方违约，甲方有权拒收产品，直到乙方整改到甲方要求为止。如最终仍未达到要求，该项产品金额在结算中予以扣除，同时乙方需支付1000元/次的违约金。因此导致工期延误的，乙方承担对应违约责任。</w:t>
      </w:r>
    </w:p>
    <w:p w14:paraId="06BA3FAD">
      <w:pPr>
        <w:pStyle w:val="17"/>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合同约定应由乙方完成的工作内容(包括但不限于：承包范围内图纸会审纪要、设计变更、现场签证等)，如乙方拒绝施工或不能按合同要求的工期或质量标准完成施工，经甲方催告后仍不采取措施或采取的措施仍不符合合同约定的，甲方可安排第三方实施，并按照另行委托造价的1.3倍从乙方下一次的付款节点中扣除，且影响工期的责任由乙方负责</w:t>
      </w:r>
      <w:r>
        <w:rPr>
          <w:rFonts w:hint="eastAsia" w:ascii="宋体" w:hAnsi="宋体" w:cs="宋体"/>
          <w:color w:val="auto"/>
          <w:kern w:val="0"/>
          <w:sz w:val="24"/>
          <w:szCs w:val="24"/>
          <w:highlight w:val="none"/>
        </w:rPr>
        <w:t>。</w:t>
      </w:r>
    </w:p>
    <w:p w14:paraId="456DD8F6">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、乙方违约导致甲方解除合同的，乙方所有人员必须在3日内撤离施工现场，甲方已支付的预付款（如有）需在3日内退还至甲方，由此造成的所有损失均由乙方负责。</w:t>
      </w:r>
    </w:p>
    <w:p w14:paraId="25BFA8C7">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、乙方应向甲方支付的违约金等，甲方有权直接在甲方应付未付款中扣除，违约金不足以弥补甲方损失的，甲方可继续向乙方追偿。</w:t>
      </w:r>
    </w:p>
    <w:p w14:paraId="517380B6">
      <w:pPr>
        <w:pStyle w:val="17"/>
        <w:ind w:firstLine="480" w:firstLineChars="200"/>
        <w:rPr>
          <w:rFonts w:hint="eastAsia" w:ascii="宋体" w:hAnsi="宋体" w:cs="宋体"/>
          <w:color w:val="auto"/>
          <w:kern w:val="2"/>
          <w:sz w:val="24"/>
          <w:szCs w:val="22"/>
          <w:highlight w:val="none"/>
          <w:lang w:val="en-US" w:eastAsia="zh-CN"/>
        </w:rPr>
      </w:pPr>
      <w:r>
        <w:rPr>
          <w:rFonts w:hint="eastAsia" w:ascii="宋体" w:hAnsi="宋体" w:cs="宋体"/>
          <w:color w:val="auto"/>
          <w:kern w:val="2"/>
          <w:sz w:val="24"/>
          <w:szCs w:val="22"/>
          <w:highlight w:val="none"/>
          <w:lang w:val="en-US" w:eastAsia="zh-CN"/>
        </w:rPr>
        <w:t>7、合同签订后乙方不得擅自解除本合同，否则乙方按合同总价款20%向甲方承担违约金。</w:t>
      </w:r>
    </w:p>
    <w:p w14:paraId="3CB66807">
      <w:pPr>
        <w:pStyle w:val="17"/>
        <w:kinsoku w:val="0"/>
        <w:wordWrap w:val="0"/>
        <w:topLinePunct/>
        <w:autoSpaceDE w:val="0"/>
        <w:rPr>
          <w:rFonts w:ascii="宋体" w:hAnsi="宋体" w:cs="宋体"/>
          <w:b/>
          <w:bCs/>
          <w:color w:val="auto"/>
          <w:sz w:val="24"/>
          <w:szCs w:val="24"/>
          <w:highlight w:val="none"/>
        </w:rPr>
      </w:pP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rPr>
        <w:t>、不可抗力</w:t>
      </w:r>
    </w:p>
    <w:p w14:paraId="428612F8">
      <w:pPr>
        <w:pStyle w:val="17"/>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1、不可抗力指因战争、动乱、瘟疫、空中飞行物坠落或其他非双方责任造成的爆炸、火灾以及9级以上的台风、7级及7级以上的地震等。（以当地行业主管部门的公告为准 ）。</w:t>
      </w:r>
    </w:p>
    <w:p w14:paraId="32CB0E43">
      <w:pPr>
        <w:pStyle w:val="17"/>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65652A6A">
      <w:pPr>
        <w:pStyle w:val="17"/>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3、费用承担：</w:t>
      </w:r>
    </w:p>
    <w:p w14:paraId="57F96275">
      <w:pPr>
        <w:pStyle w:val="17"/>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3.1、人员伤亡由所属单位负责，并承担相应费用；</w:t>
      </w:r>
    </w:p>
    <w:p w14:paraId="0E1EC69B">
      <w:pPr>
        <w:pStyle w:val="17"/>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3.2、造成乙方工程设备、机械的损失等损失由乙方承担；</w:t>
      </w:r>
    </w:p>
    <w:p w14:paraId="26E37D38">
      <w:pPr>
        <w:pStyle w:val="17"/>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3.3、所需清理修复工作的责任与费用的承担，双方另行商定。</w:t>
      </w:r>
    </w:p>
    <w:p w14:paraId="56416A7A">
      <w:pPr>
        <w:pStyle w:val="17"/>
        <w:numPr>
          <w:ilvl w:val="255"/>
          <w:numId w:val="0"/>
        </w:numPr>
        <w:kinsoku w:val="0"/>
        <w:wordWrap w:val="0"/>
        <w:topLinePunct/>
        <w:autoSpaceDE w:val="0"/>
        <w:spacing w:line="46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八</w:t>
      </w:r>
      <w:r>
        <w:rPr>
          <w:rFonts w:hint="eastAsia" w:ascii="宋体" w:hAnsi="宋体" w:cs="宋体"/>
          <w:b/>
          <w:bCs/>
          <w:color w:val="auto"/>
          <w:sz w:val="24"/>
          <w:szCs w:val="24"/>
          <w:highlight w:val="none"/>
        </w:rPr>
        <w:t>、送达条款</w:t>
      </w:r>
    </w:p>
    <w:p w14:paraId="291EA257">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甲乙双方明确送达信息如下：</w:t>
      </w:r>
    </w:p>
    <w:p w14:paraId="332AC033">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1、甲方确认的送达信息为：</w:t>
      </w:r>
    </w:p>
    <w:p w14:paraId="44245D60">
      <w:pPr>
        <w:tabs>
          <w:tab w:val="left" w:pos="1276"/>
        </w:tabs>
        <w:kinsoku w:val="0"/>
        <w:wordWrap w:val="0"/>
        <w:topLinePunct/>
        <w:autoSpaceDE w:val="0"/>
        <w:spacing w:line="360" w:lineRule="auto"/>
        <w:ind w:firstLine="480" w:firstLineChars="200"/>
        <w:rPr>
          <w:rFonts w:hint="eastAsia" w:ascii="宋体"/>
          <w:color w:val="auto"/>
          <w:szCs w:val="24"/>
          <w:highlight w:val="none"/>
        </w:rPr>
      </w:pPr>
      <w:r>
        <w:rPr>
          <w:rFonts w:hint="eastAsia" w:ascii="宋体"/>
          <w:color w:val="auto"/>
          <w:szCs w:val="24"/>
          <w:highlight w:val="none"/>
        </w:rPr>
        <w:t>送达地址：</w:t>
      </w:r>
      <w:r>
        <w:rPr>
          <w:rFonts w:hint="eastAsia" w:ascii="宋体"/>
          <w:color w:val="auto"/>
          <w:szCs w:val="24"/>
          <w:highlight w:val="none"/>
          <w:u w:val="single"/>
        </w:rPr>
        <w:t>洛阳市洛龙区关林西路8号中浩德控股集团有限公司1楼</w:t>
      </w:r>
      <w:r>
        <w:rPr>
          <w:rFonts w:hint="eastAsia" w:ascii="宋体"/>
          <w:color w:val="auto"/>
          <w:szCs w:val="24"/>
          <w:highlight w:val="none"/>
        </w:rPr>
        <w:t>。                联系人：</w:t>
      </w:r>
      <w:r>
        <w:rPr>
          <w:rFonts w:hint="eastAsia" w:ascii="宋体"/>
          <w:color w:val="auto"/>
          <w:szCs w:val="24"/>
          <w:highlight w:val="none"/>
          <w:u w:val="single"/>
          <w:lang w:eastAsia="zh-CN"/>
        </w:rPr>
        <w:t>成本招采部</w:t>
      </w:r>
      <w:r>
        <w:rPr>
          <w:rFonts w:hint="eastAsia" w:ascii="宋体"/>
          <w:color w:val="auto"/>
          <w:szCs w:val="24"/>
          <w:highlight w:val="none"/>
        </w:rPr>
        <w:t>；联系</w:t>
      </w:r>
      <w:r>
        <w:rPr>
          <w:rFonts w:hint="eastAsia" w:ascii="宋体"/>
          <w:color w:val="auto"/>
          <w:szCs w:val="24"/>
          <w:highlight w:val="none"/>
          <w:lang w:eastAsia="zh-CN"/>
        </w:rPr>
        <w:t>电</w:t>
      </w:r>
      <w:r>
        <w:rPr>
          <w:rFonts w:hint="eastAsia" w:ascii="宋体"/>
          <w:color w:val="auto"/>
          <w:szCs w:val="24"/>
          <w:highlight w:val="none"/>
        </w:rPr>
        <w:t>话：</w:t>
      </w:r>
      <w:r>
        <w:rPr>
          <w:rFonts w:hint="eastAsia" w:ascii="宋体"/>
          <w:color w:val="auto"/>
          <w:szCs w:val="24"/>
          <w:highlight w:val="none"/>
          <w:u w:val="single"/>
        </w:rPr>
        <w:t>0379-60667770</w:t>
      </w:r>
      <w:r>
        <w:rPr>
          <w:rFonts w:hint="eastAsia" w:ascii="宋体"/>
          <w:color w:val="auto"/>
          <w:szCs w:val="24"/>
          <w:highlight w:val="none"/>
        </w:rPr>
        <w:t>；联系手机 ：</w:t>
      </w:r>
      <w:r>
        <w:rPr>
          <w:rFonts w:hint="eastAsia" w:ascii="宋体"/>
          <w:color w:val="auto"/>
          <w:szCs w:val="24"/>
          <w:highlight w:val="none"/>
          <w:u w:val="single"/>
        </w:rPr>
        <w:t xml:space="preserve">   /   </w:t>
      </w:r>
      <w:r>
        <w:rPr>
          <w:rFonts w:hint="eastAsia" w:ascii="宋体"/>
          <w:color w:val="auto"/>
          <w:szCs w:val="24"/>
          <w:highlight w:val="none"/>
        </w:rPr>
        <w:t xml:space="preserve">。      </w:t>
      </w:r>
    </w:p>
    <w:p w14:paraId="04DE1547">
      <w:pPr>
        <w:tabs>
          <w:tab w:val="left" w:pos="1276"/>
        </w:tabs>
        <w:kinsoku w:val="0"/>
        <w:wordWrap w:val="0"/>
        <w:topLinePunct/>
        <w:autoSpaceDE w:val="0"/>
        <w:spacing w:line="360" w:lineRule="auto"/>
        <w:ind w:firstLine="480" w:firstLineChars="200"/>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、乙方确认的送达信息为：</w:t>
      </w:r>
    </w:p>
    <w:p w14:paraId="59FCF8EE">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送达地址：</w:t>
      </w:r>
      <w:r>
        <w:rPr>
          <w:rFonts w:hint="eastAsia" w:ascii="宋体"/>
          <w:color w:val="auto"/>
          <w:szCs w:val="24"/>
          <w:highlight w:val="none"/>
          <w:u w:val="single"/>
          <w:lang w:val="en-US" w:eastAsia="zh-CN"/>
        </w:rPr>
        <w:t xml:space="preserve"> 郑州市经开区航海东路一大街智库大厦701室 </w:t>
      </w:r>
      <w:r>
        <w:rPr>
          <w:rFonts w:hint="eastAsia" w:ascii="宋体"/>
          <w:color w:val="auto"/>
          <w:szCs w:val="24"/>
          <w:highlight w:val="none"/>
        </w:rPr>
        <w:t>。</w:t>
      </w:r>
    </w:p>
    <w:p w14:paraId="130713AA">
      <w:pPr>
        <w:pStyle w:val="17"/>
        <w:kinsoku w:val="0"/>
        <w:wordWrap w:val="0"/>
        <w:topLinePunct/>
        <w:autoSpaceDE w:val="0"/>
        <w:ind w:left="480" w:leftChars="200"/>
        <w:rPr>
          <w:rFonts w:ascii="宋体"/>
          <w:color w:val="auto"/>
          <w:sz w:val="24"/>
          <w:szCs w:val="24"/>
          <w:highlight w:val="none"/>
        </w:rPr>
      </w:pPr>
      <w:r>
        <w:rPr>
          <w:rFonts w:hint="eastAsia" w:ascii="宋体"/>
          <w:color w:val="auto"/>
          <w:sz w:val="24"/>
          <w:szCs w:val="24"/>
          <w:highlight w:val="none"/>
        </w:rPr>
        <w:t>联系人：</w:t>
      </w:r>
      <w:r>
        <w:rPr>
          <w:rFonts w:hint="eastAsia" w:ascii="宋体"/>
          <w:color w:val="auto"/>
          <w:sz w:val="24"/>
          <w:szCs w:val="24"/>
          <w:highlight w:val="none"/>
          <w:u w:val="single"/>
          <w:lang w:val="en-US" w:eastAsia="zh-CN"/>
        </w:rPr>
        <w:t xml:space="preserve"> 马亚星 </w:t>
      </w:r>
      <w:r>
        <w:rPr>
          <w:rFonts w:hint="eastAsia" w:ascii="宋体"/>
          <w:color w:val="auto"/>
          <w:sz w:val="24"/>
          <w:szCs w:val="24"/>
          <w:highlight w:val="none"/>
          <w:u w:val="none"/>
          <w:lang w:val="en-US" w:eastAsia="zh-CN"/>
        </w:rPr>
        <w:t>；</w:t>
      </w:r>
      <w:r>
        <w:rPr>
          <w:rFonts w:hint="eastAsia" w:ascii="宋体"/>
          <w:color w:val="auto"/>
          <w:sz w:val="24"/>
          <w:szCs w:val="24"/>
          <w:highlight w:val="none"/>
        </w:rPr>
        <w:t>联系</w:t>
      </w:r>
      <w:r>
        <w:rPr>
          <w:rFonts w:hint="eastAsia" w:ascii="宋体"/>
          <w:color w:val="auto"/>
          <w:sz w:val="24"/>
          <w:szCs w:val="24"/>
          <w:highlight w:val="none"/>
          <w:lang w:eastAsia="zh-CN"/>
        </w:rPr>
        <w:t>电</w:t>
      </w:r>
      <w:r>
        <w:rPr>
          <w:rFonts w:hint="eastAsia" w:ascii="宋体"/>
          <w:color w:val="auto"/>
          <w:sz w:val="24"/>
          <w:szCs w:val="24"/>
          <w:highlight w:val="none"/>
        </w:rPr>
        <w:t>话：</w:t>
      </w:r>
      <w:r>
        <w:rPr>
          <w:rFonts w:hint="eastAsia" w:ascii="宋体"/>
          <w:color w:val="auto"/>
          <w:kern w:val="2"/>
          <w:sz w:val="24"/>
          <w:szCs w:val="24"/>
          <w:highlight w:val="none"/>
          <w:u w:val="single"/>
        </w:rPr>
        <w:t xml:space="preserve"> </w:t>
      </w:r>
      <w:r>
        <w:rPr>
          <w:rFonts w:hint="eastAsia" w:ascii="宋体"/>
          <w:color w:val="auto"/>
          <w:kern w:val="2"/>
          <w:sz w:val="24"/>
          <w:szCs w:val="24"/>
          <w:highlight w:val="none"/>
          <w:u w:val="single"/>
          <w:lang w:val="en-US" w:eastAsia="zh-CN"/>
        </w:rPr>
        <w:t xml:space="preserve">   /    </w:t>
      </w:r>
      <w:r>
        <w:rPr>
          <w:rFonts w:hint="eastAsia" w:ascii="宋体"/>
          <w:color w:val="auto"/>
          <w:sz w:val="24"/>
          <w:szCs w:val="24"/>
          <w:highlight w:val="none"/>
        </w:rPr>
        <w:t>；联系手机 ：</w:t>
      </w:r>
      <w:r>
        <w:rPr>
          <w:rFonts w:hint="eastAsia" w:ascii="宋体"/>
          <w:color w:val="auto"/>
          <w:sz w:val="24"/>
          <w:szCs w:val="24"/>
          <w:highlight w:val="none"/>
          <w:u w:val="single"/>
          <w:lang w:val="en-US" w:eastAsia="zh-CN"/>
        </w:rPr>
        <w:t xml:space="preserve"> 15981889924 </w:t>
      </w:r>
      <w:r>
        <w:rPr>
          <w:rFonts w:hint="eastAsia" w:ascii="宋体"/>
          <w:color w:val="auto"/>
          <w:sz w:val="24"/>
          <w:szCs w:val="24"/>
          <w:highlight w:val="none"/>
        </w:rPr>
        <w:t xml:space="preserve">。  </w:t>
      </w:r>
    </w:p>
    <w:p w14:paraId="5772AD57">
      <w:pPr>
        <w:spacing w:line="360" w:lineRule="auto"/>
        <w:ind w:firstLine="468" w:firstLineChars="195"/>
        <w:rPr>
          <w:rFonts w:ascii="宋体"/>
          <w:color w:val="auto"/>
          <w:szCs w:val="24"/>
          <w:highlight w:val="none"/>
        </w:rPr>
      </w:pPr>
      <w:r>
        <w:rPr>
          <w:rFonts w:hint="eastAsia" w:ascii="宋体"/>
          <w:color w:val="auto"/>
          <w:szCs w:val="24"/>
          <w:highlight w:val="none"/>
        </w:rPr>
        <w:t>3、双方在此共同确认，上述送达信息将作为双方在合同项下邮寄往来通知、函件等任何文件资料</w:t>
      </w:r>
      <w:r>
        <w:rPr>
          <w:rFonts w:hint="eastAsia" w:ascii="宋体"/>
          <w:color w:val="auto"/>
          <w:szCs w:val="24"/>
          <w:highlight w:val="none"/>
          <w:lang w:val="en-US" w:eastAsia="zh-CN"/>
        </w:rPr>
        <w:t>及法院送达法律文书</w:t>
      </w:r>
      <w:r>
        <w:rPr>
          <w:rFonts w:hint="eastAsia" w:ascii="宋体"/>
          <w:color w:val="auto"/>
          <w:szCs w:val="24"/>
          <w:highlight w:val="none"/>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15B614D8">
      <w:pPr>
        <w:pStyle w:val="17"/>
        <w:numPr>
          <w:ilvl w:val="255"/>
          <w:numId w:val="0"/>
        </w:numPr>
        <w:kinsoku w:val="0"/>
        <w:wordWrap w:val="0"/>
        <w:topLinePunct/>
        <w:autoSpaceDE w:val="0"/>
        <w:spacing w:line="460" w:lineRule="exact"/>
        <w:rPr>
          <w:rFonts w:ascii="宋体" w:hAnsi="宋体" w:cs="宋体"/>
          <w:b/>
          <w:bCs/>
          <w:color w:val="auto"/>
          <w:szCs w:val="24"/>
          <w:highlight w:val="none"/>
        </w:rPr>
      </w:pP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eastAsia="zh-CN"/>
        </w:rPr>
        <w:t>八</w:t>
      </w:r>
      <w:r>
        <w:rPr>
          <w:rFonts w:hint="eastAsia" w:ascii="宋体" w:hAnsi="宋体" w:cs="宋体"/>
          <w:b/>
          <w:bCs/>
          <w:color w:val="auto"/>
          <w:sz w:val="24"/>
          <w:szCs w:val="24"/>
          <w:highlight w:val="none"/>
        </w:rPr>
        <w:t>、合同解约条款</w:t>
      </w:r>
    </w:p>
    <w:p w14:paraId="61AB8844">
      <w:p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、乙方存在如下任一情况的，甲方有权要求乙方按照合同总价的</w:t>
      </w:r>
      <w:r>
        <w:rPr>
          <w:rFonts w:hint="eastAsia" w:ascii="宋体" w:hAnsi="宋体" w:cs="宋体"/>
          <w:color w:val="auto"/>
          <w:highlight w:val="none"/>
          <w:lang w:val="en-US" w:eastAsia="zh-CN"/>
        </w:rPr>
        <w:t>2</w:t>
      </w:r>
      <w:r>
        <w:rPr>
          <w:rFonts w:hint="eastAsia" w:ascii="宋体" w:hAnsi="宋体" w:cs="宋体"/>
          <w:color w:val="auto"/>
          <w:highlight w:val="none"/>
        </w:rPr>
        <w:t>0%支付违约金，且有权解除本合同，解除通知到达乙方之日生效，该违约金不足以弥补甲方损失，乙方还应继续承担赔偿责任。</w:t>
      </w:r>
    </w:p>
    <w:p w14:paraId="2071A3D9">
      <w:p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1.1</w:t>
      </w:r>
      <w:r>
        <w:rPr>
          <w:rFonts w:hint="eastAsia" w:ascii="宋体" w:hAnsi="宋体" w:cs="宋体"/>
          <w:color w:val="auto"/>
          <w:highlight w:val="none"/>
        </w:rPr>
        <w:t>、本工程不能通过验收（含质监站、人防</w:t>
      </w:r>
      <w:r>
        <w:rPr>
          <w:rFonts w:hint="eastAsia" w:ascii="宋体" w:hAnsi="宋体" w:cs="宋体"/>
          <w:color w:val="auto"/>
          <w:highlight w:val="none"/>
          <w:lang w:eastAsia="zh-CN"/>
        </w:rPr>
        <w:t>办</w:t>
      </w:r>
      <w:r>
        <w:rPr>
          <w:rFonts w:hint="eastAsia" w:ascii="宋体" w:hAnsi="宋体" w:cs="宋体"/>
          <w:color w:val="auto"/>
          <w:highlight w:val="none"/>
        </w:rPr>
        <w:t>）的；</w:t>
      </w:r>
    </w:p>
    <w:p w14:paraId="554913BB">
      <w:p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1.2</w:t>
      </w:r>
      <w:r>
        <w:rPr>
          <w:rFonts w:hint="eastAsia" w:ascii="宋体" w:hAnsi="宋体" w:cs="宋体"/>
          <w:color w:val="auto"/>
          <w:highlight w:val="none"/>
        </w:rPr>
        <w:t>、乙方未能按时供货/</w:t>
      </w:r>
      <w:r>
        <w:rPr>
          <w:rFonts w:hint="eastAsia" w:ascii="宋体" w:hAnsi="宋体" w:cs="宋体"/>
          <w:color w:val="auto"/>
          <w:highlight w:val="none"/>
          <w:lang w:eastAsia="zh-CN"/>
        </w:rPr>
        <w:t>进场施工</w:t>
      </w:r>
      <w:r>
        <w:rPr>
          <w:rFonts w:hint="eastAsia" w:ascii="宋体" w:hAnsi="宋体" w:cs="宋体"/>
          <w:color w:val="auto"/>
          <w:highlight w:val="none"/>
        </w:rPr>
        <w:t>的，在甲方发出书面通知后的</w:t>
      </w:r>
      <w:r>
        <w:rPr>
          <w:rFonts w:hint="eastAsia" w:ascii="宋体" w:hAnsi="宋体" w:cs="宋体"/>
          <w:color w:val="auto"/>
          <w:highlight w:val="none"/>
          <w:lang w:val="en-US" w:eastAsia="zh-CN"/>
        </w:rPr>
        <w:t>5</w:t>
      </w:r>
      <w:r>
        <w:rPr>
          <w:rFonts w:hint="eastAsia" w:ascii="宋体" w:hAnsi="宋体" w:cs="宋体"/>
          <w:color w:val="auto"/>
          <w:highlight w:val="none"/>
        </w:rPr>
        <w:t>日内仍未供货/</w:t>
      </w:r>
      <w:r>
        <w:rPr>
          <w:rFonts w:hint="eastAsia" w:ascii="宋体" w:hAnsi="宋体" w:cs="宋体"/>
          <w:color w:val="auto"/>
          <w:highlight w:val="none"/>
          <w:lang w:eastAsia="zh-CN"/>
        </w:rPr>
        <w:t>进场施工</w:t>
      </w:r>
      <w:r>
        <w:rPr>
          <w:rFonts w:hint="eastAsia" w:ascii="宋体" w:hAnsi="宋体" w:cs="宋体"/>
          <w:color w:val="auto"/>
          <w:highlight w:val="none"/>
        </w:rPr>
        <w:t>的；</w:t>
      </w:r>
    </w:p>
    <w:p w14:paraId="2D17EC8E">
      <w:p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lang w:val="en-US" w:eastAsia="zh-CN"/>
        </w:rPr>
        <w:t>3</w:t>
      </w:r>
      <w:r>
        <w:rPr>
          <w:rFonts w:hint="eastAsia" w:ascii="宋体" w:hAnsi="宋体" w:cs="宋体"/>
          <w:color w:val="auto"/>
          <w:highlight w:val="none"/>
        </w:rPr>
        <w:t>、乙方人员在施工区内出现打架斗殴行为</w:t>
      </w:r>
      <w:r>
        <w:rPr>
          <w:rFonts w:hint="eastAsia" w:ascii="宋体" w:hAnsi="宋体" w:cs="宋体"/>
          <w:color w:val="auto"/>
          <w:highlight w:val="none"/>
          <w:lang w:eastAsia="zh-CN"/>
        </w:rPr>
        <w:t>导致</w:t>
      </w:r>
      <w:r>
        <w:rPr>
          <w:rFonts w:hint="eastAsia" w:ascii="宋体" w:hAnsi="宋体" w:cs="宋体"/>
          <w:color w:val="auto"/>
          <w:highlight w:val="none"/>
        </w:rPr>
        <w:t>警察出警、立案、相关行为人</w:t>
      </w:r>
      <w:r>
        <w:rPr>
          <w:rFonts w:hint="eastAsia" w:ascii="宋体" w:hAnsi="宋体" w:cs="宋体"/>
          <w:color w:val="auto"/>
          <w:highlight w:val="none"/>
          <w:lang w:eastAsia="zh-CN"/>
        </w:rPr>
        <w:t>受到</w:t>
      </w:r>
      <w:r>
        <w:rPr>
          <w:rFonts w:hint="eastAsia" w:ascii="宋体" w:hAnsi="宋体" w:cs="宋体"/>
          <w:color w:val="auto"/>
          <w:highlight w:val="none"/>
        </w:rPr>
        <w:t>行政处罚或刑事处罚的，且乙方未妥善处理的；</w:t>
      </w:r>
    </w:p>
    <w:p w14:paraId="278C2915">
      <w:p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lang w:val="en-US" w:eastAsia="zh-CN"/>
        </w:rPr>
        <w:t>4</w:t>
      </w:r>
      <w:r>
        <w:rPr>
          <w:rFonts w:hint="eastAsia" w:ascii="宋体" w:hAnsi="宋体" w:cs="宋体"/>
          <w:color w:val="auto"/>
          <w:highlight w:val="none"/>
        </w:rPr>
        <w:t>、乙方擅自把工程分包或转包给其他任何单位的；</w:t>
      </w:r>
    </w:p>
    <w:p w14:paraId="0DD739FC">
      <w:pPr>
        <w:tabs>
          <w:tab w:val="left" w:pos="900"/>
        </w:tabs>
        <w:spacing w:line="360" w:lineRule="auto"/>
        <w:ind w:firstLine="480" w:firstLineChars="200"/>
        <w:rPr>
          <w:rFonts w:hint="eastAsia"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lang w:val="en-US" w:eastAsia="zh-CN"/>
        </w:rPr>
        <w:t>5</w:t>
      </w:r>
      <w:r>
        <w:rPr>
          <w:rFonts w:hint="eastAsia" w:ascii="宋体" w:hAnsi="宋体" w:cs="宋体"/>
          <w:color w:val="auto"/>
          <w:highlight w:val="none"/>
        </w:rPr>
        <w:t>、乙方与甲方工作人员串通、虚构事实或使用其他方式虚报工程量的；</w:t>
      </w:r>
    </w:p>
    <w:p w14:paraId="35C4C382">
      <w:pPr>
        <w:tabs>
          <w:tab w:val="left" w:pos="900"/>
        </w:tabs>
        <w:spacing w:line="360" w:lineRule="auto"/>
        <w:ind w:firstLine="480" w:firstLineChars="200"/>
        <w:rPr>
          <w:rFonts w:hint="eastAsia" w:ascii="宋体" w:hAnsi="宋体" w:cs="宋体"/>
          <w:color w:val="auto"/>
          <w:szCs w:val="24"/>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6</w:t>
      </w:r>
      <w:r>
        <w:rPr>
          <w:rFonts w:hint="eastAsia" w:ascii="宋体" w:hAnsi="宋体" w:cs="宋体"/>
          <w:color w:val="auto"/>
          <w:highlight w:val="none"/>
        </w:rPr>
        <w:t>、</w:t>
      </w:r>
      <w:r>
        <w:rPr>
          <w:rFonts w:hint="eastAsia" w:ascii="宋体" w:hAnsi="宋体" w:cs="宋体"/>
          <w:color w:val="auto"/>
          <w:szCs w:val="24"/>
          <w:highlight w:val="none"/>
        </w:rPr>
        <w:t>甲方或监理方对同一施工问题连续下发三次整改通知书后乙方无作为或整改问题未在整改通知书要求的期限内解决；</w:t>
      </w:r>
    </w:p>
    <w:p w14:paraId="0A083E27">
      <w:pPr>
        <w:tabs>
          <w:tab w:val="left" w:pos="900"/>
        </w:tabs>
        <w:spacing w:line="360" w:lineRule="auto"/>
        <w:ind w:firstLine="480" w:firstLineChars="200"/>
        <w:rPr>
          <w:rFonts w:ascii="宋体" w:hAnsi="宋体" w:cs="宋体"/>
          <w:color w:val="auto"/>
          <w:szCs w:val="24"/>
          <w:highlight w:val="none"/>
        </w:rPr>
      </w:pPr>
      <w:r>
        <w:rPr>
          <w:rFonts w:ascii="宋体" w:hAnsi="宋体" w:cs="宋体"/>
          <w:color w:val="auto"/>
          <w:szCs w:val="24"/>
          <w:highlight w:val="none"/>
        </w:rPr>
        <w:t>1.</w:t>
      </w: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w:t>
      </w:r>
      <w:r>
        <w:rPr>
          <w:rFonts w:hint="eastAsia" w:ascii="宋体" w:hAnsi="宋体" w:eastAsia="宋体" w:cs="宋体"/>
          <w:color w:val="auto"/>
          <w:szCs w:val="24"/>
          <w:highlight w:val="none"/>
        </w:rPr>
        <w:t>乙方购置不符合合同约定材质、工艺、规格、型号等标准的产品或者假冒伪劣产品用于本工程</w:t>
      </w:r>
      <w:r>
        <w:rPr>
          <w:rFonts w:hint="eastAsia" w:ascii="宋体" w:hAnsi="宋体" w:cs="宋体"/>
          <w:color w:val="auto"/>
          <w:szCs w:val="24"/>
          <w:highlight w:val="none"/>
        </w:rPr>
        <w:t>；</w:t>
      </w:r>
    </w:p>
    <w:p w14:paraId="6DB23552">
      <w:pPr>
        <w:tabs>
          <w:tab w:val="left" w:pos="900"/>
        </w:tabs>
        <w:spacing w:line="360" w:lineRule="auto"/>
        <w:ind w:firstLine="480" w:firstLineChars="200"/>
        <w:rPr>
          <w:rFonts w:ascii="宋体" w:hAnsi="宋体" w:cs="宋体"/>
          <w:color w:val="auto"/>
          <w:highlight w:val="none"/>
        </w:rPr>
      </w:pPr>
      <w:r>
        <w:rPr>
          <w:rFonts w:ascii="宋体" w:hAnsi="宋体" w:cs="宋体"/>
          <w:color w:val="auto"/>
          <w:szCs w:val="24"/>
          <w:highlight w:val="none"/>
        </w:rPr>
        <w:t>1.</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rPr>
        <w:t>、</w:t>
      </w:r>
      <w:r>
        <w:rPr>
          <w:rFonts w:hint="eastAsia" w:ascii="宋体" w:hAnsi="宋体" w:cs="宋体"/>
          <w:color w:val="auto"/>
          <w:highlight w:val="none"/>
        </w:rPr>
        <w:t>乙方存在其他违约行为，经甲方书面通知之日</w:t>
      </w:r>
      <w:r>
        <w:rPr>
          <w:rFonts w:hint="eastAsia" w:ascii="宋体" w:hAnsi="宋体" w:cs="宋体"/>
          <w:color w:val="auto"/>
          <w:highlight w:val="none"/>
          <w:lang w:val="en-US" w:eastAsia="zh-CN"/>
        </w:rPr>
        <w:t>7</w:t>
      </w:r>
      <w:r>
        <w:rPr>
          <w:rFonts w:hint="eastAsia" w:ascii="宋体" w:hAnsi="宋体" w:cs="宋体"/>
          <w:color w:val="auto"/>
          <w:highlight w:val="none"/>
        </w:rPr>
        <w:t>日内仍未纠正的。</w:t>
      </w:r>
    </w:p>
    <w:p w14:paraId="43B162DF">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4DB3286D">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bCs/>
          <w:color w:val="auto"/>
          <w:szCs w:val="24"/>
          <w:highlight w:val="none"/>
        </w:rPr>
        <w:t>3</w:t>
      </w:r>
      <w:r>
        <w:rPr>
          <w:rFonts w:hint="eastAsia" w:ascii="宋体" w:hAnsi="宋体" w:cs="宋体"/>
          <w:bCs/>
          <w:color w:val="auto"/>
          <w:szCs w:val="24"/>
          <w:highlight w:val="none"/>
        </w:rPr>
        <w:t>、如合同解约甲方有权委托其他公司进行施工</w:t>
      </w:r>
      <w:r>
        <w:rPr>
          <w:rFonts w:hint="eastAsia" w:ascii="宋体" w:hAnsi="宋体" w:cs="宋体"/>
          <w:color w:val="auto"/>
          <w:highlight w:val="none"/>
        </w:rPr>
        <w:t>。</w:t>
      </w:r>
    </w:p>
    <w:p w14:paraId="0A966CA1">
      <w:pPr>
        <w:pStyle w:val="17"/>
        <w:numPr>
          <w:ilvl w:val="255"/>
          <w:numId w:val="0"/>
        </w:numPr>
        <w:kinsoku w:val="0"/>
        <w:wordWrap w:val="0"/>
        <w:topLinePunct/>
        <w:autoSpaceDE w:val="0"/>
        <w:spacing w:line="460" w:lineRule="exact"/>
        <w:rPr>
          <w:rFonts w:ascii="宋体" w:hAnsi="宋体" w:cs="宋体"/>
          <w:b/>
          <w:bCs/>
          <w:color w:val="auto"/>
          <w:szCs w:val="24"/>
          <w:highlight w:val="none"/>
        </w:rPr>
      </w:pPr>
      <w:r>
        <w:rPr>
          <w:rFonts w:hint="eastAsia" w:ascii="宋体" w:hAnsi="宋体" w:cs="宋体"/>
          <w:b/>
          <w:bCs/>
          <w:color w:val="auto"/>
          <w:sz w:val="24"/>
          <w:szCs w:val="24"/>
          <w:highlight w:val="none"/>
          <w:lang w:eastAsia="zh-CN"/>
        </w:rPr>
        <w:t>十九</w:t>
      </w:r>
      <w:r>
        <w:rPr>
          <w:rFonts w:hint="eastAsia" w:ascii="宋体" w:hAnsi="宋体" w:cs="宋体"/>
          <w:b/>
          <w:bCs/>
          <w:color w:val="auto"/>
          <w:sz w:val="24"/>
          <w:szCs w:val="24"/>
          <w:highlight w:val="none"/>
        </w:rPr>
        <w:t>、争议的解决</w:t>
      </w:r>
    </w:p>
    <w:p w14:paraId="151F5ECB">
      <w:pPr>
        <w:kinsoku w:val="0"/>
        <w:wordWrap w:val="0"/>
        <w:topLinePunct/>
        <w:autoSpaceDE w:val="0"/>
        <w:spacing w:line="360" w:lineRule="auto"/>
        <w:ind w:firstLine="512" w:firstLineChars="200"/>
        <w:rPr>
          <w:rFonts w:ascii="宋体" w:hAnsi="宋体" w:cs="宋体"/>
          <w:b/>
          <w:color w:val="auto"/>
          <w:szCs w:val="24"/>
          <w:highlight w:val="none"/>
        </w:rPr>
      </w:pPr>
      <w:r>
        <w:rPr>
          <w:rFonts w:hint="eastAsia" w:ascii="宋体" w:hAnsi="宋体" w:cs="宋体"/>
          <w:color w:val="auto"/>
          <w:spacing w:val="8"/>
          <w:szCs w:val="24"/>
          <w:highlight w:val="none"/>
        </w:rPr>
        <w:t>本合同履行过程中发生争议或纠纷的，由当事人双方协商解决。协商不成时，双方同意向合同签约地人民法院提起诉讼。</w:t>
      </w:r>
    </w:p>
    <w:p w14:paraId="753B2676">
      <w:pPr>
        <w:pStyle w:val="17"/>
        <w:kinsoku w:val="0"/>
        <w:wordWrap w:val="0"/>
        <w:topLinePunct/>
        <w:autoSpaceDE w:val="0"/>
        <w:rPr>
          <w:rFonts w:ascii="宋体" w:hAnsi="宋体" w:cs="宋体"/>
          <w:b/>
          <w:bCs/>
          <w:color w:val="auto"/>
          <w:szCs w:val="24"/>
          <w:highlight w:val="none"/>
        </w:rPr>
      </w:pPr>
      <w:r>
        <w:rPr>
          <w:rFonts w:hint="eastAsia" w:ascii="宋体" w:hAnsi="宋体" w:cs="宋体"/>
          <w:b/>
          <w:bCs/>
          <w:color w:val="auto"/>
          <w:sz w:val="24"/>
          <w:szCs w:val="24"/>
          <w:highlight w:val="none"/>
        </w:rPr>
        <w:t>二十、其他</w:t>
      </w:r>
    </w:p>
    <w:p w14:paraId="7705FF66">
      <w:pPr>
        <w:kinsoku w:val="0"/>
        <w:wordWrap w:val="0"/>
        <w:topLinePunct/>
        <w:autoSpaceDE w:val="0"/>
        <w:spacing w:line="360" w:lineRule="auto"/>
        <w:ind w:firstLine="512" w:firstLineChars="200"/>
        <w:rPr>
          <w:rFonts w:ascii="宋体" w:hAnsi="宋体" w:cs="宋体"/>
          <w:color w:val="auto"/>
          <w:spacing w:val="8"/>
          <w:szCs w:val="24"/>
          <w:highlight w:val="none"/>
        </w:rPr>
      </w:pPr>
      <w:r>
        <w:rPr>
          <w:rFonts w:hint="eastAsia" w:ascii="宋体" w:hAnsi="宋体" w:cs="宋体"/>
          <w:color w:val="auto"/>
          <w:spacing w:val="8"/>
          <w:szCs w:val="24"/>
          <w:highlight w:val="none"/>
        </w:rPr>
        <w:t>1、本合同未尽事宜双方协商解决或另签补充协议，补充协议与本合同具有同等法律效力。</w:t>
      </w:r>
    </w:p>
    <w:p w14:paraId="2E4CCA80">
      <w:pPr>
        <w:kinsoku w:val="0"/>
        <w:wordWrap w:val="0"/>
        <w:topLinePunct/>
        <w:autoSpaceDE w:val="0"/>
        <w:spacing w:line="360" w:lineRule="auto"/>
        <w:ind w:firstLine="512" w:firstLineChars="200"/>
        <w:rPr>
          <w:rFonts w:ascii="宋体" w:hAnsi="宋体" w:cs="宋体"/>
          <w:color w:val="auto"/>
          <w:spacing w:val="8"/>
          <w:szCs w:val="24"/>
          <w:highlight w:val="none"/>
        </w:rPr>
      </w:pPr>
      <w:r>
        <w:rPr>
          <w:rFonts w:hint="eastAsia" w:ascii="宋体" w:hAnsi="宋体" w:cs="宋体"/>
          <w:color w:val="auto"/>
          <w:spacing w:val="8"/>
          <w:szCs w:val="24"/>
          <w:highlight w:val="none"/>
        </w:rPr>
        <w:t>2、本合同一式柒份，甲方伍份，乙方贰份，均</w:t>
      </w:r>
      <w:r>
        <w:rPr>
          <w:rFonts w:hint="eastAsia" w:ascii="宋体" w:hAnsi="宋体" w:cs="宋体"/>
          <w:color w:val="auto"/>
          <w:spacing w:val="8"/>
          <w:szCs w:val="24"/>
          <w:highlight w:val="none"/>
          <w:lang w:eastAsia="zh-CN"/>
        </w:rPr>
        <w:t>具有</w:t>
      </w:r>
      <w:r>
        <w:rPr>
          <w:rFonts w:hint="eastAsia" w:ascii="宋体" w:hAnsi="宋体" w:cs="宋体"/>
          <w:color w:val="auto"/>
          <w:spacing w:val="8"/>
          <w:szCs w:val="24"/>
          <w:highlight w:val="none"/>
        </w:rPr>
        <w:t>同等法律效力。</w:t>
      </w:r>
    </w:p>
    <w:p w14:paraId="1C849241">
      <w:pPr>
        <w:kinsoku w:val="0"/>
        <w:wordWrap w:val="0"/>
        <w:topLinePunct/>
        <w:autoSpaceDE w:val="0"/>
        <w:spacing w:line="360" w:lineRule="auto"/>
        <w:ind w:firstLine="512" w:firstLineChars="200"/>
        <w:rPr>
          <w:rFonts w:ascii="宋体" w:hAnsi="宋体" w:cs="宋体"/>
          <w:color w:val="auto"/>
          <w:spacing w:val="8"/>
          <w:szCs w:val="24"/>
          <w:highlight w:val="none"/>
        </w:rPr>
      </w:pPr>
      <w:r>
        <w:rPr>
          <w:rFonts w:hint="eastAsia" w:ascii="宋体" w:hAnsi="宋体" w:cs="宋体"/>
          <w:color w:val="auto"/>
          <w:spacing w:val="8"/>
          <w:szCs w:val="24"/>
          <w:highlight w:val="none"/>
        </w:rPr>
        <w:t>3、本合同及其补充协议自双方盖章之日起生效。</w:t>
      </w:r>
    </w:p>
    <w:p w14:paraId="2E3959B5">
      <w:pPr>
        <w:pStyle w:val="17"/>
        <w:kinsoku w:val="0"/>
        <w:wordWrap w:val="0"/>
        <w:topLinePunct/>
        <w:autoSpaceDE w:val="0"/>
        <w:ind w:firstLine="512" w:firstLineChars="200"/>
        <w:rPr>
          <w:rFonts w:hint="eastAsia" w:ascii="宋体" w:hAnsi="宋体" w:cs="宋体"/>
          <w:color w:val="auto"/>
          <w:sz w:val="24"/>
          <w:szCs w:val="24"/>
          <w:highlight w:val="none"/>
        </w:rPr>
      </w:pPr>
      <w:r>
        <w:rPr>
          <w:rFonts w:hint="eastAsia" w:ascii="宋体" w:hAnsi="宋体" w:cs="宋体"/>
          <w:color w:val="auto"/>
          <w:spacing w:val="8"/>
          <w:sz w:val="24"/>
          <w:szCs w:val="24"/>
          <w:highlight w:val="none"/>
        </w:rPr>
        <w:t>4、合同签订地点：洛阳市洛龙区</w:t>
      </w:r>
      <w:r>
        <w:rPr>
          <w:rFonts w:hint="eastAsia" w:ascii="宋体" w:hAnsi="宋体" w:cs="宋体"/>
          <w:color w:val="auto"/>
          <w:spacing w:val="8"/>
          <w:sz w:val="24"/>
          <w:szCs w:val="24"/>
          <w:highlight w:val="none"/>
          <w:lang w:val="en-US" w:eastAsia="zh-CN"/>
        </w:rPr>
        <w:t>。</w:t>
      </w:r>
      <w:r>
        <w:rPr>
          <w:rFonts w:hint="eastAsia" w:ascii="宋体" w:hAnsi="宋体" w:cs="宋体"/>
          <w:color w:val="auto"/>
          <w:sz w:val="24"/>
          <w:szCs w:val="24"/>
          <w:highlight w:val="none"/>
        </w:rPr>
        <w:t xml:space="preserve"> </w:t>
      </w:r>
    </w:p>
    <w:p w14:paraId="5FBE78E3">
      <w:pPr>
        <w:pStyle w:val="17"/>
        <w:kinsoku w:val="0"/>
        <w:wordWrap w:val="0"/>
        <w:topLinePunct/>
        <w:autoSpaceDE w:val="0"/>
        <w:ind w:firstLine="0" w:firstLineChars="0"/>
        <w:rPr>
          <w:rFonts w:ascii="宋体" w:hAnsi="宋体" w:cs="宋体"/>
          <w:color w:val="auto"/>
          <w:sz w:val="24"/>
          <w:szCs w:val="24"/>
          <w:highlight w:val="none"/>
        </w:rPr>
      </w:pPr>
      <w:r>
        <w:rPr>
          <w:rFonts w:hint="eastAsia" w:ascii="宋体" w:hAnsi="宋体" w:cs="宋体"/>
          <w:b/>
          <w:bCs/>
          <w:color w:val="auto"/>
          <w:sz w:val="24"/>
          <w:szCs w:val="24"/>
          <w:highlight w:val="none"/>
        </w:rPr>
        <w:t>二十</w:t>
      </w:r>
      <w:r>
        <w:rPr>
          <w:rFonts w:hint="eastAsia" w:ascii="宋体" w:hAnsi="宋体" w:cs="宋体"/>
          <w:b/>
          <w:bCs/>
          <w:color w:val="auto"/>
          <w:sz w:val="24"/>
          <w:szCs w:val="24"/>
          <w:highlight w:val="none"/>
          <w:lang w:eastAsia="zh-CN"/>
        </w:rPr>
        <w:t>一</w:t>
      </w:r>
      <w:r>
        <w:rPr>
          <w:rFonts w:hint="eastAsia" w:ascii="宋体" w:hAnsi="宋体" w:cs="宋体"/>
          <w:b/>
          <w:bCs/>
          <w:color w:val="auto"/>
          <w:sz w:val="24"/>
          <w:szCs w:val="24"/>
          <w:highlight w:val="none"/>
        </w:rPr>
        <w:t>、合同附件</w:t>
      </w:r>
    </w:p>
    <w:p w14:paraId="6CE06B1E">
      <w:pPr>
        <w:pStyle w:val="17"/>
        <w:kinsoku w:val="0"/>
        <w:wordWrap w:val="0"/>
        <w:topLinePunct/>
        <w:autoSpaceDE w:val="0"/>
        <w:ind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1、附件一、</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廉政合作协议</w:t>
      </w:r>
      <w:r>
        <w:rPr>
          <w:rFonts w:hint="eastAsia" w:ascii="宋体" w:hAnsi="宋体" w:cs="宋体"/>
          <w:bCs/>
          <w:color w:val="auto"/>
          <w:sz w:val="24"/>
          <w:szCs w:val="24"/>
          <w:highlight w:val="none"/>
          <w:lang w:eastAsia="zh-CN"/>
        </w:rPr>
        <w:t>》</w:t>
      </w:r>
    </w:p>
    <w:p w14:paraId="5099E9BB">
      <w:pPr>
        <w:pStyle w:val="17"/>
        <w:kinsoku w:val="0"/>
        <w:wordWrap w:val="0"/>
        <w:topLinePunct/>
        <w:autoSpaceDE w:val="0"/>
        <w:ind w:firstLine="480" w:firstLineChars="20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2、附件二、《</w:t>
      </w:r>
      <w:r>
        <w:rPr>
          <w:rFonts w:hint="eastAsia" w:ascii="宋体" w:hAnsi="宋体" w:cs="宋体"/>
          <w:bCs/>
          <w:color w:val="auto"/>
          <w:sz w:val="24"/>
          <w:szCs w:val="24"/>
          <w:highlight w:val="none"/>
          <w:lang w:eastAsia="zh-CN"/>
        </w:rPr>
        <w:t>价格清单</w:t>
      </w:r>
      <w:r>
        <w:rPr>
          <w:rFonts w:hint="eastAsia" w:ascii="宋体" w:hAnsi="宋体" w:cs="宋体"/>
          <w:bCs/>
          <w:color w:val="auto"/>
          <w:sz w:val="24"/>
          <w:szCs w:val="24"/>
          <w:highlight w:val="none"/>
        </w:rPr>
        <w:t>》</w:t>
      </w:r>
      <w:bookmarkStart w:id="0" w:name="_GoBack"/>
      <w:bookmarkEnd w:id="0"/>
    </w:p>
    <w:p w14:paraId="2E06ECBB">
      <w:pPr>
        <w:pStyle w:val="17"/>
        <w:kinsoku w:val="0"/>
        <w:wordWrap w:val="0"/>
        <w:topLinePunct/>
        <w:autoSpaceDE w:val="0"/>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（以下无正文）</w:t>
      </w:r>
    </w:p>
    <w:p w14:paraId="4B77BF08">
      <w:pPr>
        <w:kinsoku w:val="0"/>
        <w:wordWrap w:val="0"/>
        <w:topLinePunct/>
        <w:autoSpaceDE w:val="0"/>
        <w:spacing w:line="360" w:lineRule="auto"/>
        <w:ind w:firstLine="480" w:firstLineChars="200"/>
        <w:rPr>
          <w:rFonts w:hint="eastAsia" w:ascii="宋体" w:hAnsi="宋体" w:cs="宋体"/>
          <w:bCs/>
          <w:color w:val="auto"/>
          <w:szCs w:val="24"/>
          <w:highlight w:val="none"/>
        </w:rPr>
      </w:pPr>
    </w:p>
    <w:p w14:paraId="2B89967E">
      <w:pPr>
        <w:pStyle w:val="53"/>
        <w:rPr>
          <w:rFonts w:hint="eastAsia"/>
        </w:rPr>
      </w:pPr>
    </w:p>
    <w:p w14:paraId="220D893C">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甲方</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盖章</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 xml:space="preserve">                           乙方</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盖章</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 xml:space="preserve">  </w:t>
      </w:r>
    </w:p>
    <w:p w14:paraId="1F85703C">
      <w:pPr>
        <w:kinsoku w:val="0"/>
        <w:wordWrap w:val="0"/>
        <w:topLinePunct/>
        <w:autoSpaceDE w:val="0"/>
        <w:spacing w:line="360" w:lineRule="auto"/>
        <w:ind w:firstLine="480" w:firstLineChars="200"/>
        <w:rPr>
          <w:rFonts w:hint="eastAsia" w:ascii="宋体" w:hAnsi="宋体" w:eastAsia="宋体" w:cs="宋体"/>
          <w:bCs/>
          <w:color w:val="auto"/>
          <w:szCs w:val="24"/>
          <w:highlight w:val="none"/>
          <w:u w:val="single"/>
          <w:lang w:val="en-US" w:eastAsia="zh-CN"/>
        </w:rPr>
      </w:pPr>
      <w:r>
        <w:rPr>
          <w:rFonts w:hint="eastAsia" w:ascii="宋体" w:hAnsi="宋体" w:cs="宋体"/>
          <w:bCs/>
          <w:color w:val="auto"/>
          <w:szCs w:val="24"/>
          <w:highlight w:val="none"/>
          <w:lang w:eastAsia="zh-CN"/>
        </w:rPr>
        <w:t>河南浩德龙瑞置业有限公司</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u w:val="none"/>
          <w:lang w:val="en-US" w:eastAsia="zh-CN"/>
        </w:rPr>
        <w:t xml:space="preserve">          </w:t>
      </w:r>
      <w:r>
        <w:rPr>
          <w:rFonts w:hint="eastAsia" w:ascii="宋体" w:hAnsi="宋体" w:cs="宋体"/>
          <w:color w:val="auto"/>
          <w:szCs w:val="24"/>
          <w:highlight w:val="none"/>
          <w:u w:val="none"/>
          <w:lang w:eastAsia="zh-CN"/>
        </w:rPr>
        <w:t>三门峡安泰人防工程有限公司</w:t>
      </w:r>
    </w:p>
    <w:p w14:paraId="06254531">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法定代表人：                             法定代表人：</w:t>
      </w:r>
    </w:p>
    <w:p w14:paraId="7904B0B8">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委托代理人：                             委托代理人：</w:t>
      </w:r>
    </w:p>
    <w:p w14:paraId="1C378AE5">
      <w:pPr>
        <w:kinsoku w:val="0"/>
        <w:wordWrap w:val="0"/>
        <w:topLinePunct/>
        <w:autoSpaceDE w:val="0"/>
        <w:spacing w:line="360" w:lineRule="auto"/>
        <w:ind w:firstLine="480" w:firstLineChars="200"/>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纳税人识别号：</w:t>
      </w:r>
      <w:r>
        <w:rPr>
          <w:rFonts w:hint="eastAsia" w:ascii="宋体" w:hAnsi="宋体" w:cs="宋体"/>
          <w:bCs/>
          <w:u w:val="none"/>
          <w:lang w:eastAsia="zh-CN"/>
        </w:rPr>
        <w:t>91410300MA9MYURF5B</w:t>
      </w:r>
      <w:r>
        <w:rPr>
          <w:rFonts w:hint="eastAsia" w:ascii="宋体" w:hAnsi="宋体" w:cs="宋体"/>
          <w:bCs/>
          <w:color w:val="auto"/>
          <w:szCs w:val="24"/>
          <w:highlight w:val="none"/>
        </w:rPr>
        <w:t xml:space="preserve">    </w:t>
      </w:r>
      <w:r>
        <w:rPr>
          <w:rFonts w:ascii="宋体" w:hAnsi="宋体" w:cs="宋体"/>
          <w:bCs/>
          <w:color w:val="auto"/>
          <w:szCs w:val="24"/>
          <w:highlight w:val="none"/>
        </w:rPr>
        <w:t xml:space="preserve"> </w:t>
      </w:r>
      <w:r>
        <w:rPr>
          <w:rFonts w:hint="eastAsia" w:ascii="宋体" w:hAnsi="宋体" w:cs="宋体"/>
          <w:bCs/>
          <w:color w:val="auto"/>
          <w:szCs w:val="24"/>
          <w:highlight w:val="none"/>
        </w:rPr>
        <w:t xml:space="preserve">   </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rPr>
        <w:t>纳税人识别号：</w:t>
      </w:r>
      <w:r>
        <w:rPr>
          <w:rFonts w:hint="eastAsia" w:ascii="宋体" w:hAnsi="宋体" w:cs="宋体"/>
          <w:bCs/>
          <w:color w:val="auto"/>
          <w:szCs w:val="24"/>
          <w:highlight w:val="none"/>
          <w:lang w:eastAsia="zh-CN"/>
        </w:rPr>
        <w:t>914112223961518919</w:t>
      </w:r>
    </w:p>
    <w:p w14:paraId="7D19206C">
      <w:pPr>
        <w:kinsoku w:val="0"/>
        <w:wordWrap w:val="0"/>
        <w:topLinePunct/>
        <w:autoSpaceDE w:val="0"/>
        <w:spacing w:line="360" w:lineRule="auto"/>
        <w:ind w:firstLine="480" w:firstLineChars="200"/>
        <w:rPr>
          <w:rFonts w:hint="eastAsia" w:ascii="宋体" w:hAnsi="宋体" w:cs="宋体"/>
          <w:bCs/>
          <w:u w:val="none"/>
        </w:rPr>
      </w:pPr>
      <w:r>
        <w:rPr>
          <w:rFonts w:hint="eastAsia" w:ascii="宋体" w:hAnsi="宋体" w:cs="宋体"/>
          <w:bCs/>
          <w:color w:val="auto"/>
          <w:szCs w:val="24"/>
          <w:highlight w:val="none"/>
        </w:rPr>
        <w:t>开户行：</w:t>
      </w:r>
      <w:r>
        <w:rPr>
          <w:rFonts w:hint="eastAsia" w:ascii="宋体" w:hAnsi="宋体" w:cs="宋体"/>
          <w:bCs/>
          <w:u w:val="none"/>
        </w:rPr>
        <w:t>中原银行股份有限公司</w:t>
      </w:r>
      <w:r>
        <w:rPr>
          <w:rFonts w:hint="eastAsia" w:ascii="宋体" w:hAnsi="宋体" w:cs="宋体"/>
          <w:bCs/>
          <w:u w:val="none"/>
          <w:lang w:val="en-US" w:eastAsia="zh-CN"/>
        </w:rPr>
        <w:t xml:space="preserve">             </w:t>
      </w:r>
      <w:r>
        <w:rPr>
          <w:rFonts w:hint="eastAsia" w:ascii="宋体" w:hAnsi="宋体" w:cs="宋体"/>
          <w:bCs/>
          <w:color w:val="auto"/>
          <w:szCs w:val="24"/>
          <w:highlight w:val="none"/>
        </w:rPr>
        <w:t>开户行：</w:t>
      </w:r>
      <w:r>
        <w:rPr>
          <w:rFonts w:hint="eastAsia" w:ascii="宋体" w:hAnsi="宋体" w:cs="宋体"/>
          <w:bCs/>
          <w:color w:val="auto"/>
          <w:szCs w:val="24"/>
          <w:highlight w:val="none"/>
          <w:lang w:eastAsia="zh-CN"/>
        </w:rPr>
        <w:t>中国农业银行股份有限公司</w:t>
      </w:r>
    </w:p>
    <w:p w14:paraId="42C5CD31">
      <w:pPr>
        <w:kinsoku w:val="0"/>
        <w:wordWrap w:val="0"/>
        <w:topLinePunct/>
        <w:autoSpaceDE w:val="0"/>
        <w:spacing w:line="360" w:lineRule="auto"/>
        <w:ind w:firstLine="1440" w:firstLineChars="600"/>
        <w:rPr>
          <w:rFonts w:ascii="宋体" w:hAnsi="宋体" w:cs="宋体"/>
          <w:color w:val="auto"/>
          <w:szCs w:val="24"/>
          <w:highlight w:val="none"/>
        </w:rPr>
      </w:pPr>
      <w:r>
        <w:rPr>
          <w:rFonts w:hint="eastAsia" w:hAnsi="宋体" w:cs="宋体"/>
          <w:b w:val="0"/>
          <w:bCs/>
          <w:szCs w:val="24"/>
          <w:u w:val="none"/>
        </w:rPr>
        <w:t>洛阳万豪中心支行</w:t>
      </w:r>
      <w:r>
        <w:rPr>
          <w:rFonts w:ascii="宋体" w:hAnsi="宋体" w:cs="宋体"/>
          <w:bCs/>
          <w:color w:val="auto"/>
          <w:szCs w:val="24"/>
          <w:highlight w:val="none"/>
        </w:rPr>
        <w:t xml:space="preserve">       </w:t>
      </w:r>
      <w:r>
        <w:rPr>
          <w:rFonts w:hint="eastAsia" w:ascii="宋体" w:hAnsi="宋体" w:cs="宋体"/>
          <w:bCs/>
          <w:color w:val="auto"/>
          <w:szCs w:val="24"/>
          <w:highlight w:val="none"/>
          <w:lang w:val="en-US" w:eastAsia="zh-CN"/>
        </w:rPr>
        <w:t xml:space="preserve">                  三门峡陕州支行</w:t>
      </w:r>
    </w:p>
    <w:p w14:paraId="103669DC">
      <w:pPr>
        <w:kinsoku w:val="0"/>
        <w:wordWrap w:val="0"/>
        <w:topLinePunct/>
        <w:autoSpaceDE w:val="0"/>
        <w:spacing w:line="360" w:lineRule="auto"/>
        <w:ind w:firstLine="480" w:firstLineChars="200"/>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rPr>
        <w:t>账号：</w:t>
      </w:r>
      <w:r>
        <w:rPr>
          <w:rFonts w:hint="eastAsia" w:ascii="宋体" w:hAnsi="宋体" w:cs="宋体"/>
          <w:bCs/>
          <w:u w:val="none"/>
        </w:rPr>
        <w:t>410311010160004001</w:t>
      </w:r>
      <w:r>
        <w:rPr>
          <w:rFonts w:ascii="宋体" w:hAnsi="宋体" w:cs="宋体"/>
          <w:bCs/>
          <w:color w:val="auto"/>
          <w:szCs w:val="24"/>
          <w:highlight w:val="none"/>
        </w:rPr>
        <w:t xml:space="preserve"> </w:t>
      </w:r>
      <w:r>
        <w:rPr>
          <w:rFonts w:hint="eastAsia" w:ascii="宋体" w:hAnsi="宋体" w:cs="宋体"/>
          <w:bCs/>
          <w:color w:val="auto"/>
          <w:szCs w:val="24"/>
          <w:highlight w:val="none"/>
        </w:rPr>
        <w:t xml:space="preserve">            </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rPr>
        <w:t>账号：</w:t>
      </w:r>
      <w:r>
        <w:rPr>
          <w:rFonts w:hint="eastAsia" w:ascii="宋体" w:hAnsi="宋体" w:cs="宋体"/>
          <w:bCs/>
          <w:color w:val="auto"/>
          <w:szCs w:val="24"/>
          <w:highlight w:val="none"/>
          <w:lang w:val="en-US" w:eastAsia="zh-CN"/>
        </w:rPr>
        <w:t>16174101040012805</w:t>
      </w:r>
    </w:p>
    <w:p w14:paraId="0FA7F920">
      <w:pPr>
        <w:pStyle w:val="17"/>
        <w:rPr>
          <w:color w:val="auto"/>
          <w:highlight w:val="none"/>
        </w:rPr>
      </w:pPr>
      <w:r>
        <w:rPr>
          <w:rFonts w:hint="eastAsia"/>
          <w:color w:val="auto"/>
          <w:highlight w:val="none"/>
        </w:rPr>
        <w:t xml:space="preserve"> </w:t>
      </w:r>
      <w:r>
        <w:rPr>
          <w:color w:val="auto"/>
          <w:highlight w:val="none"/>
        </w:rPr>
        <w:t xml:space="preserve">  </w:t>
      </w:r>
      <w:r>
        <w:rPr>
          <w:rFonts w:hint="eastAsia" w:ascii="宋体" w:hAnsi="宋体" w:cs="宋体"/>
          <w:bCs/>
          <w:color w:val="auto"/>
          <w:kern w:val="2"/>
          <w:sz w:val="24"/>
          <w:szCs w:val="24"/>
          <w:highlight w:val="none"/>
        </w:rPr>
        <w:t xml:space="preserve"> </w:t>
      </w:r>
      <w:r>
        <w:rPr>
          <w:rFonts w:ascii="宋体" w:hAnsi="宋体" w:cs="宋体"/>
          <w:bCs/>
          <w:color w:val="auto"/>
          <w:kern w:val="2"/>
          <w:sz w:val="24"/>
          <w:szCs w:val="24"/>
          <w:highlight w:val="none"/>
        </w:rPr>
        <w:t xml:space="preserve">                                 </w:t>
      </w:r>
    </w:p>
    <w:p w14:paraId="5C8C5B2E">
      <w:pPr>
        <w:kinsoku w:val="0"/>
        <w:wordWrap w:val="0"/>
        <w:topLinePunct/>
        <w:autoSpaceDE w:val="0"/>
        <w:spacing w:line="360" w:lineRule="auto"/>
        <w:ind w:firstLine="480" w:firstLineChars="200"/>
        <w:rPr>
          <w:rFonts w:ascii="宋体" w:hAnsi="宋体" w:cs="宋体"/>
          <w:color w:val="auto"/>
          <w:szCs w:val="24"/>
          <w:highlight w:val="none"/>
        </w:rPr>
      </w:pPr>
      <w:r>
        <w:rPr>
          <w:rFonts w:hint="eastAsia" w:ascii="宋体" w:hAnsi="宋体" w:cs="宋体"/>
          <w:bCs/>
          <w:color w:val="auto"/>
          <w:szCs w:val="24"/>
          <w:highlight w:val="none"/>
        </w:rPr>
        <w:t>签订日期：</w:t>
      </w:r>
      <w:r>
        <w:rPr>
          <w:rFonts w:hint="eastAsia" w:ascii="宋体" w:hAnsi="宋体" w:cs="宋体"/>
          <w:bCs/>
          <w:color w:val="auto"/>
          <w:szCs w:val="24"/>
          <w:highlight w:val="none"/>
          <w:u w:val="single"/>
          <w:lang w:val="en-US" w:eastAsia="zh-CN"/>
        </w:rPr>
        <w:t>2024</w:t>
      </w:r>
      <w:r>
        <w:rPr>
          <w:rFonts w:hint="eastAsia" w:ascii="宋体" w:hAnsi="宋体" w:cs="宋体"/>
          <w:bCs/>
          <w:color w:val="auto"/>
          <w:szCs w:val="24"/>
          <w:highlight w:val="none"/>
        </w:rPr>
        <w:t>年</w:t>
      </w:r>
      <w:r>
        <w:rPr>
          <w:rFonts w:hint="eastAsia" w:ascii="宋体" w:hAnsi="宋体" w:cs="宋体"/>
          <w:bCs/>
          <w:color w:val="auto"/>
          <w:szCs w:val="24"/>
          <w:highlight w:val="none"/>
          <w:u w:val="single"/>
          <w:lang w:val="en-US" w:eastAsia="zh-CN"/>
        </w:rPr>
        <w:t>10</w:t>
      </w:r>
      <w:r>
        <w:rPr>
          <w:rFonts w:hint="eastAsia" w:ascii="宋体" w:hAnsi="宋体" w:cs="宋体"/>
          <w:bCs/>
          <w:color w:val="auto"/>
          <w:szCs w:val="24"/>
          <w:highlight w:val="none"/>
        </w:rPr>
        <w:t>月</w:t>
      </w:r>
      <w:r>
        <w:rPr>
          <w:rFonts w:hint="eastAsia" w:ascii="宋体" w:hAnsi="宋体" w:cs="宋体"/>
          <w:bCs/>
          <w:color w:val="auto"/>
          <w:szCs w:val="24"/>
          <w:highlight w:val="none"/>
          <w:u w:val="single"/>
          <w:lang w:val="en-US" w:eastAsia="zh-CN"/>
        </w:rPr>
        <w:t xml:space="preserve">  </w:t>
      </w:r>
      <w:r>
        <w:rPr>
          <w:rFonts w:hint="eastAsia" w:ascii="宋体" w:hAnsi="宋体" w:cs="宋体"/>
          <w:bCs/>
          <w:color w:val="auto"/>
          <w:szCs w:val="24"/>
          <w:highlight w:val="none"/>
        </w:rPr>
        <w:t xml:space="preserve">日        </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rPr>
        <w:t>签订日期：</w:t>
      </w:r>
      <w:r>
        <w:rPr>
          <w:rFonts w:hint="eastAsia" w:ascii="宋体" w:hAnsi="宋体" w:cs="宋体"/>
          <w:bCs/>
          <w:color w:val="auto"/>
          <w:szCs w:val="24"/>
          <w:highlight w:val="none"/>
          <w:u w:val="single"/>
          <w:lang w:val="en-US" w:eastAsia="zh-CN"/>
        </w:rPr>
        <w:t>2024</w:t>
      </w:r>
      <w:r>
        <w:rPr>
          <w:rFonts w:hint="eastAsia" w:ascii="宋体" w:hAnsi="宋体" w:cs="宋体"/>
          <w:bCs/>
          <w:color w:val="auto"/>
          <w:szCs w:val="24"/>
          <w:highlight w:val="none"/>
        </w:rPr>
        <w:t>年</w:t>
      </w:r>
      <w:r>
        <w:rPr>
          <w:rFonts w:hint="eastAsia" w:ascii="宋体" w:hAnsi="宋体" w:cs="宋体"/>
          <w:bCs/>
          <w:color w:val="auto"/>
          <w:szCs w:val="24"/>
          <w:highlight w:val="none"/>
          <w:u w:val="single"/>
          <w:lang w:val="en-US" w:eastAsia="zh-CN"/>
        </w:rPr>
        <w:t>10</w:t>
      </w:r>
      <w:r>
        <w:rPr>
          <w:rFonts w:hint="eastAsia" w:ascii="宋体" w:hAnsi="宋体" w:cs="宋体"/>
          <w:bCs/>
          <w:color w:val="auto"/>
          <w:szCs w:val="24"/>
          <w:highlight w:val="none"/>
        </w:rPr>
        <w:t>月</w:t>
      </w:r>
      <w:r>
        <w:rPr>
          <w:rFonts w:hint="eastAsia" w:ascii="宋体" w:hAnsi="宋体" w:cs="宋体"/>
          <w:bCs/>
          <w:color w:val="auto"/>
          <w:szCs w:val="24"/>
          <w:highlight w:val="none"/>
          <w:u w:val="single"/>
          <w:lang w:val="en-US" w:eastAsia="zh-CN"/>
        </w:rPr>
        <w:t xml:space="preserve">  </w:t>
      </w:r>
      <w:r>
        <w:rPr>
          <w:rFonts w:hint="eastAsia" w:ascii="宋体" w:hAnsi="宋体" w:cs="宋体"/>
          <w:bCs/>
          <w:color w:val="auto"/>
          <w:szCs w:val="24"/>
          <w:highlight w:val="none"/>
        </w:rPr>
        <w:t>日</w:t>
      </w:r>
    </w:p>
    <w:p w14:paraId="5E3E908D">
      <w:pPr>
        <w:tabs>
          <w:tab w:val="left" w:pos="4465"/>
        </w:tabs>
        <w:kinsoku w:val="0"/>
        <w:wordWrap w:val="0"/>
        <w:topLinePunct/>
        <w:autoSpaceDE w:val="0"/>
        <w:spacing w:line="360" w:lineRule="auto"/>
        <w:ind w:firstLine="482" w:firstLineChars="200"/>
        <w:rPr>
          <w:rFonts w:ascii="宋体" w:hAnsi="宋体" w:cs="宋体"/>
          <w:b/>
          <w:color w:val="auto"/>
          <w:szCs w:val="24"/>
          <w:highlight w:val="none"/>
        </w:rPr>
      </w:pPr>
    </w:p>
    <w:p w14:paraId="225FBFB8">
      <w:pPr>
        <w:tabs>
          <w:tab w:val="left" w:pos="4465"/>
        </w:tabs>
        <w:spacing w:line="360" w:lineRule="auto"/>
        <w:rPr>
          <w:rFonts w:hint="eastAsia" w:ascii="宋体" w:hAnsi="宋体" w:cs="宋体"/>
          <w:b/>
          <w:color w:val="auto"/>
          <w:szCs w:val="24"/>
          <w:highlight w:val="none"/>
        </w:rPr>
      </w:pPr>
    </w:p>
    <w:p w14:paraId="66BB809A">
      <w:pPr>
        <w:tabs>
          <w:tab w:val="left" w:pos="4465"/>
        </w:tabs>
        <w:spacing w:line="360" w:lineRule="auto"/>
        <w:rPr>
          <w:rFonts w:hint="eastAsia" w:ascii="宋体" w:hAnsi="宋体" w:cs="宋体"/>
          <w:b/>
          <w:color w:val="auto"/>
          <w:szCs w:val="24"/>
          <w:highlight w:val="none"/>
        </w:rPr>
      </w:pPr>
    </w:p>
    <w:p w14:paraId="75695E10">
      <w:pPr>
        <w:tabs>
          <w:tab w:val="left" w:pos="4465"/>
        </w:tabs>
        <w:spacing w:line="360" w:lineRule="auto"/>
        <w:rPr>
          <w:rFonts w:hint="eastAsia" w:ascii="宋体" w:hAnsi="宋体" w:cs="宋体"/>
          <w:b/>
          <w:color w:val="auto"/>
          <w:szCs w:val="24"/>
          <w:highlight w:val="none"/>
        </w:rPr>
      </w:pPr>
    </w:p>
    <w:p w14:paraId="3F19808C">
      <w:pPr>
        <w:pStyle w:val="105"/>
        <w:rPr>
          <w:rFonts w:hint="eastAsia" w:ascii="宋体" w:hAnsi="宋体" w:cs="宋体"/>
          <w:b/>
          <w:color w:val="auto"/>
          <w:szCs w:val="24"/>
          <w:highlight w:val="none"/>
        </w:rPr>
      </w:pPr>
    </w:p>
    <w:p w14:paraId="0317E4C9">
      <w:pPr>
        <w:pStyle w:val="105"/>
        <w:rPr>
          <w:rFonts w:hint="eastAsia" w:ascii="宋体" w:hAnsi="宋体" w:cs="宋体"/>
          <w:b/>
          <w:color w:val="auto"/>
          <w:szCs w:val="24"/>
          <w:highlight w:val="none"/>
        </w:rPr>
      </w:pPr>
    </w:p>
    <w:p w14:paraId="25A0FBC4">
      <w:pPr>
        <w:pStyle w:val="105"/>
        <w:rPr>
          <w:rFonts w:hint="eastAsia" w:ascii="宋体" w:hAnsi="宋体" w:cs="宋体"/>
          <w:b/>
          <w:color w:val="auto"/>
          <w:szCs w:val="24"/>
          <w:highlight w:val="none"/>
        </w:rPr>
      </w:pPr>
    </w:p>
    <w:p w14:paraId="2C8087DC">
      <w:pPr>
        <w:pStyle w:val="50"/>
        <w:rPr>
          <w:rFonts w:hint="eastAsia"/>
        </w:rPr>
      </w:pPr>
    </w:p>
    <w:p w14:paraId="3EF2AAD5">
      <w:pPr>
        <w:tabs>
          <w:tab w:val="left" w:pos="4465"/>
        </w:tabs>
        <w:spacing w:line="360" w:lineRule="auto"/>
        <w:rPr>
          <w:rFonts w:ascii="宋体" w:hAnsi="宋体" w:cs="宋体"/>
          <w:b/>
          <w:color w:val="auto"/>
          <w:szCs w:val="24"/>
          <w:highlight w:val="none"/>
        </w:rPr>
      </w:pPr>
      <w:r>
        <w:rPr>
          <w:rFonts w:hint="eastAsia" w:ascii="宋体" w:hAnsi="宋体" w:cs="宋体"/>
          <w:b/>
          <w:color w:val="auto"/>
          <w:szCs w:val="24"/>
          <w:highlight w:val="none"/>
        </w:rPr>
        <w:t>附件一、廉政合作协议</w:t>
      </w:r>
    </w:p>
    <w:p w14:paraId="79208BB1">
      <w:pPr>
        <w:spacing w:line="360" w:lineRule="auto"/>
        <w:ind w:firstLine="292" w:firstLineChars="91"/>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zh-CN"/>
        </w:rPr>
        <w:t>廉政合作协议</w:t>
      </w:r>
    </w:p>
    <w:p w14:paraId="6168E982">
      <w:pPr>
        <w:spacing w:line="360" w:lineRule="auto"/>
        <w:rPr>
          <w:rFonts w:hint="eastAsia" w:ascii="宋体" w:hAnsi="宋体" w:eastAsia="宋体"/>
          <w:b/>
          <w:color w:val="auto"/>
          <w:szCs w:val="24"/>
          <w:highlight w:val="none"/>
          <w:lang w:eastAsia="zh-CN"/>
        </w:rPr>
      </w:pPr>
      <w:r>
        <w:rPr>
          <w:rFonts w:hint="eastAsia" w:ascii="宋体" w:hAnsi="宋体"/>
          <w:b/>
          <w:color w:val="auto"/>
          <w:szCs w:val="24"/>
          <w:highlight w:val="none"/>
        </w:rPr>
        <w:t>甲方：</w:t>
      </w:r>
      <w:r>
        <w:rPr>
          <w:rFonts w:hint="eastAsia" w:ascii="宋体" w:hAnsi="宋体" w:cs="宋体"/>
          <w:sz w:val="24"/>
          <w:szCs w:val="24"/>
          <w:u w:val="none"/>
          <w:lang w:eastAsia="zh-CN"/>
        </w:rPr>
        <w:t>河南浩德龙瑞置业有限公司</w:t>
      </w:r>
    </w:p>
    <w:p w14:paraId="4DF826D1">
      <w:pPr>
        <w:spacing w:line="360" w:lineRule="auto"/>
        <w:rPr>
          <w:rFonts w:hint="eastAsia" w:ascii="宋体" w:hAnsi="宋体" w:eastAsia="宋体"/>
          <w:b/>
          <w:color w:val="auto"/>
          <w:szCs w:val="24"/>
          <w:highlight w:val="none"/>
          <w:lang w:eastAsia="zh-CN"/>
        </w:rPr>
      </w:pPr>
      <w:r>
        <w:rPr>
          <w:rFonts w:hint="eastAsia" w:ascii="宋体" w:hAnsi="宋体"/>
          <w:b/>
          <w:color w:val="auto"/>
          <w:szCs w:val="24"/>
          <w:highlight w:val="none"/>
        </w:rPr>
        <w:t>乙方：</w:t>
      </w:r>
      <w:r>
        <w:rPr>
          <w:rFonts w:hint="eastAsia" w:ascii="宋体" w:hAnsi="宋体" w:cs="宋体"/>
          <w:b w:val="0"/>
          <w:szCs w:val="24"/>
          <w:u w:val="none"/>
          <w:lang w:eastAsia="zh-CN"/>
        </w:rPr>
        <w:t>三门峡安泰人防工程有限公司</w:t>
      </w:r>
    </w:p>
    <w:p w14:paraId="50C976C4">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为加强工程项目建设期间的廉政管理，确保项目高效优质按期竣工，甲、乙双方经协商签订本协议并作为双方共同遵守的廉政行为准则。</w:t>
      </w:r>
    </w:p>
    <w:p w14:paraId="0BD61310">
      <w:pPr>
        <w:spacing w:line="360" w:lineRule="auto"/>
        <w:ind w:firstLine="482" w:firstLineChars="20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一</w:t>
      </w:r>
      <w:r>
        <w:rPr>
          <w:rFonts w:hint="eastAsia" w:ascii="宋体" w:hAnsi="宋体" w:eastAsia="宋体" w:cs="宋体"/>
          <w:b/>
          <w:color w:val="auto"/>
          <w:szCs w:val="28"/>
          <w:highlight w:val="none"/>
          <w:lang w:eastAsia="zh-CN"/>
        </w:rPr>
        <w:t>、</w:t>
      </w:r>
      <w:r>
        <w:rPr>
          <w:rFonts w:hint="eastAsia" w:ascii="宋体" w:hAnsi="宋体" w:eastAsia="宋体" w:cs="宋体"/>
          <w:b/>
          <w:color w:val="auto"/>
          <w:szCs w:val="28"/>
          <w:highlight w:val="none"/>
        </w:rPr>
        <w:t>甲方责任</w:t>
      </w:r>
    </w:p>
    <w:p w14:paraId="1462F9E1">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甲方有责任向乙方介绍本单位有关廉政管理的各项制度和规定。</w:t>
      </w:r>
    </w:p>
    <w:p w14:paraId="1F84804B">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甲方有责任对本单位项目管理人员进行廉政教育。</w:t>
      </w:r>
    </w:p>
    <w:p w14:paraId="3EC80295">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甲方人员应严格遵守本单位有关廉政管理的规定，不得接受乙方的宴请，不得接受任何形式的实物、现金或礼券。</w:t>
      </w:r>
    </w:p>
    <w:p w14:paraId="46D06DB8">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甲方在项目建设期间发现甲方人员任何形式的索贿受贿行为，均应及时采取措施予以制止，并及时通报乙方单位领导。</w:t>
      </w:r>
    </w:p>
    <w:p w14:paraId="4AA234E8">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5</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甲方人员如违反廉政管理制度及本协议规定，甲方应视情节轻重、影响大小给予处罚。</w:t>
      </w:r>
    </w:p>
    <w:p w14:paraId="084C123C">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6</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对于乙方举报甲方人员违反廉政规定的情况，甲方应及时进行调查，根据调查情况进行处理。</w:t>
      </w:r>
    </w:p>
    <w:p w14:paraId="7115534C">
      <w:pPr>
        <w:spacing w:line="360" w:lineRule="auto"/>
        <w:ind w:firstLine="482" w:firstLineChars="20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二</w:t>
      </w:r>
      <w:r>
        <w:rPr>
          <w:rFonts w:hint="eastAsia" w:ascii="宋体" w:hAnsi="宋体" w:eastAsia="宋体" w:cs="宋体"/>
          <w:b/>
          <w:color w:val="auto"/>
          <w:szCs w:val="28"/>
          <w:highlight w:val="none"/>
          <w:lang w:eastAsia="zh-CN"/>
        </w:rPr>
        <w:t>、</w:t>
      </w:r>
      <w:r>
        <w:rPr>
          <w:rFonts w:hint="eastAsia" w:ascii="宋体" w:hAnsi="宋体" w:eastAsia="宋体" w:cs="宋体"/>
          <w:b/>
          <w:color w:val="auto"/>
          <w:szCs w:val="28"/>
          <w:highlight w:val="none"/>
        </w:rPr>
        <w:t>乙方责任</w:t>
      </w:r>
    </w:p>
    <w:p w14:paraId="585DBF42">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乙方应保证乙方有关人员了解甲方有关廉政管理的各项制度及本协议的规定，并遵照执行。</w:t>
      </w:r>
    </w:p>
    <w:p w14:paraId="57E70D76">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乙方不得宴请甲方人员，不得以任何形式赠送实物、现金或礼券。</w:t>
      </w:r>
    </w:p>
    <w:p w14:paraId="6D58FBEF">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乙方在项目建设期间发现乙方人员任何向甲方人员行贿行为，均应及时采取措施予以制止，并及时通报甲方单位领导。</w:t>
      </w:r>
    </w:p>
    <w:p w14:paraId="4D62605E">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乙方有责任接受甲方对乙方在项目建设期间廉政管理执行情况的监督。</w:t>
      </w:r>
    </w:p>
    <w:p w14:paraId="1F51065C">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5</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w:t>
      </w:r>
      <w:r>
        <w:rPr>
          <w:rFonts w:hint="eastAsia" w:ascii="宋体" w:hAnsi="宋体" w:eastAsia="宋体" w:cs="宋体"/>
          <w:color w:val="auto"/>
          <w:szCs w:val="28"/>
          <w:highlight w:val="none"/>
          <w:lang w:eastAsia="zh-CN"/>
        </w:rPr>
        <w:t>5万-100万</w:t>
      </w:r>
      <w:r>
        <w:rPr>
          <w:rFonts w:hint="eastAsia" w:ascii="宋体" w:hAnsi="宋体" w:eastAsia="宋体" w:cs="宋体"/>
          <w:color w:val="auto"/>
          <w:szCs w:val="28"/>
          <w:highlight w:val="none"/>
        </w:rPr>
        <w:t>元的违约金。</w:t>
      </w:r>
    </w:p>
    <w:p w14:paraId="67425D7B">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6</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如因乙方或其人员在项目建设期间贿赂甲方人员，被检察机关立案查处的，甲方有权终止合同履行或解除合同，由此给甲方造成的损失，均由乙方负责赔偿。</w:t>
      </w:r>
    </w:p>
    <w:p w14:paraId="622A7EC3">
      <w:pPr>
        <w:spacing w:line="360" w:lineRule="auto"/>
        <w:ind w:firstLine="482" w:firstLineChars="20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 xml:space="preserve"> 三、为维护甲乙双方的合法利益，营造良好的商务环境，甲方建立多种举报渠道（如下）。甲方风控部人员将恪守职业道德，严格履行保密义务！</w:t>
      </w:r>
    </w:p>
    <w:p w14:paraId="2262057D">
      <w:pPr>
        <w:spacing w:line="360" w:lineRule="auto"/>
        <w:ind w:firstLine="48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lang w:val="en-US" w:eastAsia="zh-CN"/>
        </w:rPr>
        <w:t>1、</w:t>
      </w:r>
      <w:r>
        <w:rPr>
          <w:rFonts w:hint="eastAsia" w:ascii="宋体" w:hAnsi="宋体" w:eastAsia="宋体" w:cs="宋体"/>
          <w:bCs/>
          <w:color w:val="auto"/>
          <w:szCs w:val="28"/>
          <w:highlight w:val="none"/>
        </w:rPr>
        <w:t>微信小程序举报（扫描右侧二维码进</w:t>
      </w:r>
      <w:r>
        <w:rPr>
          <w:rFonts w:hint="eastAsia" w:ascii="宋体" w:hAnsi="宋体" w:eastAsia="宋体" w:cs="宋体"/>
          <w:bCs/>
          <w:color w:val="auto"/>
          <w:szCs w:val="28"/>
          <w:highlight w:val="none"/>
          <w:lang w:eastAsia="zh-CN"/>
        </w:rPr>
        <w:t>入小</w:t>
      </w:r>
      <w:r>
        <w:rPr>
          <w:rFonts w:hint="eastAsia" w:ascii="宋体" w:hAnsi="宋体" w:eastAsia="宋体" w:cs="宋体"/>
          <w:bCs/>
          <w:color w:val="auto"/>
          <w:szCs w:val="28"/>
          <w:highlight w:val="none"/>
        </w:rPr>
        <w:t>程序，举报信息直达董事长）；</w:t>
      </w:r>
    </w:p>
    <w:p w14:paraId="18BF8CA6">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bCs/>
          <w:color w:val="auto"/>
          <w:szCs w:val="28"/>
          <w:highlight w:val="none"/>
          <w:lang w:val="en-US" w:eastAsia="zh-CN"/>
        </w:rPr>
        <w:t>2、</w:t>
      </w:r>
      <w:r>
        <w:rPr>
          <w:rFonts w:hint="eastAsia" w:ascii="宋体" w:hAnsi="宋体" w:eastAsia="宋体" w:cs="宋体"/>
          <w:color w:val="auto"/>
          <w:highlight w:val="none"/>
        </w:rPr>
        <w:drawing>
          <wp:anchor distT="0" distB="0" distL="114300" distR="114300" simplePos="0" relativeHeight="251660288" behindDoc="0" locked="0" layoutInCell="1" allowOverlap="1">
            <wp:simplePos x="0" y="0"/>
            <wp:positionH relativeFrom="column">
              <wp:posOffset>4085590</wp:posOffset>
            </wp:positionH>
            <wp:positionV relativeFrom="paragraph">
              <wp:posOffset>99060</wp:posOffset>
            </wp:positionV>
            <wp:extent cx="935990" cy="935990"/>
            <wp:effectExtent l="0" t="0" r="16510" b="1651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eastAsia="宋体" w:cs="宋体"/>
          <w:color w:val="auto"/>
          <w:szCs w:val="28"/>
          <w:highlight w:val="none"/>
        </w:rPr>
        <w:t>邮箱：shenji@chinahonden.com</w:t>
      </w:r>
    </w:p>
    <w:p w14:paraId="4460A72F">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bCs/>
          <w:color w:val="auto"/>
          <w:szCs w:val="28"/>
          <w:highlight w:val="none"/>
          <w:lang w:val="en-US" w:eastAsia="zh-CN"/>
        </w:rPr>
        <w:t>3、</w:t>
      </w:r>
      <w:r>
        <w:rPr>
          <w:rFonts w:hint="eastAsia" w:ascii="宋体" w:hAnsi="宋体" w:eastAsia="宋体" w:cs="宋体"/>
          <w:color w:val="auto"/>
          <w:szCs w:val="28"/>
          <w:highlight w:val="none"/>
        </w:rPr>
        <w:t>电话：风控</w:t>
      </w:r>
      <w:r>
        <w:rPr>
          <w:rFonts w:hint="eastAsia" w:ascii="宋体" w:hAnsi="宋体" w:eastAsia="宋体" w:cs="宋体"/>
          <w:color w:val="auto"/>
          <w:szCs w:val="28"/>
          <w:highlight w:val="none"/>
          <w:lang w:val="en-US" w:eastAsia="zh-CN"/>
        </w:rPr>
        <w:t>总监毛政辉</w:t>
      </w:r>
      <w:r>
        <w:rPr>
          <w:rFonts w:hint="eastAsia" w:ascii="宋体" w:hAnsi="宋体" w:eastAsia="宋体" w:cs="宋体"/>
          <w:color w:val="auto"/>
          <w:szCs w:val="28"/>
          <w:highlight w:val="none"/>
        </w:rPr>
        <w:t>：13693798532</w:t>
      </w:r>
    </w:p>
    <w:p w14:paraId="65D71CDA">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bCs/>
          <w:color w:val="auto"/>
          <w:szCs w:val="28"/>
          <w:highlight w:val="none"/>
          <w:lang w:val="en-US" w:eastAsia="zh-CN"/>
        </w:rPr>
        <w:t>4、</w:t>
      </w:r>
      <w:r>
        <w:rPr>
          <w:rFonts w:hint="eastAsia" w:ascii="宋体" w:hAnsi="宋体" w:eastAsia="宋体" w:cs="宋体"/>
          <w:color w:val="auto"/>
          <w:szCs w:val="28"/>
          <w:highlight w:val="none"/>
        </w:rPr>
        <w:t>电话：审计监察副总监</w:t>
      </w:r>
      <w:r>
        <w:rPr>
          <w:rFonts w:hint="eastAsia" w:ascii="宋体" w:hAnsi="宋体" w:eastAsia="宋体" w:cs="宋体"/>
          <w:color w:val="auto"/>
          <w:szCs w:val="28"/>
          <w:highlight w:val="none"/>
          <w:lang w:val="en-US" w:eastAsia="zh-CN"/>
        </w:rPr>
        <w:t>齐全中</w:t>
      </w:r>
      <w:r>
        <w:rPr>
          <w:rFonts w:hint="eastAsia" w:ascii="宋体" w:hAnsi="宋体" w:eastAsia="宋体" w:cs="宋体"/>
          <w:color w:val="auto"/>
          <w:szCs w:val="28"/>
          <w:highlight w:val="none"/>
        </w:rPr>
        <w:t>：18137710188</w:t>
      </w:r>
    </w:p>
    <w:p w14:paraId="10C725F6">
      <w:pPr>
        <w:spacing w:line="360" w:lineRule="auto"/>
        <w:ind w:firstLine="480" w:firstLineChars="200"/>
        <w:rPr>
          <w:rFonts w:hint="eastAsia" w:ascii="宋体" w:hAnsi="宋体" w:eastAsia="宋体" w:cs="宋体"/>
          <w:color w:val="auto"/>
          <w:szCs w:val="28"/>
          <w:highlight w:val="none"/>
          <w:lang w:val="en-US" w:eastAsia="zh-CN"/>
        </w:rPr>
      </w:pPr>
      <w:r>
        <w:rPr>
          <w:rFonts w:hint="eastAsia" w:ascii="宋体" w:hAnsi="宋体" w:eastAsia="宋体" w:cs="宋体"/>
          <w:bCs/>
          <w:color w:val="auto"/>
          <w:szCs w:val="28"/>
          <w:highlight w:val="none"/>
          <w:lang w:val="en-US" w:eastAsia="zh-CN"/>
        </w:rPr>
        <w:t>5、</w:t>
      </w:r>
      <w:r>
        <w:rPr>
          <w:rFonts w:hint="eastAsia" w:ascii="宋体" w:hAnsi="宋体" w:eastAsia="宋体" w:cs="宋体"/>
          <w:color w:val="auto"/>
          <w:szCs w:val="28"/>
          <w:highlight w:val="none"/>
        </w:rPr>
        <w:t>电话</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lang w:val="en-US" w:eastAsia="zh-CN"/>
        </w:rPr>
        <w:t>审计监察高级经理苏文倩：18839528225</w:t>
      </w:r>
    </w:p>
    <w:p w14:paraId="0DF5F966">
      <w:pPr>
        <w:pStyle w:val="17"/>
        <w:ind w:firstLine="480" w:firstLineChars="200"/>
        <w:rPr>
          <w:rFonts w:hint="eastAsia" w:ascii="宋体" w:hAnsi="宋体" w:eastAsia="宋体" w:cs="宋体"/>
          <w:color w:val="auto"/>
          <w:kern w:val="2"/>
          <w:sz w:val="24"/>
          <w:szCs w:val="28"/>
          <w:highlight w:val="none"/>
          <w:lang w:eastAsia="zh-CN"/>
        </w:rPr>
      </w:pPr>
      <w:r>
        <w:rPr>
          <w:rFonts w:hint="eastAsia" w:ascii="宋体" w:hAnsi="宋体" w:eastAsia="宋体" w:cs="宋体"/>
          <w:bCs/>
          <w:color w:val="auto"/>
          <w:kern w:val="2"/>
          <w:sz w:val="24"/>
          <w:szCs w:val="28"/>
          <w:highlight w:val="none"/>
          <w:lang w:val="en-US" w:eastAsia="zh-CN" w:bidi="ar-SA"/>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14:paraId="2FA2D674">
      <w:pPr>
        <w:spacing w:line="360" w:lineRule="auto"/>
        <w:ind w:firstLine="482" w:firstLineChars="20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四、甲乙双方发现对方工作人员有下列行为之一的，可通过第三条约定的渠道进行举报：</w:t>
      </w:r>
    </w:p>
    <w:p w14:paraId="11DE4123">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推诿扯皮、有责不负、处事消极、渎职失职、弄虚作假等行为。</w:t>
      </w:r>
    </w:p>
    <w:p w14:paraId="2A11066C">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以权谋私、滥用职权、处事不公、隐瞒事故、违章指挥造成公司严重事故隐患的行为。</w:t>
      </w:r>
    </w:p>
    <w:p w14:paraId="5768B4C1">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贪污、受贿、盗窃、欺上瞒下等违法乱纪行为。</w:t>
      </w:r>
    </w:p>
    <w:p w14:paraId="2771DDE4">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出卖、泄露公司商业机密等危害公司行为。</w:t>
      </w:r>
    </w:p>
    <w:p w14:paraId="20490D4C">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5</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重大经济活动未按公司制度、流程执行的违规违纪行为。</w:t>
      </w:r>
    </w:p>
    <w:p w14:paraId="35FD5FDE">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6</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利用职权，任人唯亲，拉帮结派，搞小利益团体或对同事正当</w:t>
      </w:r>
      <w:r>
        <w:rPr>
          <w:rFonts w:hint="eastAsia" w:ascii="宋体" w:hAnsi="宋体" w:eastAsia="宋体" w:cs="宋体"/>
          <w:color w:val="auto"/>
          <w:szCs w:val="28"/>
          <w:highlight w:val="none"/>
          <w:lang w:eastAsia="zh-CN"/>
        </w:rPr>
        <w:t>行使权力</w:t>
      </w:r>
      <w:r>
        <w:rPr>
          <w:rFonts w:hint="eastAsia" w:ascii="宋体" w:hAnsi="宋体" w:eastAsia="宋体" w:cs="宋体"/>
          <w:color w:val="auto"/>
          <w:szCs w:val="28"/>
          <w:highlight w:val="none"/>
        </w:rPr>
        <w:t>进行打击报复的行为。</w:t>
      </w:r>
    </w:p>
    <w:p w14:paraId="3F727E32">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7</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故意涂改公司文件或以公司名义谋私利，损害公司荣誉和利益的行为。</w:t>
      </w:r>
    </w:p>
    <w:p w14:paraId="667B9ED2">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8</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私自侵占、挪用公司财物，损坏公司重要设备或资产的行为。</w:t>
      </w:r>
    </w:p>
    <w:p w14:paraId="2FEA1184">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9</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破坏团队和谐，故意挑拨员工之间关系，对同事恶意侮辱、陷害、制造事端的行为。</w:t>
      </w:r>
    </w:p>
    <w:p w14:paraId="709FE753">
      <w:pPr>
        <w:spacing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10</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妄议集团经营、管理、决策部署、会议决议，对正当行使职权的执法部门、员工进行设置障碍、诋毁、恶意侮辱的行为。</w:t>
      </w:r>
    </w:p>
    <w:p w14:paraId="56A387E5">
      <w:pPr>
        <w:spacing w:line="360" w:lineRule="auto"/>
        <w:ind w:firstLine="480" w:firstLineChars="200"/>
        <w:rPr>
          <w:rFonts w:ascii="宋体" w:hAnsi="宋体" w:cs="宋体"/>
          <w:color w:val="auto"/>
          <w:highlight w:val="none"/>
        </w:rPr>
      </w:pPr>
      <w:r>
        <w:rPr>
          <w:rFonts w:hint="eastAsia" w:ascii="宋体" w:hAnsi="宋体" w:eastAsia="宋体" w:cs="宋体"/>
          <w:color w:val="auto"/>
          <w:szCs w:val="28"/>
          <w:highlight w:val="none"/>
        </w:rPr>
        <w:t>11</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其他违反法律或者甲方公司相关制度的行为</w:t>
      </w:r>
      <w:r>
        <w:rPr>
          <w:rFonts w:hint="eastAsia" w:ascii="宋体" w:hAnsi="宋体" w:cs="宋体"/>
          <w:color w:val="auto"/>
          <w:szCs w:val="28"/>
          <w:highlight w:val="none"/>
        </w:rPr>
        <w:t>。</w:t>
      </w:r>
    </w:p>
    <w:p w14:paraId="5B29B9B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（以下无正文）</w:t>
      </w:r>
    </w:p>
    <w:p w14:paraId="2DB3C4BC">
      <w:pPr>
        <w:autoSpaceDN w:val="0"/>
        <w:spacing w:line="360" w:lineRule="auto"/>
        <w:ind w:firstLine="480" w:firstLineChars="200"/>
        <w:rPr>
          <w:rFonts w:hint="eastAsia" w:ascii="宋体" w:hAnsi="宋体"/>
          <w:color w:val="auto"/>
          <w:szCs w:val="24"/>
          <w:highlight w:val="none"/>
        </w:rPr>
      </w:pPr>
      <w:r>
        <w:rPr>
          <w:rFonts w:hint="eastAsia" w:ascii="宋体" w:hAnsi="宋体"/>
          <w:color w:val="auto"/>
          <w:szCs w:val="24"/>
          <w:highlight w:val="none"/>
        </w:rPr>
        <w:t xml:space="preserve">甲方：   </w:t>
      </w:r>
      <w:r>
        <w:rPr>
          <w:rFonts w:hint="eastAsia" w:ascii="宋体" w:hAnsi="宋体"/>
          <w:color w:val="auto"/>
          <w:szCs w:val="24"/>
          <w:highlight w:val="none"/>
          <w:lang w:val="en-US" w:eastAsia="zh-CN"/>
        </w:rPr>
        <w:t xml:space="preserve">                          </w:t>
      </w:r>
      <w:r>
        <w:rPr>
          <w:rFonts w:hint="eastAsia" w:ascii="宋体" w:hAnsi="宋体"/>
          <w:color w:val="auto"/>
          <w:szCs w:val="24"/>
          <w:highlight w:val="none"/>
        </w:rPr>
        <w:t>乙方：</w:t>
      </w:r>
    </w:p>
    <w:p w14:paraId="2D553798">
      <w:pPr>
        <w:autoSpaceDN w:val="0"/>
        <w:spacing w:line="360" w:lineRule="auto"/>
        <w:ind w:firstLine="480" w:firstLineChars="200"/>
        <w:rPr>
          <w:rFonts w:ascii="宋体" w:hAnsi="宋体"/>
          <w:color w:val="auto"/>
          <w:szCs w:val="24"/>
          <w:highlight w:val="none"/>
        </w:rPr>
      </w:pPr>
      <w:r>
        <w:rPr>
          <w:rFonts w:hint="eastAsia" w:ascii="宋体" w:hAnsi="宋体" w:cs="宋体"/>
          <w:sz w:val="24"/>
          <w:szCs w:val="24"/>
          <w:u w:val="none"/>
          <w:lang w:eastAsia="zh-CN"/>
        </w:rPr>
        <w:t>河南浩德龙瑞置业有限公司</w:t>
      </w:r>
      <w:r>
        <w:rPr>
          <w:rFonts w:hint="eastAsia" w:ascii="宋体" w:hAnsi="宋体"/>
          <w:color w:val="auto"/>
          <w:szCs w:val="24"/>
          <w:highlight w:val="none"/>
        </w:rPr>
        <w:t xml:space="preserve">          </w:t>
      </w:r>
      <w:r>
        <w:rPr>
          <w:rFonts w:hint="eastAsia" w:ascii="宋体" w:hAnsi="宋体"/>
          <w:color w:val="auto"/>
          <w:szCs w:val="24"/>
          <w:highlight w:val="none"/>
          <w:lang w:val="en-US" w:eastAsia="zh-CN"/>
        </w:rPr>
        <w:t xml:space="preserve"> </w:t>
      </w:r>
      <w:r>
        <w:rPr>
          <w:rFonts w:hint="eastAsia" w:ascii="宋体" w:hAnsi="宋体" w:cs="宋体"/>
          <w:b w:val="0"/>
          <w:szCs w:val="24"/>
          <w:u w:val="none"/>
          <w:lang w:eastAsia="zh-CN"/>
        </w:rPr>
        <w:t>三门峡安泰人防工程有限公司</w:t>
      </w:r>
      <w:r>
        <w:rPr>
          <w:rFonts w:hint="eastAsia" w:ascii="宋体" w:hAnsi="宋体"/>
          <w:color w:val="auto"/>
          <w:szCs w:val="24"/>
          <w:highlight w:val="none"/>
        </w:rPr>
        <w:t xml:space="preserve">                   </w:t>
      </w:r>
    </w:p>
    <w:p w14:paraId="00B8B4C8">
      <w:pPr>
        <w:spacing w:line="360" w:lineRule="auto"/>
        <w:ind w:firstLine="480" w:firstLineChars="200"/>
        <w:rPr>
          <w:rFonts w:hint="eastAsia" w:ascii="宋体" w:hAnsi="宋体" w:cs="宋体"/>
          <w:color w:val="auto"/>
          <w:szCs w:val="28"/>
          <w:highlight w:val="none"/>
        </w:rPr>
      </w:pPr>
      <w:r>
        <w:rPr>
          <w:rFonts w:hint="eastAsia" w:ascii="宋体" w:hAnsi="宋体" w:cs="宋体"/>
          <w:bCs/>
          <w:color w:val="auto"/>
          <w:szCs w:val="24"/>
          <w:highlight w:val="none"/>
        </w:rPr>
        <w:t>签订日期：</w:t>
      </w:r>
      <w:r>
        <w:rPr>
          <w:rFonts w:hint="eastAsia" w:ascii="宋体" w:hAnsi="宋体" w:cs="宋体"/>
          <w:bCs/>
          <w:color w:val="auto"/>
          <w:szCs w:val="24"/>
          <w:highlight w:val="none"/>
          <w:u w:val="single"/>
          <w:lang w:val="en-US" w:eastAsia="zh-CN"/>
        </w:rPr>
        <w:t>2024</w:t>
      </w:r>
      <w:r>
        <w:rPr>
          <w:rFonts w:hint="eastAsia" w:ascii="宋体" w:hAnsi="宋体" w:cs="宋体"/>
          <w:bCs/>
          <w:color w:val="auto"/>
          <w:szCs w:val="24"/>
          <w:highlight w:val="none"/>
        </w:rPr>
        <w:t>年</w:t>
      </w:r>
      <w:r>
        <w:rPr>
          <w:rFonts w:hint="eastAsia" w:ascii="宋体" w:hAnsi="宋体" w:cs="宋体"/>
          <w:bCs/>
          <w:color w:val="auto"/>
          <w:szCs w:val="24"/>
          <w:highlight w:val="none"/>
          <w:u w:val="single"/>
          <w:lang w:val="en-US" w:eastAsia="zh-CN"/>
        </w:rPr>
        <w:t>10</w:t>
      </w:r>
      <w:r>
        <w:rPr>
          <w:rFonts w:hint="eastAsia" w:ascii="宋体" w:hAnsi="宋体" w:cs="宋体"/>
          <w:bCs/>
          <w:color w:val="auto"/>
          <w:szCs w:val="24"/>
          <w:highlight w:val="none"/>
        </w:rPr>
        <w:t>月</w:t>
      </w:r>
      <w:r>
        <w:rPr>
          <w:rFonts w:hint="eastAsia" w:ascii="宋体" w:hAnsi="宋体" w:cs="宋体"/>
          <w:bCs/>
          <w:color w:val="auto"/>
          <w:szCs w:val="24"/>
          <w:highlight w:val="none"/>
          <w:u w:val="single"/>
          <w:lang w:val="en-US" w:eastAsia="zh-CN"/>
        </w:rPr>
        <w:t xml:space="preserve">  </w:t>
      </w:r>
      <w:r>
        <w:rPr>
          <w:rFonts w:hint="eastAsia" w:ascii="宋体" w:hAnsi="宋体" w:cs="宋体"/>
          <w:bCs/>
          <w:color w:val="auto"/>
          <w:szCs w:val="24"/>
          <w:highlight w:val="none"/>
        </w:rPr>
        <w:t>日</w:t>
      </w:r>
      <w:r>
        <w:rPr>
          <w:rFonts w:hint="eastAsia" w:ascii="宋体" w:hAnsi="宋体" w:cs="宋体"/>
          <w:color w:val="auto"/>
          <w:szCs w:val="28"/>
          <w:highlight w:val="none"/>
        </w:rPr>
        <w:t xml:space="preserve">         </w:t>
      </w:r>
      <w:r>
        <w:rPr>
          <w:rFonts w:hint="eastAsia" w:ascii="宋体" w:hAnsi="宋体" w:cs="宋体"/>
          <w:bCs/>
          <w:color w:val="auto"/>
          <w:szCs w:val="24"/>
          <w:highlight w:val="none"/>
        </w:rPr>
        <w:t>签订日期：</w:t>
      </w:r>
      <w:r>
        <w:rPr>
          <w:rFonts w:hint="eastAsia" w:ascii="宋体" w:hAnsi="宋体" w:cs="宋体"/>
          <w:bCs/>
          <w:color w:val="auto"/>
          <w:szCs w:val="24"/>
          <w:highlight w:val="none"/>
          <w:u w:val="single"/>
          <w:lang w:val="en-US" w:eastAsia="zh-CN"/>
        </w:rPr>
        <w:t>2024</w:t>
      </w:r>
      <w:r>
        <w:rPr>
          <w:rFonts w:hint="eastAsia" w:ascii="宋体" w:hAnsi="宋体" w:cs="宋体"/>
          <w:bCs/>
          <w:color w:val="auto"/>
          <w:szCs w:val="24"/>
          <w:highlight w:val="none"/>
        </w:rPr>
        <w:t>年</w:t>
      </w:r>
      <w:r>
        <w:rPr>
          <w:rFonts w:hint="eastAsia" w:ascii="宋体" w:hAnsi="宋体" w:cs="宋体"/>
          <w:bCs/>
          <w:color w:val="auto"/>
          <w:szCs w:val="24"/>
          <w:highlight w:val="none"/>
          <w:u w:val="single"/>
          <w:lang w:val="en-US" w:eastAsia="zh-CN"/>
        </w:rPr>
        <w:t>10</w:t>
      </w:r>
      <w:r>
        <w:rPr>
          <w:rFonts w:hint="eastAsia" w:ascii="宋体" w:hAnsi="宋体" w:cs="宋体"/>
          <w:bCs/>
          <w:color w:val="auto"/>
          <w:szCs w:val="24"/>
          <w:highlight w:val="none"/>
        </w:rPr>
        <w:t>月</w:t>
      </w:r>
      <w:r>
        <w:rPr>
          <w:rFonts w:hint="eastAsia" w:ascii="宋体" w:hAnsi="宋体" w:cs="宋体"/>
          <w:bCs/>
          <w:color w:val="auto"/>
          <w:szCs w:val="24"/>
          <w:highlight w:val="none"/>
          <w:u w:val="single"/>
          <w:lang w:val="en-US" w:eastAsia="zh-CN"/>
        </w:rPr>
        <w:t xml:space="preserve">  </w:t>
      </w:r>
      <w:r>
        <w:rPr>
          <w:rFonts w:hint="eastAsia" w:ascii="宋体" w:hAnsi="宋体" w:cs="宋体"/>
          <w:bCs/>
          <w:color w:val="auto"/>
          <w:szCs w:val="24"/>
          <w:highlight w:val="none"/>
        </w:rPr>
        <w:t>日</w:t>
      </w:r>
      <w:r>
        <w:rPr>
          <w:rFonts w:hint="eastAsia" w:ascii="宋体" w:hAnsi="宋体" w:cs="宋体"/>
          <w:color w:val="auto"/>
          <w:szCs w:val="28"/>
          <w:highlight w:val="none"/>
        </w:rPr>
        <w:t xml:space="preserve"> </w:t>
      </w:r>
    </w:p>
    <w:p w14:paraId="13E16997">
      <w:pPr>
        <w:tabs>
          <w:tab w:val="left" w:pos="4465"/>
        </w:tabs>
        <w:ind w:firstLine="482" w:firstLineChars="200"/>
        <w:rPr>
          <w:rFonts w:hint="eastAsia" w:ascii="宋体" w:hAnsi="宋体" w:eastAsia="宋体" w:cs="宋体"/>
          <w:b/>
          <w:bCs w:val="0"/>
          <w:color w:val="auto"/>
          <w:szCs w:val="24"/>
          <w:highlight w:val="none"/>
          <w:lang w:eastAsia="zh-CN"/>
        </w:rPr>
      </w:pPr>
      <w:r>
        <w:rPr>
          <w:rFonts w:hint="eastAsia" w:ascii="宋体" w:hAnsi="宋体" w:cs="宋体"/>
          <w:b/>
          <w:bCs w:val="0"/>
          <w:color w:val="auto"/>
          <w:sz w:val="24"/>
          <w:szCs w:val="24"/>
          <w:highlight w:val="none"/>
        </w:rPr>
        <w:t>附件二、《</w:t>
      </w:r>
      <w:r>
        <w:rPr>
          <w:rFonts w:hint="eastAsia" w:ascii="宋体" w:hAnsi="宋体" w:cs="宋体"/>
          <w:b/>
          <w:bCs w:val="0"/>
          <w:color w:val="auto"/>
          <w:sz w:val="24"/>
          <w:szCs w:val="24"/>
          <w:highlight w:val="none"/>
          <w:lang w:eastAsia="zh-CN"/>
        </w:rPr>
        <w:t>价格清单</w:t>
      </w:r>
      <w:r>
        <w:rPr>
          <w:rFonts w:hint="eastAsia" w:ascii="宋体" w:hAnsi="宋体" w:cs="宋体"/>
          <w:b/>
          <w:bCs w:val="0"/>
          <w:color w:val="auto"/>
          <w:sz w:val="24"/>
          <w:szCs w:val="24"/>
          <w:highlight w:val="none"/>
        </w:rPr>
        <w:t>》</w:t>
      </w:r>
      <w:r>
        <w:rPr>
          <w:rFonts w:hint="eastAsia" w:ascii="宋体" w:hAnsi="宋体" w:cs="宋体"/>
          <w:b/>
          <w:bCs w:val="0"/>
          <w:color w:val="auto"/>
          <w:sz w:val="24"/>
          <w:szCs w:val="24"/>
          <w:highlight w:val="none"/>
          <w:lang w:eastAsia="zh-CN"/>
        </w:rPr>
        <w:t>（后附）</w:t>
      </w:r>
    </w:p>
    <w:sectPr>
      <w:headerReference r:id="rId3" w:type="default"/>
      <w:footerReference r:id="rId4" w:type="default"/>
      <w:pgSz w:w="11906" w:h="16838"/>
      <w:pgMar w:top="1304" w:right="1304" w:bottom="1304" w:left="1304"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B100E">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B03AE">
                          <w:pPr>
                            <w:pStyle w:val="2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7EB03AE">
                    <w:pPr>
                      <w:pStyle w:val="2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2AF7A">
    <w:pPr>
      <w:pStyle w:val="28"/>
      <w:jc w:val="left"/>
    </w:pPr>
    <w:r>
      <w:drawing>
        <wp:inline distT="0" distB="0" distL="114300" distR="114300">
          <wp:extent cx="1019175" cy="314325"/>
          <wp:effectExtent l="0" t="0" r="9525" b="9525"/>
          <wp:docPr id="4"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2"/>
      <w:lvlText w:val="%1."/>
      <w:lvlJc w:val="left"/>
      <w:pPr>
        <w:tabs>
          <w:tab w:val="left" w:pos="0"/>
        </w:tabs>
        <w:ind w:left="425" w:hanging="425"/>
      </w:pPr>
      <w:rPr>
        <w:rFonts w:cs="Times New Roman"/>
      </w:rPr>
    </w:lvl>
    <w:lvl w:ilvl="1" w:tentative="0">
      <w:start w:val="1"/>
      <w:numFmt w:val="decimal"/>
      <w:pStyle w:val="4"/>
      <w:lvlText w:val="%2."/>
      <w:legacy w:legacy="1" w:legacySpace="0" w:legacyIndent="425"/>
      <w:lvlJc w:val="left"/>
      <w:pPr>
        <w:ind w:left="992" w:hanging="425"/>
      </w:pPr>
      <w:rPr>
        <w:rFonts w:cs="Times New Roman"/>
      </w:rPr>
    </w:lvl>
    <w:lvl w:ilvl="2" w:tentative="0">
      <w:start w:val="1"/>
      <w:numFmt w:val="none"/>
      <w:pStyle w:val="5"/>
      <w:suff w:val="nothing"/>
      <w:lvlText w:val=""/>
      <w:lvlJc w:val="left"/>
      <w:pPr>
        <w:tabs>
          <w:tab w:val="left" w:pos="0"/>
        </w:tabs>
        <w:ind w:left="851" w:hanging="425"/>
      </w:pPr>
      <w:rPr>
        <w:rFonts w:cs="Times New Roman"/>
      </w:rPr>
    </w:lvl>
    <w:lvl w:ilvl="3" w:tentative="0">
      <w:start w:val="1"/>
      <w:numFmt w:val="lowerLetter"/>
      <w:pStyle w:val="6"/>
      <w:lvlText w:val="%4)"/>
      <w:legacy w:legacy="1" w:legacySpace="0" w:legacyIndent="425"/>
      <w:lvlJc w:val="left"/>
      <w:pPr>
        <w:ind w:left="1700" w:hanging="425"/>
      </w:pPr>
      <w:rPr>
        <w:rFonts w:cs="Times New Roman"/>
      </w:rPr>
    </w:lvl>
    <w:lvl w:ilvl="4" w:tentative="0">
      <w:start w:val="1"/>
      <w:numFmt w:val="decimal"/>
      <w:pStyle w:val="7"/>
      <w:lvlText w:val="(%5)"/>
      <w:legacy w:legacy="1" w:legacySpace="0" w:legacyIndent="425"/>
      <w:lvlJc w:val="left"/>
      <w:pPr>
        <w:ind w:left="2125" w:hanging="425"/>
      </w:pPr>
      <w:rPr>
        <w:rFonts w:cs="Times New Roman"/>
      </w:rPr>
    </w:lvl>
    <w:lvl w:ilvl="5" w:tentative="0">
      <w:start w:val="1"/>
      <w:numFmt w:val="lowerLetter"/>
      <w:pStyle w:val="8"/>
      <w:lvlText w:val="(%6)"/>
      <w:legacy w:legacy="1" w:legacySpace="0" w:legacyIndent="425"/>
      <w:lvlJc w:val="left"/>
      <w:pPr>
        <w:ind w:left="2550" w:hanging="425"/>
      </w:pPr>
      <w:rPr>
        <w:rFonts w:cs="Times New Roman"/>
      </w:rPr>
    </w:lvl>
    <w:lvl w:ilvl="6" w:tentative="0">
      <w:start w:val="1"/>
      <w:numFmt w:val="lowerRoman"/>
      <w:pStyle w:val="9"/>
      <w:lvlText w:val="(%7)"/>
      <w:legacy w:legacy="1" w:legacySpace="0" w:legacyIndent="425"/>
      <w:lvlJc w:val="left"/>
      <w:pPr>
        <w:ind w:left="2975" w:hanging="425"/>
      </w:pPr>
      <w:rPr>
        <w:rFonts w:cs="Times New Roman"/>
      </w:rPr>
    </w:lvl>
    <w:lvl w:ilvl="7" w:tentative="0">
      <w:start w:val="1"/>
      <w:numFmt w:val="lowerLetter"/>
      <w:pStyle w:val="10"/>
      <w:lvlText w:val="(%8)"/>
      <w:legacy w:legacy="1" w:legacySpace="0" w:legacyIndent="425"/>
      <w:lvlJc w:val="left"/>
      <w:pPr>
        <w:ind w:left="3400" w:hanging="425"/>
      </w:pPr>
      <w:rPr>
        <w:rFonts w:cs="Times New Roman"/>
      </w:rPr>
    </w:lvl>
    <w:lvl w:ilvl="8" w:tentative="0">
      <w:start w:val="1"/>
      <w:numFmt w:val="lowerRoman"/>
      <w:pStyle w:val="11"/>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NotTrackMoves/>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zNDc3NDZmZmFiZWUxMTZiYmU4Y2RmNDM2NDNmZDgifQ=="/>
  </w:docVars>
  <w:rsids>
    <w:rsidRoot w:val="00172A27"/>
    <w:rsid w:val="00010726"/>
    <w:rsid w:val="000116F9"/>
    <w:rsid w:val="000139E0"/>
    <w:rsid w:val="00014E6C"/>
    <w:rsid w:val="00016F0C"/>
    <w:rsid w:val="00025E21"/>
    <w:rsid w:val="0002623D"/>
    <w:rsid w:val="00032676"/>
    <w:rsid w:val="00032847"/>
    <w:rsid w:val="00033465"/>
    <w:rsid w:val="000546A1"/>
    <w:rsid w:val="00054EA5"/>
    <w:rsid w:val="00055432"/>
    <w:rsid w:val="000614F1"/>
    <w:rsid w:val="0007731F"/>
    <w:rsid w:val="00082A00"/>
    <w:rsid w:val="00085542"/>
    <w:rsid w:val="000936F9"/>
    <w:rsid w:val="000A118C"/>
    <w:rsid w:val="000A451E"/>
    <w:rsid w:val="000B1E62"/>
    <w:rsid w:val="000B5339"/>
    <w:rsid w:val="000C0B64"/>
    <w:rsid w:val="000D1A08"/>
    <w:rsid w:val="000D26C8"/>
    <w:rsid w:val="000D6B54"/>
    <w:rsid w:val="000D6C9F"/>
    <w:rsid w:val="000D6F92"/>
    <w:rsid w:val="000F6C99"/>
    <w:rsid w:val="00100C15"/>
    <w:rsid w:val="0010316E"/>
    <w:rsid w:val="00111CD9"/>
    <w:rsid w:val="00112172"/>
    <w:rsid w:val="00112F37"/>
    <w:rsid w:val="00112F8F"/>
    <w:rsid w:val="0011300E"/>
    <w:rsid w:val="00124114"/>
    <w:rsid w:val="00125D5C"/>
    <w:rsid w:val="001260CD"/>
    <w:rsid w:val="001370B0"/>
    <w:rsid w:val="00137AEC"/>
    <w:rsid w:val="0014593E"/>
    <w:rsid w:val="001566AF"/>
    <w:rsid w:val="00161F31"/>
    <w:rsid w:val="001621FC"/>
    <w:rsid w:val="00164A63"/>
    <w:rsid w:val="00166A13"/>
    <w:rsid w:val="00170F87"/>
    <w:rsid w:val="00172A27"/>
    <w:rsid w:val="00174F50"/>
    <w:rsid w:val="00176FF5"/>
    <w:rsid w:val="0018086F"/>
    <w:rsid w:val="00183772"/>
    <w:rsid w:val="001843B4"/>
    <w:rsid w:val="00185C20"/>
    <w:rsid w:val="00190F18"/>
    <w:rsid w:val="00191138"/>
    <w:rsid w:val="00192AC1"/>
    <w:rsid w:val="001A4FB5"/>
    <w:rsid w:val="001A6A80"/>
    <w:rsid w:val="001B6C1E"/>
    <w:rsid w:val="001C761B"/>
    <w:rsid w:val="001D7552"/>
    <w:rsid w:val="001E3A98"/>
    <w:rsid w:val="001E6D2A"/>
    <w:rsid w:val="001F09EF"/>
    <w:rsid w:val="001F2C32"/>
    <w:rsid w:val="001F3BB9"/>
    <w:rsid w:val="00200F8E"/>
    <w:rsid w:val="002048BE"/>
    <w:rsid w:val="002074FF"/>
    <w:rsid w:val="00214FB5"/>
    <w:rsid w:val="00215528"/>
    <w:rsid w:val="00215DA1"/>
    <w:rsid w:val="002160F7"/>
    <w:rsid w:val="0021788F"/>
    <w:rsid w:val="00217A46"/>
    <w:rsid w:val="00231D04"/>
    <w:rsid w:val="00234E52"/>
    <w:rsid w:val="0023640C"/>
    <w:rsid w:val="00242CBA"/>
    <w:rsid w:val="00242D2A"/>
    <w:rsid w:val="002559F8"/>
    <w:rsid w:val="00263186"/>
    <w:rsid w:val="00281D57"/>
    <w:rsid w:val="00282E6B"/>
    <w:rsid w:val="002920BC"/>
    <w:rsid w:val="00293130"/>
    <w:rsid w:val="00294370"/>
    <w:rsid w:val="002A0538"/>
    <w:rsid w:val="002B0A59"/>
    <w:rsid w:val="002B1DC9"/>
    <w:rsid w:val="002B3BA2"/>
    <w:rsid w:val="002C08DC"/>
    <w:rsid w:val="002C6E09"/>
    <w:rsid w:val="002D2A5D"/>
    <w:rsid w:val="002D2E4E"/>
    <w:rsid w:val="002D7C34"/>
    <w:rsid w:val="002E299F"/>
    <w:rsid w:val="002F54E2"/>
    <w:rsid w:val="002F6C9B"/>
    <w:rsid w:val="00302019"/>
    <w:rsid w:val="00302931"/>
    <w:rsid w:val="00311A89"/>
    <w:rsid w:val="00315C4A"/>
    <w:rsid w:val="003238B8"/>
    <w:rsid w:val="00332289"/>
    <w:rsid w:val="0033420C"/>
    <w:rsid w:val="003347F4"/>
    <w:rsid w:val="00337E43"/>
    <w:rsid w:val="003441BD"/>
    <w:rsid w:val="003459DC"/>
    <w:rsid w:val="0034770B"/>
    <w:rsid w:val="003575D9"/>
    <w:rsid w:val="00357A7D"/>
    <w:rsid w:val="00361A56"/>
    <w:rsid w:val="00361D86"/>
    <w:rsid w:val="0036570C"/>
    <w:rsid w:val="00370177"/>
    <w:rsid w:val="0037275B"/>
    <w:rsid w:val="00375A68"/>
    <w:rsid w:val="0037796B"/>
    <w:rsid w:val="00382FFC"/>
    <w:rsid w:val="00391826"/>
    <w:rsid w:val="00391934"/>
    <w:rsid w:val="00397162"/>
    <w:rsid w:val="003A1343"/>
    <w:rsid w:val="003A6A7B"/>
    <w:rsid w:val="003B25DF"/>
    <w:rsid w:val="003B2B3C"/>
    <w:rsid w:val="003B54BE"/>
    <w:rsid w:val="003B5FC8"/>
    <w:rsid w:val="003C0940"/>
    <w:rsid w:val="003C2C6C"/>
    <w:rsid w:val="003D3D56"/>
    <w:rsid w:val="003E1D77"/>
    <w:rsid w:val="003F4DA3"/>
    <w:rsid w:val="00400C75"/>
    <w:rsid w:val="00413734"/>
    <w:rsid w:val="00420F76"/>
    <w:rsid w:val="00421B0F"/>
    <w:rsid w:val="00435097"/>
    <w:rsid w:val="00443089"/>
    <w:rsid w:val="00452B7B"/>
    <w:rsid w:val="00452C9F"/>
    <w:rsid w:val="00457B8D"/>
    <w:rsid w:val="004610E7"/>
    <w:rsid w:val="0047663D"/>
    <w:rsid w:val="00476AF2"/>
    <w:rsid w:val="004939DD"/>
    <w:rsid w:val="004951E6"/>
    <w:rsid w:val="004B320C"/>
    <w:rsid w:val="004C4C29"/>
    <w:rsid w:val="004C5237"/>
    <w:rsid w:val="004C6F5C"/>
    <w:rsid w:val="004D1E1C"/>
    <w:rsid w:val="004D58E6"/>
    <w:rsid w:val="004E3729"/>
    <w:rsid w:val="004E37CA"/>
    <w:rsid w:val="004E5451"/>
    <w:rsid w:val="004E78BF"/>
    <w:rsid w:val="004F1EAD"/>
    <w:rsid w:val="004F27B2"/>
    <w:rsid w:val="004F5178"/>
    <w:rsid w:val="004F6717"/>
    <w:rsid w:val="00501483"/>
    <w:rsid w:val="00510497"/>
    <w:rsid w:val="00510CAD"/>
    <w:rsid w:val="005124F8"/>
    <w:rsid w:val="005225C0"/>
    <w:rsid w:val="00524DEA"/>
    <w:rsid w:val="0052633E"/>
    <w:rsid w:val="00534C97"/>
    <w:rsid w:val="00547DA7"/>
    <w:rsid w:val="00551284"/>
    <w:rsid w:val="005530FF"/>
    <w:rsid w:val="005630F5"/>
    <w:rsid w:val="00563274"/>
    <w:rsid w:val="005648F6"/>
    <w:rsid w:val="00570C35"/>
    <w:rsid w:val="0057609F"/>
    <w:rsid w:val="00577126"/>
    <w:rsid w:val="00580C3D"/>
    <w:rsid w:val="005828CD"/>
    <w:rsid w:val="005B3373"/>
    <w:rsid w:val="005C1D34"/>
    <w:rsid w:val="005C2518"/>
    <w:rsid w:val="005C3D17"/>
    <w:rsid w:val="005C42F8"/>
    <w:rsid w:val="005D2388"/>
    <w:rsid w:val="005D27B5"/>
    <w:rsid w:val="005D3798"/>
    <w:rsid w:val="005E1224"/>
    <w:rsid w:val="005E4910"/>
    <w:rsid w:val="005E5060"/>
    <w:rsid w:val="005E6644"/>
    <w:rsid w:val="005E75CD"/>
    <w:rsid w:val="005F2676"/>
    <w:rsid w:val="005F28D7"/>
    <w:rsid w:val="005F4688"/>
    <w:rsid w:val="005F60DA"/>
    <w:rsid w:val="006005DF"/>
    <w:rsid w:val="00600C77"/>
    <w:rsid w:val="00602367"/>
    <w:rsid w:val="00604E35"/>
    <w:rsid w:val="006055AF"/>
    <w:rsid w:val="006104E5"/>
    <w:rsid w:val="006224E6"/>
    <w:rsid w:val="00622EE2"/>
    <w:rsid w:val="00624857"/>
    <w:rsid w:val="006254C0"/>
    <w:rsid w:val="006424D0"/>
    <w:rsid w:val="00643F97"/>
    <w:rsid w:val="0065413E"/>
    <w:rsid w:val="00680677"/>
    <w:rsid w:val="00682640"/>
    <w:rsid w:val="006828FA"/>
    <w:rsid w:val="006969DD"/>
    <w:rsid w:val="006A16F9"/>
    <w:rsid w:val="006A20F5"/>
    <w:rsid w:val="006A2BA2"/>
    <w:rsid w:val="006A5F87"/>
    <w:rsid w:val="006B1CB6"/>
    <w:rsid w:val="006C4142"/>
    <w:rsid w:val="006C712D"/>
    <w:rsid w:val="006D6390"/>
    <w:rsid w:val="006D6BCA"/>
    <w:rsid w:val="006E434C"/>
    <w:rsid w:val="006E7F8B"/>
    <w:rsid w:val="006F15BD"/>
    <w:rsid w:val="006F36C3"/>
    <w:rsid w:val="006F71EB"/>
    <w:rsid w:val="00702CB0"/>
    <w:rsid w:val="0071102B"/>
    <w:rsid w:val="0071110C"/>
    <w:rsid w:val="00720003"/>
    <w:rsid w:val="0072227C"/>
    <w:rsid w:val="00723612"/>
    <w:rsid w:val="007238B5"/>
    <w:rsid w:val="00725B97"/>
    <w:rsid w:val="00725DFF"/>
    <w:rsid w:val="00727225"/>
    <w:rsid w:val="007314CF"/>
    <w:rsid w:val="0074260E"/>
    <w:rsid w:val="00762F1D"/>
    <w:rsid w:val="007703FD"/>
    <w:rsid w:val="0077774E"/>
    <w:rsid w:val="00780B57"/>
    <w:rsid w:val="0078582E"/>
    <w:rsid w:val="00795614"/>
    <w:rsid w:val="007A030E"/>
    <w:rsid w:val="007A6C93"/>
    <w:rsid w:val="007B3FF1"/>
    <w:rsid w:val="007C10B6"/>
    <w:rsid w:val="007C1873"/>
    <w:rsid w:val="007C25C7"/>
    <w:rsid w:val="007C3B3B"/>
    <w:rsid w:val="007C3B7C"/>
    <w:rsid w:val="007E7880"/>
    <w:rsid w:val="0080344C"/>
    <w:rsid w:val="00804FEB"/>
    <w:rsid w:val="0080729B"/>
    <w:rsid w:val="0081246B"/>
    <w:rsid w:val="00833059"/>
    <w:rsid w:val="0083423D"/>
    <w:rsid w:val="00836F06"/>
    <w:rsid w:val="008474FA"/>
    <w:rsid w:val="00862A43"/>
    <w:rsid w:val="00864308"/>
    <w:rsid w:val="00864A83"/>
    <w:rsid w:val="008715C4"/>
    <w:rsid w:val="00876E09"/>
    <w:rsid w:val="008825E1"/>
    <w:rsid w:val="00883693"/>
    <w:rsid w:val="00883ED0"/>
    <w:rsid w:val="00896943"/>
    <w:rsid w:val="008A368E"/>
    <w:rsid w:val="008B302A"/>
    <w:rsid w:val="008B4DF3"/>
    <w:rsid w:val="008C20A2"/>
    <w:rsid w:val="008D2674"/>
    <w:rsid w:val="008D5B85"/>
    <w:rsid w:val="008D5FB8"/>
    <w:rsid w:val="008E35F5"/>
    <w:rsid w:val="008E3FE3"/>
    <w:rsid w:val="008E53C8"/>
    <w:rsid w:val="008E7327"/>
    <w:rsid w:val="008F13C7"/>
    <w:rsid w:val="008F67A7"/>
    <w:rsid w:val="008F7992"/>
    <w:rsid w:val="00903AA1"/>
    <w:rsid w:val="009110AD"/>
    <w:rsid w:val="00912FCB"/>
    <w:rsid w:val="00916846"/>
    <w:rsid w:val="00924242"/>
    <w:rsid w:val="00932339"/>
    <w:rsid w:val="00933379"/>
    <w:rsid w:val="00935FE1"/>
    <w:rsid w:val="00940B72"/>
    <w:rsid w:val="00942AF5"/>
    <w:rsid w:val="00942BBE"/>
    <w:rsid w:val="00944B6F"/>
    <w:rsid w:val="00947E5F"/>
    <w:rsid w:val="009515D3"/>
    <w:rsid w:val="00951A41"/>
    <w:rsid w:val="00954AB2"/>
    <w:rsid w:val="00960572"/>
    <w:rsid w:val="009656FA"/>
    <w:rsid w:val="00975064"/>
    <w:rsid w:val="009800B9"/>
    <w:rsid w:val="00994224"/>
    <w:rsid w:val="0099773F"/>
    <w:rsid w:val="009A0333"/>
    <w:rsid w:val="009B1946"/>
    <w:rsid w:val="009B71DF"/>
    <w:rsid w:val="009C07AE"/>
    <w:rsid w:val="009D098C"/>
    <w:rsid w:val="009D379C"/>
    <w:rsid w:val="009F42FB"/>
    <w:rsid w:val="00A003E9"/>
    <w:rsid w:val="00A010C3"/>
    <w:rsid w:val="00A07530"/>
    <w:rsid w:val="00A10CD0"/>
    <w:rsid w:val="00A11CF6"/>
    <w:rsid w:val="00A243FB"/>
    <w:rsid w:val="00A248CC"/>
    <w:rsid w:val="00A33151"/>
    <w:rsid w:val="00A419F7"/>
    <w:rsid w:val="00A52278"/>
    <w:rsid w:val="00A52826"/>
    <w:rsid w:val="00A61C04"/>
    <w:rsid w:val="00A64355"/>
    <w:rsid w:val="00A64385"/>
    <w:rsid w:val="00A72EF7"/>
    <w:rsid w:val="00A76130"/>
    <w:rsid w:val="00A82C77"/>
    <w:rsid w:val="00A830AA"/>
    <w:rsid w:val="00A95E14"/>
    <w:rsid w:val="00A976CE"/>
    <w:rsid w:val="00AA5854"/>
    <w:rsid w:val="00AC197B"/>
    <w:rsid w:val="00AC4783"/>
    <w:rsid w:val="00AC6F6C"/>
    <w:rsid w:val="00AD6411"/>
    <w:rsid w:val="00AF3978"/>
    <w:rsid w:val="00B103BD"/>
    <w:rsid w:val="00B11977"/>
    <w:rsid w:val="00B12168"/>
    <w:rsid w:val="00B13BB6"/>
    <w:rsid w:val="00B1467D"/>
    <w:rsid w:val="00B22069"/>
    <w:rsid w:val="00B406C6"/>
    <w:rsid w:val="00B42469"/>
    <w:rsid w:val="00B510D7"/>
    <w:rsid w:val="00B5537B"/>
    <w:rsid w:val="00B558DE"/>
    <w:rsid w:val="00B81368"/>
    <w:rsid w:val="00B87BE2"/>
    <w:rsid w:val="00B92795"/>
    <w:rsid w:val="00B95703"/>
    <w:rsid w:val="00BB2763"/>
    <w:rsid w:val="00BC0E92"/>
    <w:rsid w:val="00BC27D3"/>
    <w:rsid w:val="00BC7700"/>
    <w:rsid w:val="00BD7385"/>
    <w:rsid w:val="00BE1063"/>
    <w:rsid w:val="00BF0416"/>
    <w:rsid w:val="00BF53F0"/>
    <w:rsid w:val="00BF5F73"/>
    <w:rsid w:val="00C1211F"/>
    <w:rsid w:val="00C12BEA"/>
    <w:rsid w:val="00C130A7"/>
    <w:rsid w:val="00C1617B"/>
    <w:rsid w:val="00C17840"/>
    <w:rsid w:val="00C2322F"/>
    <w:rsid w:val="00C264B8"/>
    <w:rsid w:val="00C27889"/>
    <w:rsid w:val="00C309AF"/>
    <w:rsid w:val="00C32C40"/>
    <w:rsid w:val="00C43A69"/>
    <w:rsid w:val="00C5113C"/>
    <w:rsid w:val="00C60374"/>
    <w:rsid w:val="00C62DF1"/>
    <w:rsid w:val="00C67419"/>
    <w:rsid w:val="00C73F7D"/>
    <w:rsid w:val="00C76E92"/>
    <w:rsid w:val="00C8603E"/>
    <w:rsid w:val="00CA029F"/>
    <w:rsid w:val="00CA7DE7"/>
    <w:rsid w:val="00CA7EBD"/>
    <w:rsid w:val="00CB1F29"/>
    <w:rsid w:val="00CB65A8"/>
    <w:rsid w:val="00CE0F73"/>
    <w:rsid w:val="00CE3294"/>
    <w:rsid w:val="00CE71B5"/>
    <w:rsid w:val="00CF1F58"/>
    <w:rsid w:val="00D113B0"/>
    <w:rsid w:val="00D132E4"/>
    <w:rsid w:val="00D14521"/>
    <w:rsid w:val="00D22606"/>
    <w:rsid w:val="00D309DA"/>
    <w:rsid w:val="00D31257"/>
    <w:rsid w:val="00D36B6A"/>
    <w:rsid w:val="00D40345"/>
    <w:rsid w:val="00D435CF"/>
    <w:rsid w:val="00D452AB"/>
    <w:rsid w:val="00D465C4"/>
    <w:rsid w:val="00D52B80"/>
    <w:rsid w:val="00D5388D"/>
    <w:rsid w:val="00D632CF"/>
    <w:rsid w:val="00D63376"/>
    <w:rsid w:val="00D652B0"/>
    <w:rsid w:val="00D65CDD"/>
    <w:rsid w:val="00D72052"/>
    <w:rsid w:val="00D7706F"/>
    <w:rsid w:val="00D80562"/>
    <w:rsid w:val="00D85C33"/>
    <w:rsid w:val="00D93A42"/>
    <w:rsid w:val="00D94BF3"/>
    <w:rsid w:val="00D97CD4"/>
    <w:rsid w:val="00DA0F0D"/>
    <w:rsid w:val="00DA3FE6"/>
    <w:rsid w:val="00DA68ED"/>
    <w:rsid w:val="00DB112F"/>
    <w:rsid w:val="00DC3E56"/>
    <w:rsid w:val="00DC4A32"/>
    <w:rsid w:val="00DD1A52"/>
    <w:rsid w:val="00DD7828"/>
    <w:rsid w:val="00DE2AEE"/>
    <w:rsid w:val="00DE403D"/>
    <w:rsid w:val="00DF0F6B"/>
    <w:rsid w:val="00DF3DFB"/>
    <w:rsid w:val="00E07312"/>
    <w:rsid w:val="00E2161D"/>
    <w:rsid w:val="00E26ED9"/>
    <w:rsid w:val="00E34CC7"/>
    <w:rsid w:val="00E356DD"/>
    <w:rsid w:val="00E3720A"/>
    <w:rsid w:val="00E44D0A"/>
    <w:rsid w:val="00E44DE2"/>
    <w:rsid w:val="00E562E3"/>
    <w:rsid w:val="00E62879"/>
    <w:rsid w:val="00E657DD"/>
    <w:rsid w:val="00E72062"/>
    <w:rsid w:val="00E73ADD"/>
    <w:rsid w:val="00E75879"/>
    <w:rsid w:val="00E82CA5"/>
    <w:rsid w:val="00E869AE"/>
    <w:rsid w:val="00E921BE"/>
    <w:rsid w:val="00E92A5D"/>
    <w:rsid w:val="00E930E9"/>
    <w:rsid w:val="00EA0BCD"/>
    <w:rsid w:val="00EA1BDB"/>
    <w:rsid w:val="00EA7148"/>
    <w:rsid w:val="00EB1F23"/>
    <w:rsid w:val="00EC1860"/>
    <w:rsid w:val="00EC640F"/>
    <w:rsid w:val="00EE22E0"/>
    <w:rsid w:val="00EE357E"/>
    <w:rsid w:val="00EF2028"/>
    <w:rsid w:val="00EF7003"/>
    <w:rsid w:val="00EF7220"/>
    <w:rsid w:val="00F020E7"/>
    <w:rsid w:val="00F1076C"/>
    <w:rsid w:val="00F11A36"/>
    <w:rsid w:val="00F138AB"/>
    <w:rsid w:val="00F213F1"/>
    <w:rsid w:val="00F22C58"/>
    <w:rsid w:val="00F22E90"/>
    <w:rsid w:val="00F24D56"/>
    <w:rsid w:val="00F314A1"/>
    <w:rsid w:val="00F31550"/>
    <w:rsid w:val="00F32EAB"/>
    <w:rsid w:val="00F35DD2"/>
    <w:rsid w:val="00F46685"/>
    <w:rsid w:val="00F53CCC"/>
    <w:rsid w:val="00F55462"/>
    <w:rsid w:val="00F60EBC"/>
    <w:rsid w:val="00F6189C"/>
    <w:rsid w:val="00F92C82"/>
    <w:rsid w:val="00F97431"/>
    <w:rsid w:val="00FA321E"/>
    <w:rsid w:val="00FA4D28"/>
    <w:rsid w:val="00FB265B"/>
    <w:rsid w:val="00FB3517"/>
    <w:rsid w:val="00FB6A72"/>
    <w:rsid w:val="00FC097A"/>
    <w:rsid w:val="00FD0809"/>
    <w:rsid w:val="00FD69D7"/>
    <w:rsid w:val="00FE375F"/>
    <w:rsid w:val="00FF03DB"/>
    <w:rsid w:val="00FF3D31"/>
    <w:rsid w:val="01164B88"/>
    <w:rsid w:val="012745B9"/>
    <w:rsid w:val="013E16ED"/>
    <w:rsid w:val="016C3779"/>
    <w:rsid w:val="01895A4D"/>
    <w:rsid w:val="01917894"/>
    <w:rsid w:val="0192652E"/>
    <w:rsid w:val="01AC75F0"/>
    <w:rsid w:val="01AF18B1"/>
    <w:rsid w:val="01F95703"/>
    <w:rsid w:val="01FA2C0B"/>
    <w:rsid w:val="01FD2C1A"/>
    <w:rsid w:val="02064CB5"/>
    <w:rsid w:val="025D4D8E"/>
    <w:rsid w:val="025F68E9"/>
    <w:rsid w:val="0282778C"/>
    <w:rsid w:val="028F7B33"/>
    <w:rsid w:val="02FB3B37"/>
    <w:rsid w:val="030409C5"/>
    <w:rsid w:val="030671D3"/>
    <w:rsid w:val="030C6666"/>
    <w:rsid w:val="031A5F67"/>
    <w:rsid w:val="031D2F23"/>
    <w:rsid w:val="032B630B"/>
    <w:rsid w:val="03306128"/>
    <w:rsid w:val="0341730F"/>
    <w:rsid w:val="034417AC"/>
    <w:rsid w:val="035A0B8E"/>
    <w:rsid w:val="035D3B47"/>
    <w:rsid w:val="036C2532"/>
    <w:rsid w:val="03806F86"/>
    <w:rsid w:val="03843306"/>
    <w:rsid w:val="03A5079A"/>
    <w:rsid w:val="03BB20CC"/>
    <w:rsid w:val="03D34DCC"/>
    <w:rsid w:val="03E51874"/>
    <w:rsid w:val="04227711"/>
    <w:rsid w:val="04230F6B"/>
    <w:rsid w:val="042F236B"/>
    <w:rsid w:val="04406715"/>
    <w:rsid w:val="04583A5F"/>
    <w:rsid w:val="04610B65"/>
    <w:rsid w:val="04737FBB"/>
    <w:rsid w:val="04871548"/>
    <w:rsid w:val="048B5FB4"/>
    <w:rsid w:val="049D0D0D"/>
    <w:rsid w:val="04A03A68"/>
    <w:rsid w:val="04A27CAE"/>
    <w:rsid w:val="04B3555B"/>
    <w:rsid w:val="04BC305A"/>
    <w:rsid w:val="04C73CEE"/>
    <w:rsid w:val="04CA5FDF"/>
    <w:rsid w:val="04EB0E68"/>
    <w:rsid w:val="050C4B57"/>
    <w:rsid w:val="051A6F66"/>
    <w:rsid w:val="051E41F2"/>
    <w:rsid w:val="05343860"/>
    <w:rsid w:val="055208E4"/>
    <w:rsid w:val="05610FE1"/>
    <w:rsid w:val="057448C8"/>
    <w:rsid w:val="057475BE"/>
    <w:rsid w:val="05813E6E"/>
    <w:rsid w:val="05A862FF"/>
    <w:rsid w:val="05E712AF"/>
    <w:rsid w:val="05F23972"/>
    <w:rsid w:val="06022278"/>
    <w:rsid w:val="060A3D7B"/>
    <w:rsid w:val="060B16EF"/>
    <w:rsid w:val="061C4744"/>
    <w:rsid w:val="062570C3"/>
    <w:rsid w:val="063163F5"/>
    <w:rsid w:val="06443FD4"/>
    <w:rsid w:val="06451DC1"/>
    <w:rsid w:val="06542B97"/>
    <w:rsid w:val="065C4882"/>
    <w:rsid w:val="065C732C"/>
    <w:rsid w:val="06A1459A"/>
    <w:rsid w:val="06A713D5"/>
    <w:rsid w:val="06A72875"/>
    <w:rsid w:val="06B156A8"/>
    <w:rsid w:val="06B523B4"/>
    <w:rsid w:val="06D6265A"/>
    <w:rsid w:val="06EF618A"/>
    <w:rsid w:val="06F1404D"/>
    <w:rsid w:val="06FD6012"/>
    <w:rsid w:val="07233CF2"/>
    <w:rsid w:val="07277E4A"/>
    <w:rsid w:val="07312958"/>
    <w:rsid w:val="073212C7"/>
    <w:rsid w:val="0737475B"/>
    <w:rsid w:val="07583439"/>
    <w:rsid w:val="076661DC"/>
    <w:rsid w:val="07832D10"/>
    <w:rsid w:val="07BF4B46"/>
    <w:rsid w:val="07CF67A4"/>
    <w:rsid w:val="07D33E57"/>
    <w:rsid w:val="07E07279"/>
    <w:rsid w:val="07E46C66"/>
    <w:rsid w:val="07EC3015"/>
    <w:rsid w:val="07F01122"/>
    <w:rsid w:val="08083760"/>
    <w:rsid w:val="08387E2F"/>
    <w:rsid w:val="08510EF1"/>
    <w:rsid w:val="0854399F"/>
    <w:rsid w:val="08550A1F"/>
    <w:rsid w:val="085E77F2"/>
    <w:rsid w:val="085E7EC5"/>
    <w:rsid w:val="08810382"/>
    <w:rsid w:val="0889196E"/>
    <w:rsid w:val="08924764"/>
    <w:rsid w:val="08974772"/>
    <w:rsid w:val="089B7D9C"/>
    <w:rsid w:val="08A240AA"/>
    <w:rsid w:val="08A301E0"/>
    <w:rsid w:val="08EA6EC7"/>
    <w:rsid w:val="08F22A9E"/>
    <w:rsid w:val="08F66379"/>
    <w:rsid w:val="08F9253D"/>
    <w:rsid w:val="09063878"/>
    <w:rsid w:val="09335716"/>
    <w:rsid w:val="093643E7"/>
    <w:rsid w:val="09573DEF"/>
    <w:rsid w:val="0961604E"/>
    <w:rsid w:val="096C547C"/>
    <w:rsid w:val="097C11CE"/>
    <w:rsid w:val="097D251D"/>
    <w:rsid w:val="098047A7"/>
    <w:rsid w:val="098413F8"/>
    <w:rsid w:val="09904AEC"/>
    <w:rsid w:val="099B4073"/>
    <w:rsid w:val="099F5E76"/>
    <w:rsid w:val="09C6147E"/>
    <w:rsid w:val="09C67818"/>
    <w:rsid w:val="09CA0F5B"/>
    <w:rsid w:val="09F047C0"/>
    <w:rsid w:val="09F379C4"/>
    <w:rsid w:val="0A107FD2"/>
    <w:rsid w:val="0A345492"/>
    <w:rsid w:val="0A3967E7"/>
    <w:rsid w:val="0A72134D"/>
    <w:rsid w:val="0A960A6B"/>
    <w:rsid w:val="0A9658EF"/>
    <w:rsid w:val="0AA43F8F"/>
    <w:rsid w:val="0AD32B9E"/>
    <w:rsid w:val="0ADB193B"/>
    <w:rsid w:val="0ADD2EBC"/>
    <w:rsid w:val="0AEF5C9B"/>
    <w:rsid w:val="0AFE74D1"/>
    <w:rsid w:val="0B04351F"/>
    <w:rsid w:val="0B1474F2"/>
    <w:rsid w:val="0B1968B4"/>
    <w:rsid w:val="0B257904"/>
    <w:rsid w:val="0B2B77D7"/>
    <w:rsid w:val="0B4765DB"/>
    <w:rsid w:val="0B4F0345"/>
    <w:rsid w:val="0B4F2300"/>
    <w:rsid w:val="0B5B35A6"/>
    <w:rsid w:val="0B737363"/>
    <w:rsid w:val="0BC4723C"/>
    <w:rsid w:val="0BCD36CD"/>
    <w:rsid w:val="0BE6606F"/>
    <w:rsid w:val="0BE74F15"/>
    <w:rsid w:val="0BFF2E80"/>
    <w:rsid w:val="0C1C74AE"/>
    <w:rsid w:val="0C213484"/>
    <w:rsid w:val="0C244086"/>
    <w:rsid w:val="0C324B95"/>
    <w:rsid w:val="0C337593"/>
    <w:rsid w:val="0C515133"/>
    <w:rsid w:val="0C545396"/>
    <w:rsid w:val="0C5457D1"/>
    <w:rsid w:val="0C686809"/>
    <w:rsid w:val="0C717E1C"/>
    <w:rsid w:val="0C746ACA"/>
    <w:rsid w:val="0C783AA6"/>
    <w:rsid w:val="0CA66028"/>
    <w:rsid w:val="0CC2416B"/>
    <w:rsid w:val="0CDA7707"/>
    <w:rsid w:val="0CE642FD"/>
    <w:rsid w:val="0CE916F8"/>
    <w:rsid w:val="0D0C53E6"/>
    <w:rsid w:val="0D102BB5"/>
    <w:rsid w:val="0D113B85"/>
    <w:rsid w:val="0D177805"/>
    <w:rsid w:val="0D2348A7"/>
    <w:rsid w:val="0D284E83"/>
    <w:rsid w:val="0D2935C2"/>
    <w:rsid w:val="0D296605"/>
    <w:rsid w:val="0D3870E7"/>
    <w:rsid w:val="0D54476C"/>
    <w:rsid w:val="0D553911"/>
    <w:rsid w:val="0D690A8B"/>
    <w:rsid w:val="0D762E02"/>
    <w:rsid w:val="0DC30CBA"/>
    <w:rsid w:val="0DF454E1"/>
    <w:rsid w:val="0E09061B"/>
    <w:rsid w:val="0E1B3897"/>
    <w:rsid w:val="0E213113"/>
    <w:rsid w:val="0E32010A"/>
    <w:rsid w:val="0E3D7AF2"/>
    <w:rsid w:val="0E3F28F3"/>
    <w:rsid w:val="0E3F3E02"/>
    <w:rsid w:val="0E407913"/>
    <w:rsid w:val="0E584B85"/>
    <w:rsid w:val="0E6C5751"/>
    <w:rsid w:val="0E6E2065"/>
    <w:rsid w:val="0E8A0CB9"/>
    <w:rsid w:val="0E8D1EE0"/>
    <w:rsid w:val="0E8F6872"/>
    <w:rsid w:val="0E903E81"/>
    <w:rsid w:val="0EA855E3"/>
    <w:rsid w:val="0EAF0344"/>
    <w:rsid w:val="0EC04C51"/>
    <w:rsid w:val="0ED666DF"/>
    <w:rsid w:val="0EE5178E"/>
    <w:rsid w:val="0F3478C1"/>
    <w:rsid w:val="0F44158E"/>
    <w:rsid w:val="0F457322"/>
    <w:rsid w:val="0F4C71A5"/>
    <w:rsid w:val="0F5C6E37"/>
    <w:rsid w:val="0F5E03E3"/>
    <w:rsid w:val="0F5E408C"/>
    <w:rsid w:val="0F783B0D"/>
    <w:rsid w:val="0F8739DD"/>
    <w:rsid w:val="0F8B3176"/>
    <w:rsid w:val="0F985657"/>
    <w:rsid w:val="0F9D0C62"/>
    <w:rsid w:val="0FB14DDD"/>
    <w:rsid w:val="0FB24FB1"/>
    <w:rsid w:val="0FBA3368"/>
    <w:rsid w:val="0FBC048E"/>
    <w:rsid w:val="0FD3668F"/>
    <w:rsid w:val="0FD52407"/>
    <w:rsid w:val="0FD56828"/>
    <w:rsid w:val="0FF6628A"/>
    <w:rsid w:val="0FFF7484"/>
    <w:rsid w:val="100658D8"/>
    <w:rsid w:val="10374E70"/>
    <w:rsid w:val="103F0A5C"/>
    <w:rsid w:val="10484987"/>
    <w:rsid w:val="105134D0"/>
    <w:rsid w:val="1051674C"/>
    <w:rsid w:val="106D5EC4"/>
    <w:rsid w:val="10761B37"/>
    <w:rsid w:val="1088432D"/>
    <w:rsid w:val="10924232"/>
    <w:rsid w:val="109E016A"/>
    <w:rsid w:val="10A03710"/>
    <w:rsid w:val="10B309F0"/>
    <w:rsid w:val="10C05D7B"/>
    <w:rsid w:val="10C823BD"/>
    <w:rsid w:val="10D366B1"/>
    <w:rsid w:val="10D60C4A"/>
    <w:rsid w:val="10F67417"/>
    <w:rsid w:val="11466CC0"/>
    <w:rsid w:val="114D1C27"/>
    <w:rsid w:val="115033D9"/>
    <w:rsid w:val="115B6548"/>
    <w:rsid w:val="11661CA6"/>
    <w:rsid w:val="117048C5"/>
    <w:rsid w:val="118A2253"/>
    <w:rsid w:val="118C2F9A"/>
    <w:rsid w:val="11A021F8"/>
    <w:rsid w:val="11AB3690"/>
    <w:rsid w:val="11B06995"/>
    <w:rsid w:val="11C0052E"/>
    <w:rsid w:val="11CF3C92"/>
    <w:rsid w:val="11CF6A03"/>
    <w:rsid w:val="11D16ECB"/>
    <w:rsid w:val="12160F3D"/>
    <w:rsid w:val="122C438D"/>
    <w:rsid w:val="12441151"/>
    <w:rsid w:val="12663109"/>
    <w:rsid w:val="12726684"/>
    <w:rsid w:val="1287063E"/>
    <w:rsid w:val="12AB3870"/>
    <w:rsid w:val="12B72030"/>
    <w:rsid w:val="12DA1AE3"/>
    <w:rsid w:val="12DB7359"/>
    <w:rsid w:val="12DC0ED7"/>
    <w:rsid w:val="12DF1144"/>
    <w:rsid w:val="12E43A11"/>
    <w:rsid w:val="12F30490"/>
    <w:rsid w:val="12FC5EFD"/>
    <w:rsid w:val="13036097"/>
    <w:rsid w:val="130C4392"/>
    <w:rsid w:val="130D0479"/>
    <w:rsid w:val="13276632"/>
    <w:rsid w:val="132F0464"/>
    <w:rsid w:val="134C04FB"/>
    <w:rsid w:val="1351149E"/>
    <w:rsid w:val="13665569"/>
    <w:rsid w:val="136C472C"/>
    <w:rsid w:val="13737F6D"/>
    <w:rsid w:val="13750FF7"/>
    <w:rsid w:val="137C1C8F"/>
    <w:rsid w:val="13833021"/>
    <w:rsid w:val="13880D96"/>
    <w:rsid w:val="138F0B1F"/>
    <w:rsid w:val="13983EDF"/>
    <w:rsid w:val="139A420A"/>
    <w:rsid w:val="139B5716"/>
    <w:rsid w:val="13AE5B37"/>
    <w:rsid w:val="13B21E19"/>
    <w:rsid w:val="13E3266A"/>
    <w:rsid w:val="13EF057A"/>
    <w:rsid w:val="14024931"/>
    <w:rsid w:val="14026D79"/>
    <w:rsid w:val="140E024D"/>
    <w:rsid w:val="14171240"/>
    <w:rsid w:val="141823C0"/>
    <w:rsid w:val="142B398F"/>
    <w:rsid w:val="142F05CE"/>
    <w:rsid w:val="14360F37"/>
    <w:rsid w:val="143E1B9C"/>
    <w:rsid w:val="147B1051"/>
    <w:rsid w:val="14866626"/>
    <w:rsid w:val="149C17E3"/>
    <w:rsid w:val="14AB3312"/>
    <w:rsid w:val="14DE3932"/>
    <w:rsid w:val="14EE3BC5"/>
    <w:rsid w:val="14F661CA"/>
    <w:rsid w:val="14FE1E2E"/>
    <w:rsid w:val="150A58BF"/>
    <w:rsid w:val="15184959"/>
    <w:rsid w:val="152500E3"/>
    <w:rsid w:val="1525798D"/>
    <w:rsid w:val="156416A9"/>
    <w:rsid w:val="156F3A17"/>
    <w:rsid w:val="15723A20"/>
    <w:rsid w:val="1574656B"/>
    <w:rsid w:val="15843AB6"/>
    <w:rsid w:val="15883C49"/>
    <w:rsid w:val="158D1EAF"/>
    <w:rsid w:val="15973CBB"/>
    <w:rsid w:val="15A0783F"/>
    <w:rsid w:val="15BC36F9"/>
    <w:rsid w:val="15CA0979"/>
    <w:rsid w:val="15CA4C2B"/>
    <w:rsid w:val="15D32BC9"/>
    <w:rsid w:val="15DA708C"/>
    <w:rsid w:val="15E032BD"/>
    <w:rsid w:val="15F25956"/>
    <w:rsid w:val="1601540A"/>
    <w:rsid w:val="160770CC"/>
    <w:rsid w:val="161D3275"/>
    <w:rsid w:val="161E1735"/>
    <w:rsid w:val="16216A78"/>
    <w:rsid w:val="16290DB7"/>
    <w:rsid w:val="16302E6B"/>
    <w:rsid w:val="16432C17"/>
    <w:rsid w:val="164E5DD5"/>
    <w:rsid w:val="16560F6A"/>
    <w:rsid w:val="165B21DA"/>
    <w:rsid w:val="16626E25"/>
    <w:rsid w:val="16627091"/>
    <w:rsid w:val="166E558B"/>
    <w:rsid w:val="167339E4"/>
    <w:rsid w:val="169C78F2"/>
    <w:rsid w:val="169D73CA"/>
    <w:rsid w:val="169F551D"/>
    <w:rsid w:val="16B54AF6"/>
    <w:rsid w:val="16FA3DEE"/>
    <w:rsid w:val="16FE5A71"/>
    <w:rsid w:val="170B5EA3"/>
    <w:rsid w:val="171903F8"/>
    <w:rsid w:val="173C0021"/>
    <w:rsid w:val="17476CF7"/>
    <w:rsid w:val="17541FF6"/>
    <w:rsid w:val="175B0F1E"/>
    <w:rsid w:val="175C4625"/>
    <w:rsid w:val="178E4993"/>
    <w:rsid w:val="17BF6EB3"/>
    <w:rsid w:val="17D14638"/>
    <w:rsid w:val="17E625C2"/>
    <w:rsid w:val="18187335"/>
    <w:rsid w:val="181F1D92"/>
    <w:rsid w:val="182879E7"/>
    <w:rsid w:val="18335364"/>
    <w:rsid w:val="1838659B"/>
    <w:rsid w:val="1848304B"/>
    <w:rsid w:val="18504D21"/>
    <w:rsid w:val="1858027F"/>
    <w:rsid w:val="187212AC"/>
    <w:rsid w:val="1873245E"/>
    <w:rsid w:val="187D188E"/>
    <w:rsid w:val="18850101"/>
    <w:rsid w:val="18B362B1"/>
    <w:rsid w:val="18B36492"/>
    <w:rsid w:val="18BC027F"/>
    <w:rsid w:val="18CA23FB"/>
    <w:rsid w:val="18CD0567"/>
    <w:rsid w:val="18D019BE"/>
    <w:rsid w:val="18E02DCF"/>
    <w:rsid w:val="18EC307D"/>
    <w:rsid w:val="18F2497C"/>
    <w:rsid w:val="18F558C8"/>
    <w:rsid w:val="194100EF"/>
    <w:rsid w:val="195459C6"/>
    <w:rsid w:val="196F4147"/>
    <w:rsid w:val="19775A0B"/>
    <w:rsid w:val="197850B7"/>
    <w:rsid w:val="19953E7E"/>
    <w:rsid w:val="1995612C"/>
    <w:rsid w:val="199A10B7"/>
    <w:rsid w:val="19A67001"/>
    <w:rsid w:val="19BF4C54"/>
    <w:rsid w:val="19C5671B"/>
    <w:rsid w:val="19CF7176"/>
    <w:rsid w:val="19D47AFD"/>
    <w:rsid w:val="19EE3DEB"/>
    <w:rsid w:val="19FB6C73"/>
    <w:rsid w:val="1A085187"/>
    <w:rsid w:val="1A0E09F0"/>
    <w:rsid w:val="1A161B8C"/>
    <w:rsid w:val="1A1B2B90"/>
    <w:rsid w:val="1A210330"/>
    <w:rsid w:val="1A2B7B75"/>
    <w:rsid w:val="1A2F0966"/>
    <w:rsid w:val="1A4B48BF"/>
    <w:rsid w:val="1A5D3725"/>
    <w:rsid w:val="1A5E0D19"/>
    <w:rsid w:val="1A5F749D"/>
    <w:rsid w:val="1A63295D"/>
    <w:rsid w:val="1A6D72F0"/>
    <w:rsid w:val="1A9D028E"/>
    <w:rsid w:val="1AA21277"/>
    <w:rsid w:val="1AA9696A"/>
    <w:rsid w:val="1AAB0427"/>
    <w:rsid w:val="1AAB755C"/>
    <w:rsid w:val="1AB942D9"/>
    <w:rsid w:val="1AD80A13"/>
    <w:rsid w:val="1ADE40B6"/>
    <w:rsid w:val="1AE300CE"/>
    <w:rsid w:val="1B272801"/>
    <w:rsid w:val="1B2A271F"/>
    <w:rsid w:val="1B393099"/>
    <w:rsid w:val="1B5862CA"/>
    <w:rsid w:val="1B666609"/>
    <w:rsid w:val="1B696431"/>
    <w:rsid w:val="1B8040FA"/>
    <w:rsid w:val="1B86071A"/>
    <w:rsid w:val="1B8607F5"/>
    <w:rsid w:val="1BA23A12"/>
    <w:rsid w:val="1BA80ED1"/>
    <w:rsid w:val="1BA83FAC"/>
    <w:rsid w:val="1BBA4C58"/>
    <w:rsid w:val="1BC5137F"/>
    <w:rsid w:val="1BD50639"/>
    <w:rsid w:val="1BD937BC"/>
    <w:rsid w:val="1BD97A0F"/>
    <w:rsid w:val="1BED0713"/>
    <w:rsid w:val="1BF06A09"/>
    <w:rsid w:val="1BF65128"/>
    <w:rsid w:val="1C1945A6"/>
    <w:rsid w:val="1C2D098F"/>
    <w:rsid w:val="1C406E5A"/>
    <w:rsid w:val="1C4824DF"/>
    <w:rsid w:val="1C5967C2"/>
    <w:rsid w:val="1C656C23"/>
    <w:rsid w:val="1C752FA8"/>
    <w:rsid w:val="1C9B2DBA"/>
    <w:rsid w:val="1CC27CB8"/>
    <w:rsid w:val="1CC61851"/>
    <w:rsid w:val="1CD83919"/>
    <w:rsid w:val="1CDE1779"/>
    <w:rsid w:val="1CE046C9"/>
    <w:rsid w:val="1CF06FF7"/>
    <w:rsid w:val="1CF34DD3"/>
    <w:rsid w:val="1D0667AD"/>
    <w:rsid w:val="1D167C66"/>
    <w:rsid w:val="1D193DEC"/>
    <w:rsid w:val="1D216D78"/>
    <w:rsid w:val="1D2335C0"/>
    <w:rsid w:val="1D3C5C40"/>
    <w:rsid w:val="1D4423D1"/>
    <w:rsid w:val="1D654444"/>
    <w:rsid w:val="1D6A2F47"/>
    <w:rsid w:val="1DAA4ED3"/>
    <w:rsid w:val="1DAF24EA"/>
    <w:rsid w:val="1DB152B3"/>
    <w:rsid w:val="1DB34357"/>
    <w:rsid w:val="1DCF5E5C"/>
    <w:rsid w:val="1DDB7C92"/>
    <w:rsid w:val="1DEF6A3A"/>
    <w:rsid w:val="1DF862AF"/>
    <w:rsid w:val="1DFF4788"/>
    <w:rsid w:val="1E104ADC"/>
    <w:rsid w:val="1E214C26"/>
    <w:rsid w:val="1E312EFF"/>
    <w:rsid w:val="1E3913DF"/>
    <w:rsid w:val="1E3A516E"/>
    <w:rsid w:val="1E527DCB"/>
    <w:rsid w:val="1E5D62C3"/>
    <w:rsid w:val="1E63486F"/>
    <w:rsid w:val="1E9902EE"/>
    <w:rsid w:val="1EBE690C"/>
    <w:rsid w:val="1EC45B21"/>
    <w:rsid w:val="1ED21885"/>
    <w:rsid w:val="1ED44638"/>
    <w:rsid w:val="1EF32682"/>
    <w:rsid w:val="1F220A99"/>
    <w:rsid w:val="1F4C48BD"/>
    <w:rsid w:val="1F587B1D"/>
    <w:rsid w:val="1F880086"/>
    <w:rsid w:val="1F8D5127"/>
    <w:rsid w:val="1F9B5F21"/>
    <w:rsid w:val="1FA83694"/>
    <w:rsid w:val="1FA84DA5"/>
    <w:rsid w:val="1FAA7AC6"/>
    <w:rsid w:val="1FAD0CAB"/>
    <w:rsid w:val="1FCC13F2"/>
    <w:rsid w:val="1FF34AA4"/>
    <w:rsid w:val="200E1C53"/>
    <w:rsid w:val="201272AB"/>
    <w:rsid w:val="20160AE4"/>
    <w:rsid w:val="201705D3"/>
    <w:rsid w:val="20286C2D"/>
    <w:rsid w:val="205632FF"/>
    <w:rsid w:val="206433E6"/>
    <w:rsid w:val="20660D56"/>
    <w:rsid w:val="206B493A"/>
    <w:rsid w:val="206C6470"/>
    <w:rsid w:val="20780734"/>
    <w:rsid w:val="207D45CF"/>
    <w:rsid w:val="207E0F00"/>
    <w:rsid w:val="208F03B0"/>
    <w:rsid w:val="20AD01D7"/>
    <w:rsid w:val="20C63E71"/>
    <w:rsid w:val="20C77B4A"/>
    <w:rsid w:val="20CE0ED9"/>
    <w:rsid w:val="20CE64F5"/>
    <w:rsid w:val="20D07480"/>
    <w:rsid w:val="20E77339"/>
    <w:rsid w:val="20E9368B"/>
    <w:rsid w:val="21020B82"/>
    <w:rsid w:val="21190A7E"/>
    <w:rsid w:val="212162D9"/>
    <w:rsid w:val="212670CF"/>
    <w:rsid w:val="21284ECA"/>
    <w:rsid w:val="21294361"/>
    <w:rsid w:val="212F00D6"/>
    <w:rsid w:val="21405A66"/>
    <w:rsid w:val="214263BE"/>
    <w:rsid w:val="2168390B"/>
    <w:rsid w:val="216C1524"/>
    <w:rsid w:val="216F6D2C"/>
    <w:rsid w:val="2185375B"/>
    <w:rsid w:val="219B3E3F"/>
    <w:rsid w:val="21B062BE"/>
    <w:rsid w:val="21B41808"/>
    <w:rsid w:val="21C1096F"/>
    <w:rsid w:val="21D04F4E"/>
    <w:rsid w:val="21D35CF0"/>
    <w:rsid w:val="21D61AFB"/>
    <w:rsid w:val="21E337CE"/>
    <w:rsid w:val="21E41B09"/>
    <w:rsid w:val="21E77033"/>
    <w:rsid w:val="21EA2970"/>
    <w:rsid w:val="21F47D0E"/>
    <w:rsid w:val="21FA5CFD"/>
    <w:rsid w:val="220167D4"/>
    <w:rsid w:val="22135B75"/>
    <w:rsid w:val="221C138B"/>
    <w:rsid w:val="22243500"/>
    <w:rsid w:val="223009B6"/>
    <w:rsid w:val="223571CB"/>
    <w:rsid w:val="224F6049"/>
    <w:rsid w:val="22542038"/>
    <w:rsid w:val="22673393"/>
    <w:rsid w:val="226A25E2"/>
    <w:rsid w:val="22726B15"/>
    <w:rsid w:val="22730A35"/>
    <w:rsid w:val="227F64D2"/>
    <w:rsid w:val="22843949"/>
    <w:rsid w:val="22923991"/>
    <w:rsid w:val="22A97A73"/>
    <w:rsid w:val="22B16CA5"/>
    <w:rsid w:val="22B304A2"/>
    <w:rsid w:val="22B9267B"/>
    <w:rsid w:val="22C5630B"/>
    <w:rsid w:val="22D61BAE"/>
    <w:rsid w:val="22F36350"/>
    <w:rsid w:val="22F535FA"/>
    <w:rsid w:val="23336032"/>
    <w:rsid w:val="233C542A"/>
    <w:rsid w:val="233F7DCA"/>
    <w:rsid w:val="23517886"/>
    <w:rsid w:val="235E4422"/>
    <w:rsid w:val="23684505"/>
    <w:rsid w:val="236B10C7"/>
    <w:rsid w:val="237F77E2"/>
    <w:rsid w:val="23B12AA4"/>
    <w:rsid w:val="23B71EA6"/>
    <w:rsid w:val="23BD3F0B"/>
    <w:rsid w:val="23CD542F"/>
    <w:rsid w:val="23FC7B97"/>
    <w:rsid w:val="2407064C"/>
    <w:rsid w:val="243D7784"/>
    <w:rsid w:val="244E0251"/>
    <w:rsid w:val="24571D25"/>
    <w:rsid w:val="247A7AB3"/>
    <w:rsid w:val="24811DB6"/>
    <w:rsid w:val="24911511"/>
    <w:rsid w:val="24AD7A7B"/>
    <w:rsid w:val="24AE1DE6"/>
    <w:rsid w:val="24AE73E8"/>
    <w:rsid w:val="24BA07A7"/>
    <w:rsid w:val="24BC54EC"/>
    <w:rsid w:val="24C624D4"/>
    <w:rsid w:val="24E61B03"/>
    <w:rsid w:val="24E70A39"/>
    <w:rsid w:val="24F9018D"/>
    <w:rsid w:val="250A6132"/>
    <w:rsid w:val="251D63BE"/>
    <w:rsid w:val="252B28DB"/>
    <w:rsid w:val="252B6AA3"/>
    <w:rsid w:val="252E36C2"/>
    <w:rsid w:val="255B7FD2"/>
    <w:rsid w:val="256F36E5"/>
    <w:rsid w:val="25770D50"/>
    <w:rsid w:val="257B496A"/>
    <w:rsid w:val="25801456"/>
    <w:rsid w:val="25977095"/>
    <w:rsid w:val="25B215E3"/>
    <w:rsid w:val="25C91AFF"/>
    <w:rsid w:val="25E77DF2"/>
    <w:rsid w:val="266A1B50"/>
    <w:rsid w:val="26A94A89"/>
    <w:rsid w:val="270E4FF8"/>
    <w:rsid w:val="27264473"/>
    <w:rsid w:val="273E5CC5"/>
    <w:rsid w:val="274831A8"/>
    <w:rsid w:val="274A3283"/>
    <w:rsid w:val="275A5C38"/>
    <w:rsid w:val="277C5A1D"/>
    <w:rsid w:val="277F51CC"/>
    <w:rsid w:val="27884E22"/>
    <w:rsid w:val="27886F3F"/>
    <w:rsid w:val="278B4191"/>
    <w:rsid w:val="279622C4"/>
    <w:rsid w:val="27A44A0A"/>
    <w:rsid w:val="27B56DFF"/>
    <w:rsid w:val="27BA17B2"/>
    <w:rsid w:val="27E00505"/>
    <w:rsid w:val="27E40B82"/>
    <w:rsid w:val="27ED0ACA"/>
    <w:rsid w:val="27FE28A8"/>
    <w:rsid w:val="27FF1E13"/>
    <w:rsid w:val="280C758F"/>
    <w:rsid w:val="281C391F"/>
    <w:rsid w:val="281E7FC2"/>
    <w:rsid w:val="28241305"/>
    <w:rsid w:val="28295336"/>
    <w:rsid w:val="284877C3"/>
    <w:rsid w:val="285154A7"/>
    <w:rsid w:val="288D7991"/>
    <w:rsid w:val="289609EC"/>
    <w:rsid w:val="289C5C7B"/>
    <w:rsid w:val="28AD7F89"/>
    <w:rsid w:val="28B25E03"/>
    <w:rsid w:val="28B5562D"/>
    <w:rsid w:val="28D027C1"/>
    <w:rsid w:val="28D5026C"/>
    <w:rsid w:val="28D906B5"/>
    <w:rsid w:val="28EB2AD5"/>
    <w:rsid w:val="28F03B6E"/>
    <w:rsid w:val="29012919"/>
    <w:rsid w:val="290C6A42"/>
    <w:rsid w:val="2912392D"/>
    <w:rsid w:val="29195F6C"/>
    <w:rsid w:val="292946E7"/>
    <w:rsid w:val="292B376C"/>
    <w:rsid w:val="29395BEA"/>
    <w:rsid w:val="29506674"/>
    <w:rsid w:val="29724C94"/>
    <w:rsid w:val="2978518A"/>
    <w:rsid w:val="29794BB6"/>
    <w:rsid w:val="29991422"/>
    <w:rsid w:val="299A04BD"/>
    <w:rsid w:val="29BE6110"/>
    <w:rsid w:val="29C16B67"/>
    <w:rsid w:val="29DD3F3B"/>
    <w:rsid w:val="29F361E4"/>
    <w:rsid w:val="2A077209"/>
    <w:rsid w:val="2A0B0AA8"/>
    <w:rsid w:val="2A0F4295"/>
    <w:rsid w:val="2A13391B"/>
    <w:rsid w:val="2A475858"/>
    <w:rsid w:val="2A7F4FF2"/>
    <w:rsid w:val="2A8D6CCA"/>
    <w:rsid w:val="2A9E58A2"/>
    <w:rsid w:val="2AAF0549"/>
    <w:rsid w:val="2AAF4247"/>
    <w:rsid w:val="2AB13DF1"/>
    <w:rsid w:val="2AB21E00"/>
    <w:rsid w:val="2AB33753"/>
    <w:rsid w:val="2AB35CCC"/>
    <w:rsid w:val="2ABE1606"/>
    <w:rsid w:val="2ADB3D94"/>
    <w:rsid w:val="2ADF22B5"/>
    <w:rsid w:val="2AE6630D"/>
    <w:rsid w:val="2AEA0FE0"/>
    <w:rsid w:val="2B0E0E1F"/>
    <w:rsid w:val="2B122C35"/>
    <w:rsid w:val="2B1374E0"/>
    <w:rsid w:val="2B187B09"/>
    <w:rsid w:val="2B3910D2"/>
    <w:rsid w:val="2B391C09"/>
    <w:rsid w:val="2B470F10"/>
    <w:rsid w:val="2B586026"/>
    <w:rsid w:val="2B88197A"/>
    <w:rsid w:val="2B994368"/>
    <w:rsid w:val="2B9C6F0B"/>
    <w:rsid w:val="2BA8442D"/>
    <w:rsid w:val="2BB27FA0"/>
    <w:rsid w:val="2BC50260"/>
    <w:rsid w:val="2BE66223"/>
    <w:rsid w:val="2BFE2C37"/>
    <w:rsid w:val="2C011DB6"/>
    <w:rsid w:val="2C244A8B"/>
    <w:rsid w:val="2C2E3F08"/>
    <w:rsid w:val="2C5D4B92"/>
    <w:rsid w:val="2C6A4F4E"/>
    <w:rsid w:val="2C8742DA"/>
    <w:rsid w:val="2C892232"/>
    <w:rsid w:val="2C8B4180"/>
    <w:rsid w:val="2C916537"/>
    <w:rsid w:val="2CAC29D6"/>
    <w:rsid w:val="2CAE0651"/>
    <w:rsid w:val="2CB04A86"/>
    <w:rsid w:val="2CC77E0A"/>
    <w:rsid w:val="2CCA75CA"/>
    <w:rsid w:val="2CCF3A27"/>
    <w:rsid w:val="2D0437AF"/>
    <w:rsid w:val="2D1C02E3"/>
    <w:rsid w:val="2D31684B"/>
    <w:rsid w:val="2D3E6BDA"/>
    <w:rsid w:val="2D4515FA"/>
    <w:rsid w:val="2D4861F3"/>
    <w:rsid w:val="2D4F1427"/>
    <w:rsid w:val="2D634337"/>
    <w:rsid w:val="2D75726E"/>
    <w:rsid w:val="2D794601"/>
    <w:rsid w:val="2D8639BE"/>
    <w:rsid w:val="2D8946C5"/>
    <w:rsid w:val="2D9124BA"/>
    <w:rsid w:val="2DAF13AE"/>
    <w:rsid w:val="2DB57E4B"/>
    <w:rsid w:val="2DB95E33"/>
    <w:rsid w:val="2DBB27E5"/>
    <w:rsid w:val="2DC0604D"/>
    <w:rsid w:val="2DDA6624"/>
    <w:rsid w:val="2DDE6D5F"/>
    <w:rsid w:val="2DE00F57"/>
    <w:rsid w:val="2DE011DD"/>
    <w:rsid w:val="2DE549C5"/>
    <w:rsid w:val="2DE649FC"/>
    <w:rsid w:val="2DED7593"/>
    <w:rsid w:val="2E074647"/>
    <w:rsid w:val="2E0D0AEF"/>
    <w:rsid w:val="2E38353A"/>
    <w:rsid w:val="2E434F93"/>
    <w:rsid w:val="2E660885"/>
    <w:rsid w:val="2E8A6294"/>
    <w:rsid w:val="2E9472ED"/>
    <w:rsid w:val="2EA22753"/>
    <w:rsid w:val="2EAE575B"/>
    <w:rsid w:val="2EC7262F"/>
    <w:rsid w:val="2EC868B5"/>
    <w:rsid w:val="2EDA4419"/>
    <w:rsid w:val="2EE97BBC"/>
    <w:rsid w:val="2F142CBF"/>
    <w:rsid w:val="2F196F28"/>
    <w:rsid w:val="2F441505"/>
    <w:rsid w:val="2F493DF2"/>
    <w:rsid w:val="2F49739F"/>
    <w:rsid w:val="2F5B602D"/>
    <w:rsid w:val="2F5B641F"/>
    <w:rsid w:val="2F655F55"/>
    <w:rsid w:val="2F685351"/>
    <w:rsid w:val="2FA379D4"/>
    <w:rsid w:val="2FB733C0"/>
    <w:rsid w:val="2FB816AD"/>
    <w:rsid w:val="2FBB1AA8"/>
    <w:rsid w:val="2FBF5CA8"/>
    <w:rsid w:val="2FE24FA7"/>
    <w:rsid w:val="2FF0369E"/>
    <w:rsid w:val="2FF67B04"/>
    <w:rsid w:val="2FFA0E38"/>
    <w:rsid w:val="300B2507"/>
    <w:rsid w:val="305C65AD"/>
    <w:rsid w:val="30683B2F"/>
    <w:rsid w:val="3076557F"/>
    <w:rsid w:val="307C3932"/>
    <w:rsid w:val="307D2C13"/>
    <w:rsid w:val="30972F85"/>
    <w:rsid w:val="30C714A1"/>
    <w:rsid w:val="30CC1770"/>
    <w:rsid w:val="30D435EB"/>
    <w:rsid w:val="30D43636"/>
    <w:rsid w:val="30F0467D"/>
    <w:rsid w:val="30F9494E"/>
    <w:rsid w:val="30FA1876"/>
    <w:rsid w:val="310D7D59"/>
    <w:rsid w:val="311D5636"/>
    <w:rsid w:val="312D39F9"/>
    <w:rsid w:val="31350C4C"/>
    <w:rsid w:val="313975B2"/>
    <w:rsid w:val="31576C02"/>
    <w:rsid w:val="316B0289"/>
    <w:rsid w:val="3182724D"/>
    <w:rsid w:val="319B00D5"/>
    <w:rsid w:val="31A96FCA"/>
    <w:rsid w:val="31BF1233"/>
    <w:rsid w:val="32060A36"/>
    <w:rsid w:val="32113D64"/>
    <w:rsid w:val="3212499D"/>
    <w:rsid w:val="321364C4"/>
    <w:rsid w:val="32187ADD"/>
    <w:rsid w:val="321F0552"/>
    <w:rsid w:val="323519E6"/>
    <w:rsid w:val="323A673A"/>
    <w:rsid w:val="323E6FAD"/>
    <w:rsid w:val="32451DD6"/>
    <w:rsid w:val="325D20BC"/>
    <w:rsid w:val="326441CD"/>
    <w:rsid w:val="326B2227"/>
    <w:rsid w:val="326E688F"/>
    <w:rsid w:val="32B75ADF"/>
    <w:rsid w:val="32BB69D5"/>
    <w:rsid w:val="32DA54BB"/>
    <w:rsid w:val="32E766E9"/>
    <w:rsid w:val="32F62D0A"/>
    <w:rsid w:val="32FF4A1A"/>
    <w:rsid w:val="33214BD5"/>
    <w:rsid w:val="334221B3"/>
    <w:rsid w:val="336634F1"/>
    <w:rsid w:val="336D27D3"/>
    <w:rsid w:val="337A79F1"/>
    <w:rsid w:val="33800718"/>
    <w:rsid w:val="339372CF"/>
    <w:rsid w:val="33976074"/>
    <w:rsid w:val="33B421B0"/>
    <w:rsid w:val="33BF5BC7"/>
    <w:rsid w:val="33D04B10"/>
    <w:rsid w:val="33D67BA6"/>
    <w:rsid w:val="33F94DC0"/>
    <w:rsid w:val="33FA01FD"/>
    <w:rsid w:val="340C3DB5"/>
    <w:rsid w:val="344572AC"/>
    <w:rsid w:val="344C3553"/>
    <w:rsid w:val="34537C7A"/>
    <w:rsid w:val="345E211C"/>
    <w:rsid w:val="346F3BA7"/>
    <w:rsid w:val="34740116"/>
    <w:rsid w:val="34966725"/>
    <w:rsid w:val="349A34DB"/>
    <w:rsid w:val="34A30FAF"/>
    <w:rsid w:val="34AC1F5A"/>
    <w:rsid w:val="34CC4B3B"/>
    <w:rsid w:val="34D02F3D"/>
    <w:rsid w:val="34D46417"/>
    <w:rsid w:val="34D966C2"/>
    <w:rsid w:val="34DB0F9E"/>
    <w:rsid w:val="34DD3806"/>
    <w:rsid w:val="34E70AD6"/>
    <w:rsid w:val="34E81CC2"/>
    <w:rsid w:val="35301450"/>
    <w:rsid w:val="353420AC"/>
    <w:rsid w:val="35367747"/>
    <w:rsid w:val="35456DA7"/>
    <w:rsid w:val="355E6877"/>
    <w:rsid w:val="357B3576"/>
    <w:rsid w:val="358362DE"/>
    <w:rsid w:val="358A3883"/>
    <w:rsid w:val="359020AA"/>
    <w:rsid w:val="359211D0"/>
    <w:rsid w:val="359E6EB2"/>
    <w:rsid w:val="35A26038"/>
    <w:rsid w:val="35B253D4"/>
    <w:rsid w:val="35B7698E"/>
    <w:rsid w:val="35C643E3"/>
    <w:rsid w:val="35D05C99"/>
    <w:rsid w:val="35DF2B69"/>
    <w:rsid w:val="35E14762"/>
    <w:rsid w:val="35EA789E"/>
    <w:rsid w:val="35F83F8C"/>
    <w:rsid w:val="36051D89"/>
    <w:rsid w:val="360665DE"/>
    <w:rsid w:val="362D011F"/>
    <w:rsid w:val="362D444E"/>
    <w:rsid w:val="362E3E38"/>
    <w:rsid w:val="363965A2"/>
    <w:rsid w:val="363A2180"/>
    <w:rsid w:val="36453593"/>
    <w:rsid w:val="364D63A5"/>
    <w:rsid w:val="36541A28"/>
    <w:rsid w:val="36613E2D"/>
    <w:rsid w:val="366F72E7"/>
    <w:rsid w:val="368B357E"/>
    <w:rsid w:val="369D00D4"/>
    <w:rsid w:val="36BA131D"/>
    <w:rsid w:val="36BF2124"/>
    <w:rsid w:val="36EF52AD"/>
    <w:rsid w:val="37123A1D"/>
    <w:rsid w:val="37254F27"/>
    <w:rsid w:val="372D208E"/>
    <w:rsid w:val="372E0CBA"/>
    <w:rsid w:val="37305F87"/>
    <w:rsid w:val="375872F6"/>
    <w:rsid w:val="37612A02"/>
    <w:rsid w:val="37620B26"/>
    <w:rsid w:val="376C4B50"/>
    <w:rsid w:val="377734C1"/>
    <w:rsid w:val="37786990"/>
    <w:rsid w:val="377A4B26"/>
    <w:rsid w:val="377E3A62"/>
    <w:rsid w:val="377F2AD5"/>
    <w:rsid w:val="377F601A"/>
    <w:rsid w:val="3788196A"/>
    <w:rsid w:val="37D3697D"/>
    <w:rsid w:val="37D806B0"/>
    <w:rsid w:val="37DC6E40"/>
    <w:rsid w:val="37F039D3"/>
    <w:rsid w:val="37F63171"/>
    <w:rsid w:val="37F720AC"/>
    <w:rsid w:val="37FF7772"/>
    <w:rsid w:val="380E1CDC"/>
    <w:rsid w:val="382B20B3"/>
    <w:rsid w:val="38407129"/>
    <w:rsid w:val="38465EC0"/>
    <w:rsid w:val="38495459"/>
    <w:rsid w:val="384B678A"/>
    <w:rsid w:val="38514792"/>
    <w:rsid w:val="385612CA"/>
    <w:rsid w:val="38590301"/>
    <w:rsid w:val="386B1889"/>
    <w:rsid w:val="3878516B"/>
    <w:rsid w:val="387D3937"/>
    <w:rsid w:val="38811B39"/>
    <w:rsid w:val="38817344"/>
    <w:rsid w:val="38945B97"/>
    <w:rsid w:val="38A07EEC"/>
    <w:rsid w:val="38B0670F"/>
    <w:rsid w:val="38B20083"/>
    <w:rsid w:val="38B7563D"/>
    <w:rsid w:val="38D56239"/>
    <w:rsid w:val="38DB7D7B"/>
    <w:rsid w:val="38EC6170"/>
    <w:rsid w:val="38EE3475"/>
    <w:rsid w:val="390A3637"/>
    <w:rsid w:val="390F34AC"/>
    <w:rsid w:val="39115516"/>
    <w:rsid w:val="39535FC7"/>
    <w:rsid w:val="395F671A"/>
    <w:rsid w:val="3962620A"/>
    <w:rsid w:val="396665B7"/>
    <w:rsid w:val="3968008B"/>
    <w:rsid w:val="39700425"/>
    <w:rsid w:val="39761CA2"/>
    <w:rsid w:val="3979063A"/>
    <w:rsid w:val="39BB7346"/>
    <w:rsid w:val="39D1711C"/>
    <w:rsid w:val="39D23254"/>
    <w:rsid w:val="39E336AB"/>
    <w:rsid w:val="39F62CB4"/>
    <w:rsid w:val="3A016013"/>
    <w:rsid w:val="3A095648"/>
    <w:rsid w:val="3A1458D0"/>
    <w:rsid w:val="3A1F0DF9"/>
    <w:rsid w:val="3A2A1C47"/>
    <w:rsid w:val="3A503202"/>
    <w:rsid w:val="3A5B11B4"/>
    <w:rsid w:val="3A5C0EAC"/>
    <w:rsid w:val="3A5E3A99"/>
    <w:rsid w:val="3A7F5282"/>
    <w:rsid w:val="3A867485"/>
    <w:rsid w:val="3A8C22F3"/>
    <w:rsid w:val="3A9806FD"/>
    <w:rsid w:val="3AA86A0D"/>
    <w:rsid w:val="3AB348BE"/>
    <w:rsid w:val="3ACB7183"/>
    <w:rsid w:val="3AD40EFE"/>
    <w:rsid w:val="3AE841F3"/>
    <w:rsid w:val="3AEC7202"/>
    <w:rsid w:val="3AEF3F68"/>
    <w:rsid w:val="3AEF577F"/>
    <w:rsid w:val="3B0752BB"/>
    <w:rsid w:val="3B1C45EB"/>
    <w:rsid w:val="3B285077"/>
    <w:rsid w:val="3B2F2666"/>
    <w:rsid w:val="3B4E2EEA"/>
    <w:rsid w:val="3B4E6769"/>
    <w:rsid w:val="3B5504B3"/>
    <w:rsid w:val="3B5B0FEB"/>
    <w:rsid w:val="3B633C4C"/>
    <w:rsid w:val="3B82055A"/>
    <w:rsid w:val="3BAD3B1C"/>
    <w:rsid w:val="3BB32D4D"/>
    <w:rsid w:val="3BB92E6A"/>
    <w:rsid w:val="3BDA7340"/>
    <w:rsid w:val="3BF6483D"/>
    <w:rsid w:val="3C1852A6"/>
    <w:rsid w:val="3C1C6B44"/>
    <w:rsid w:val="3C5B4A7D"/>
    <w:rsid w:val="3C6A38E9"/>
    <w:rsid w:val="3C7250F5"/>
    <w:rsid w:val="3C800A4A"/>
    <w:rsid w:val="3CC2331A"/>
    <w:rsid w:val="3CD0109E"/>
    <w:rsid w:val="3CDA4A63"/>
    <w:rsid w:val="3CE202A8"/>
    <w:rsid w:val="3CF32897"/>
    <w:rsid w:val="3D0038A0"/>
    <w:rsid w:val="3D0E66D2"/>
    <w:rsid w:val="3D3B052F"/>
    <w:rsid w:val="3D3E124F"/>
    <w:rsid w:val="3D3F58F7"/>
    <w:rsid w:val="3D4B03B3"/>
    <w:rsid w:val="3D4D7CE3"/>
    <w:rsid w:val="3D577B32"/>
    <w:rsid w:val="3D6A1A13"/>
    <w:rsid w:val="3D730764"/>
    <w:rsid w:val="3D7F7710"/>
    <w:rsid w:val="3D8876AB"/>
    <w:rsid w:val="3D891722"/>
    <w:rsid w:val="3DB6106C"/>
    <w:rsid w:val="3DC217DE"/>
    <w:rsid w:val="3DC9388B"/>
    <w:rsid w:val="3DCE3E6E"/>
    <w:rsid w:val="3DD76609"/>
    <w:rsid w:val="3DD92D48"/>
    <w:rsid w:val="3DE8773E"/>
    <w:rsid w:val="3DFC778E"/>
    <w:rsid w:val="3E1623DD"/>
    <w:rsid w:val="3E18158D"/>
    <w:rsid w:val="3E284626"/>
    <w:rsid w:val="3E3948A1"/>
    <w:rsid w:val="3E4619B8"/>
    <w:rsid w:val="3E6434BD"/>
    <w:rsid w:val="3E733072"/>
    <w:rsid w:val="3E753DA0"/>
    <w:rsid w:val="3E782353"/>
    <w:rsid w:val="3E82415B"/>
    <w:rsid w:val="3E841CC2"/>
    <w:rsid w:val="3E9E0424"/>
    <w:rsid w:val="3EB030A4"/>
    <w:rsid w:val="3EBA4680"/>
    <w:rsid w:val="3ED731F7"/>
    <w:rsid w:val="3EDA0585"/>
    <w:rsid w:val="3EDC32D1"/>
    <w:rsid w:val="3EF1707F"/>
    <w:rsid w:val="3F033FEC"/>
    <w:rsid w:val="3F114A11"/>
    <w:rsid w:val="3F7971B8"/>
    <w:rsid w:val="3F797482"/>
    <w:rsid w:val="3F7E6CDD"/>
    <w:rsid w:val="3FA52AC5"/>
    <w:rsid w:val="3FAD3F38"/>
    <w:rsid w:val="3FC020EA"/>
    <w:rsid w:val="3FEA5A99"/>
    <w:rsid w:val="3FED7CA2"/>
    <w:rsid w:val="3FFA53EF"/>
    <w:rsid w:val="400222FB"/>
    <w:rsid w:val="400B6359"/>
    <w:rsid w:val="400F3E3C"/>
    <w:rsid w:val="40241524"/>
    <w:rsid w:val="40273D0A"/>
    <w:rsid w:val="40297538"/>
    <w:rsid w:val="4042792B"/>
    <w:rsid w:val="40494582"/>
    <w:rsid w:val="40667BD3"/>
    <w:rsid w:val="406B6413"/>
    <w:rsid w:val="40816B08"/>
    <w:rsid w:val="408545BD"/>
    <w:rsid w:val="408570E1"/>
    <w:rsid w:val="408B24EB"/>
    <w:rsid w:val="40B85444"/>
    <w:rsid w:val="40BC357F"/>
    <w:rsid w:val="40C754F7"/>
    <w:rsid w:val="40FA72F2"/>
    <w:rsid w:val="40FB13BD"/>
    <w:rsid w:val="40FD3F09"/>
    <w:rsid w:val="4105404B"/>
    <w:rsid w:val="411128F0"/>
    <w:rsid w:val="41151554"/>
    <w:rsid w:val="411D0B8A"/>
    <w:rsid w:val="4141765A"/>
    <w:rsid w:val="415146FD"/>
    <w:rsid w:val="415575CE"/>
    <w:rsid w:val="41680442"/>
    <w:rsid w:val="417A2E1E"/>
    <w:rsid w:val="417C49FE"/>
    <w:rsid w:val="41853FB5"/>
    <w:rsid w:val="41912189"/>
    <w:rsid w:val="41C04416"/>
    <w:rsid w:val="41C5325F"/>
    <w:rsid w:val="41C95161"/>
    <w:rsid w:val="41CA788D"/>
    <w:rsid w:val="41D75A95"/>
    <w:rsid w:val="41E71520"/>
    <w:rsid w:val="41EF1CA9"/>
    <w:rsid w:val="420501D1"/>
    <w:rsid w:val="420516B3"/>
    <w:rsid w:val="422C3859"/>
    <w:rsid w:val="42341294"/>
    <w:rsid w:val="42390D6B"/>
    <w:rsid w:val="424C1F4E"/>
    <w:rsid w:val="424E37D0"/>
    <w:rsid w:val="42514AB5"/>
    <w:rsid w:val="425F1575"/>
    <w:rsid w:val="426104F4"/>
    <w:rsid w:val="42745707"/>
    <w:rsid w:val="428117D6"/>
    <w:rsid w:val="42831B60"/>
    <w:rsid w:val="42864E6A"/>
    <w:rsid w:val="428D00BE"/>
    <w:rsid w:val="428D4920"/>
    <w:rsid w:val="42C24FE5"/>
    <w:rsid w:val="42CC5625"/>
    <w:rsid w:val="42DE14CD"/>
    <w:rsid w:val="42EA4E7C"/>
    <w:rsid w:val="43017A1A"/>
    <w:rsid w:val="43195B8C"/>
    <w:rsid w:val="431A74EC"/>
    <w:rsid w:val="431F4B28"/>
    <w:rsid w:val="432378D6"/>
    <w:rsid w:val="43246398"/>
    <w:rsid w:val="433648A6"/>
    <w:rsid w:val="433C0516"/>
    <w:rsid w:val="434B7D0F"/>
    <w:rsid w:val="435F2FBC"/>
    <w:rsid w:val="43661FA0"/>
    <w:rsid w:val="437C1F45"/>
    <w:rsid w:val="43A24530"/>
    <w:rsid w:val="43B3424D"/>
    <w:rsid w:val="43B83004"/>
    <w:rsid w:val="43BE5699"/>
    <w:rsid w:val="43C0170F"/>
    <w:rsid w:val="43C70F32"/>
    <w:rsid w:val="43DA0BDE"/>
    <w:rsid w:val="4426182A"/>
    <w:rsid w:val="443570D7"/>
    <w:rsid w:val="44466978"/>
    <w:rsid w:val="44A965BC"/>
    <w:rsid w:val="44BA15F0"/>
    <w:rsid w:val="44D013C9"/>
    <w:rsid w:val="44D50AA8"/>
    <w:rsid w:val="44E707CE"/>
    <w:rsid w:val="44EC5CCB"/>
    <w:rsid w:val="44F70854"/>
    <w:rsid w:val="450100FB"/>
    <w:rsid w:val="450B0DDE"/>
    <w:rsid w:val="451A2516"/>
    <w:rsid w:val="452A0524"/>
    <w:rsid w:val="452C6A8B"/>
    <w:rsid w:val="454035AF"/>
    <w:rsid w:val="45437E75"/>
    <w:rsid w:val="454C6C81"/>
    <w:rsid w:val="45542992"/>
    <w:rsid w:val="4574173B"/>
    <w:rsid w:val="45744D38"/>
    <w:rsid w:val="45791E48"/>
    <w:rsid w:val="457C5751"/>
    <w:rsid w:val="45870BF5"/>
    <w:rsid w:val="459B1F40"/>
    <w:rsid w:val="45A476A5"/>
    <w:rsid w:val="45AD44CA"/>
    <w:rsid w:val="45B728B5"/>
    <w:rsid w:val="45C11FC0"/>
    <w:rsid w:val="45CC3B1D"/>
    <w:rsid w:val="45CC4457"/>
    <w:rsid w:val="45EB054C"/>
    <w:rsid w:val="45EC57D9"/>
    <w:rsid w:val="45EF0817"/>
    <w:rsid w:val="45F16613"/>
    <w:rsid w:val="45FD4563"/>
    <w:rsid w:val="460B5851"/>
    <w:rsid w:val="46132D66"/>
    <w:rsid w:val="46205D38"/>
    <w:rsid w:val="46397351"/>
    <w:rsid w:val="4639745E"/>
    <w:rsid w:val="466068F3"/>
    <w:rsid w:val="466D7E2C"/>
    <w:rsid w:val="4672773F"/>
    <w:rsid w:val="46910EE8"/>
    <w:rsid w:val="46A03143"/>
    <w:rsid w:val="46B856BC"/>
    <w:rsid w:val="46CE4AC0"/>
    <w:rsid w:val="46D27A40"/>
    <w:rsid w:val="46E266F9"/>
    <w:rsid w:val="46E4161D"/>
    <w:rsid w:val="46F71C75"/>
    <w:rsid w:val="46FA27F5"/>
    <w:rsid w:val="47082F5C"/>
    <w:rsid w:val="47136619"/>
    <w:rsid w:val="471F1551"/>
    <w:rsid w:val="47286238"/>
    <w:rsid w:val="472907B1"/>
    <w:rsid w:val="47377783"/>
    <w:rsid w:val="47394A4E"/>
    <w:rsid w:val="473D3125"/>
    <w:rsid w:val="47474688"/>
    <w:rsid w:val="474E61EC"/>
    <w:rsid w:val="475A3339"/>
    <w:rsid w:val="475A3AFB"/>
    <w:rsid w:val="475C651A"/>
    <w:rsid w:val="47710776"/>
    <w:rsid w:val="477A0BC3"/>
    <w:rsid w:val="47882E21"/>
    <w:rsid w:val="47AA5BE6"/>
    <w:rsid w:val="47D763CD"/>
    <w:rsid w:val="47EE3409"/>
    <w:rsid w:val="48047C9F"/>
    <w:rsid w:val="48146780"/>
    <w:rsid w:val="481D15CA"/>
    <w:rsid w:val="48217765"/>
    <w:rsid w:val="484908B9"/>
    <w:rsid w:val="48621D83"/>
    <w:rsid w:val="48A27443"/>
    <w:rsid w:val="48CF2017"/>
    <w:rsid w:val="48D46EED"/>
    <w:rsid w:val="48D549FE"/>
    <w:rsid w:val="48DB640D"/>
    <w:rsid w:val="48DD3E8F"/>
    <w:rsid w:val="48EC21DA"/>
    <w:rsid w:val="48FA1FBB"/>
    <w:rsid w:val="49057512"/>
    <w:rsid w:val="492A3500"/>
    <w:rsid w:val="4946002E"/>
    <w:rsid w:val="494B016D"/>
    <w:rsid w:val="49647E42"/>
    <w:rsid w:val="496F7255"/>
    <w:rsid w:val="497A79CD"/>
    <w:rsid w:val="497D7F2B"/>
    <w:rsid w:val="499A10F5"/>
    <w:rsid w:val="49AD606D"/>
    <w:rsid w:val="49C35B92"/>
    <w:rsid w:val="49D52D22"/>
    <w:rsid w:val="49E63551"/>
    <w:rsid w:val="49F57B95"/>
    <w:rsid w:val="49FE565F"/>
    <w:rsid w:val="4A1A65A2"/>
    <w:rsid w:val="4A1D52AD"/>
    <w:rsid w:val="4A306198"/>
    <w:rsid w:val="4A4929F7"/>
    <w:rsid w:val="4A49623E"/>
    <w:rsid w:val="4A6C513B"/>
    <w:rsid w:val="4A702F34"/>
    <w:rsid w:val="4A706FB0"/>
    <w:rsid w:val="4A73460F"/>
    <w:rsid w:val="4A760DB5"/>
    <w:rsid w:val="4A9B0728"/>
    <w:rsid w:val="4AAD20E9"/>
    <w:rsid w:val="4AC05487"/>
    <w:rsid w:val="4AC70980"/>
    <w:rsid w:val="4ACA5D28"/>
    <w:rsid w:val="4ACB46C6"/>
    <w:rsid w:val="4AD8223E"/>
    <w:rsid w:val="4AE754DC"/>
    <w:rsid w:val="4AFD7BD8"/>
    <w:rsid w:val="4B1819B0"/>
    <w:rsid w:val="4B196DF6"/>
    <w:rsid w:val="4B1C72C6"/>
    <w:rsid w:val="4B281166"/>
    <w:rsid w:val="4B3C5DE4"/>
    <w:rsid w:val="4B4D0F13"/>
    <w:rsid w:val="4B687408"/>
    <w:rsid w:val="4B69167A"/>
    <w:rsid w:val="4B753559"/>
    <w:rsid w:val="4B761525"/>
    <w:rsid w:val="4B984D04"/>
    <w:rsid w:val="4B9A7A86"/>
    <w:rsid w:val="4BA96510"/>
    <w:rsid w:val="4BB212CB"/>
    <w:rsid w:val="4BDD4E1E"/>
    <w:rsid w:val="4BF308FF"/>
    <w:rsid w:val="4C1A14FE"/>
    <w:rsid w:val="4C1E4470"/>
    <w:rsid w:val="4C312059"/>
    <w:rsid w:val="4C3D4BFA"/>
    <w:rsid w:val="4C3E39F1"/>
    <w:rsid w:val="4C7E23DE"/>
    <w:rsid w:val="4C8066D1"/>
    <w:rsid w:val="4C8B19C3"/>
    <w:rsid w:val="4C8B4F98"/>
    <w:rsid w:val="4CAF57B3"/>
    <w:rsid w:val="4CCB021D"/>
    <w:rsid w:val="4CCD762E"/>
    <w:rsid w:val="4CD4035A"/>
    <w:rsid w:val="4CE7583B"/>
    <w:rsid w:val="4CE832B7"/>
    <w:rsid w:val="4CE96FFB"/>
    <w:rsid w:val="4CFE6E1B"/>
    <w:rsid w:val="4D046F69"/>
    <w:rsid w:val="4D0535A1"/>
    <w:rsid w:val="4D1122D4"/>
    <w:rsid w:val="4D153FCB"/>
    <w:rsid w:val="4D37405A"/>
    <w:rsid w:val="4D407026"/>
    <w:rsid w:val="4D441783"/>
    <w:rsid w:val="4D517D14"/>
    <w:rsid w:val="4D5C730D"/>
    <w:rsid w:val="4D663D60"/>
    <w:rsid w:val="4D722A68"/>
    <w:rsid w:val="4D9D35D8"/>
    <w:rsid w:val="4DB15995"/>
    <w:rsid w:val="4DC220FC"/>
    <w:rsid w:val="4DDD346D"/>
    <w:rsid w:val="4DE52644"/>
    <w:rsid w:val="4DFD3D03"/>
    <w:rsid w:val="4E084AD3"/>
    <w:rsid w:val="4E0C632E"/>
    <w:rsid w:val="4E0F6509"/>
    <w:rsid w:val="4E1E73EC"/>
    <w:rsid w:val="4E22735C"/>
    <w:rsid w:val="4E28352F"/>
    <w:rsid w:val="4E2C224E"/>
    <w:rsid w:val="4E465CA3"/>
    <w:rsid w:val="4E597784"/>
    <w:rsid w:val="4E61488B"/>
    <w:rsid w:val="4E7E543D"/>
    <w:rsid w:val="4E7F3DD4"/>
    <w:rsid w:val="4E9F1B16"/>
    <w:rsid w:val="4EA96124"/>
    <w:rsid w:val="4EB34D80"/>
    <w:rsid w:val="4EB46ABB"/>
    <w:rsid w:val="4EBC568C"/>
    <w:rsid w:val="4EC004A5"/>
    <w:rsid w:val="4ECE6E37"/>
    <w:rsid w:val="4ED32808"/>
    <w:rsid w:val="4F070255"/>
    <w:rsid w:val="4F0A6251"/>
    <w:rsid w:val="4F4E12B3"/>
    <w:rsid w:val="4F5229E7"/>
    <w:rsid w:val="4F6A2069"/>
    <w:rsid w:val="4F7D4D97"/>
    <w:rsid w:val="4F967237"/>
    <w:rsid w:val="4F9C3F94"/>
    <w:rsid w:val="4FA90297"/>
    <w:rsid w:val="4FAF36BD"/>
    <w:rsid w:val="4FB974DF"/>
    <w:rsid w:val="4FCF7747"/>
    <w:rsid w:val="4FD371A0"/>
    <w:rsid w:val="4FD5415B"/>
    <w:rsid w:val="4FEB08C0"/>
    <w:rsid w:val="4FF37764"/>
    <w:rsid w:val="5016446C"/>
    <w:rsid w:val="501A5098"/>
    <w:rsid w:val="503F4BE9"/>
    <w:rsid w:val="50557B99"/>
    <w:rsid w:val="505E3468"/>
    <w:rsid w:val="507662E0"/>
    <w:rsid w:val="50976322"/>
    <w:rsid w:val="50A378A2"/>
    <w:rsid w:val="50A43A6D"/>
    <w:rsid w:val="50AA7D78"/>
    <w:rsid w:val="50AF5037"/>
    <w:rsid w:val="50B17248"/>
    <w:rsid w:val="50D85ABE"/>
    <w:rsid w:val="50E03873"/>
    <w:rsid w:val="50E57528"/>
    <w:rsid w:val="50FB5EC7"/>
    <w:rsid w:val="51076672"/>
    <w:rsid w:val="510A7E4A"/>
    <w:rsid w:val="51150640"/>
    <w:rsid w:val="51160C30"/>
    <w:rsid w:val="512166AA"/>
    <w:rsid w:val="51447518"/>
    <w:rsid w:val="51676676"/>
    <w:rsid w:val="517626ED"/>
    <w:rsid w:val="51870AAC"/>
    <w:rsid w:val="518C1C1F"/>
    <w:rsid w:val="51A03BEB"/>
    <w:rsid w:val="51BB2F17"/>
    <w:rsid w:val="51BF1D84"/>
    <w:rsid w:val="51C445D8"/>
    <w:rsid w:val="520B66EF"/>
    <w:rsid w:val="520F4294"/>
    <w:rsid w:val="52295F56"/>
    <w:rsid w:val="522E2CD6"/>
    <w:rsid w:val="523D160F"/>
    <w:rsid w:val="52454773"/>
    <w:rsid w:val="5270793F"/>
    <w:rsid w:val="529E7E5B"/>
    <w:rsid w:val="52B225D4"/>
    <w:rsid w:val="52BD243D"/>
    <w:rsid w:val="52CA52DE"/>
    <w:rsid w:val="52E2474C"/>
    <w:rsid w:val="52F13756"/>
    <w:rsid w:val="52F96776"/>
    <w:rsid w:val="53005373"/>
    <w:rsid w:val="53010E8A"/>
    <w:rsid w:val="5318567A"/>
    <w:rsid w:val="531D65B2"/>
    <w:rsid w:val="531F097B"/>
    <w:rsid w:val="53370763"/>
    <w:rsid w:val="53371957"/>
    <w:rsid w:val="534031CB"/>
    <w:rsid w:val="53620EEA"/>
    <w:rsid w:val="53645130"/>
    <w:rsid w:val="538507EF"/>
    <w:rsid w:val="538A02DC"/>
    <w:rsid w:val="539B265B"/>
    <w:rsid w:val="539F0D5A"/>
    <w:rsid w:val="53C45154"/>
    <w:rsid w:val="53D13541"/>
    <w:rsid w:val="53D928B3"/>
    <w:rsid w:val="53DF2DCB"/>
    <w:rsid w:val="53E13F72"/>
    <w:rsid w:val="53E77510"/>
    <w:rsid w:val="53EE23BF"/>
    <w:rsid w:val="53FB308C"/>
    <w:rsid w:val="54034353"/>
    <w:rsid w:val="5409539E"/>
    <w:rsid w:val="54133ADD"/>
    <w:rsid w:val="54372316"/>
    <w:rsid w:val="543B086B"/>
    <w:rsid w:val="54547CA3"/>
    <w:rsid w:val="54643332"/>
    <w:rsid w:val="546B1A94"/>
    <w:rsid w:val="547D3FF0"/>
    <w:rsid w:val="54921C42"/>
    <w:rsid w:val="54A71030"/>
    <w:rsid w:val="54A85071"/>
    <w:rsid w:val="54B7270E"/>
    <w:rsid w:val="54BF4C96"/>
    <w:rsid w:val="54DC0407"/>
    <w:rsid w:val="54DC7EEB"/>
    <w:rsid w:val="54F85523"/>
    <w:rsid w:val="550377AD"/>
    <w:rsid w:val="552D3719"/>
    <w:rsid w:val="553A5043"/>
    <w:rsid w:val="55434AC4"/>
    <w:rsid w:val="55470D7F"/>
    <w:rsid w:val="55581D3D"/>
    <w:rsid w:val="555F3AA6"/>
    <w:rsid w:val="55686398"/>
    <w:rsid w:val="556C60B3"/>
    <w:rsid w:val="55C15291"/>
    <w:rsid w:val="55C91DDF"/>
    <w:rsid w:val="55CF47D0"/>
    <w:rsid w:val="55EB4403"/>
    <w:rsid w:val="55F22EC4"/>
    <w:rsid w:val="5606068F"/>
    <w:rsid w:val="560B7F21"/>
    <w:rsid w:val="56136C26"/>
    <w:rsid w:val="56225E18"/>
    <w:rsid w:val="562C22FC"/>
    <w:rsid w:val="56347BFE"/>
    <w:rsid w:val="563A7E9B"/>
    <w:rsid w:val="56495F4A"/>
    <w:rsid w:val="565C2946"/>
    <w:rsid w:val="565F3DA6"/>
    <w:rsid w:val="56890A8D"/>
    <w:rsid w:val="56925C61"/>
    <w:rsid w:val="56930F5A"/>
    <w:rsid w:val="56B92459"/>
    <w:rsid w:val="56D76945"/>
    <w:rsid w:val="56F02C50"/>
    <w:rsid w:val="56F85B6D"/>
    <w:rsid w:val="571C2584"/>
    <w:rsid w:val="57240661"/>
    <w:rsid w:val="57283E0B"/>
    <w:rsid w:val="5738499B"/>
    <w:rsid w:val="57405985"/>
    <w:rsid w:val="57416CCB"/>
    <w:rsid w:val="576B5785"/>
    <w:rsid w:val="576E69B6"/>
    <w:rsid w:val="5777402A"/>
    <w:rsid w:val="57956BD8"/>
    <w:rsid w:val="5798743E"/>
    <w:rsid w:val="57B90883"/>
    <w:rsid w:val="57EB51CE"/>
    <w:rsid w:val="582F7C9C"/>
    <w:rsid w:val="585440F0"/>
    <w:rsid w:val="585C28AB"/>
    <w:rsid w:val="585C4B66"/>
    <w:rsid w:val="589E7E02"/>
    <w:rsid w:val="58B375CF"/>
    <w:rsid w:val="58B74EA2"/>
    <w:rsid w:val="58C1230C"/>
    <w:rsid w:val="58D53867"/>
    <w:rsid w:val="58DB7B6B"/>
    <w:rsid w:val="58E00368"/>
    <w:rsid w:val="58ED4F64"/>
    <w:rsid w:val="58F44C79"/>
    <w:rsid w:val="590146C8"/>
    <w:rsid w:val="59210902"/>
    <w:rsid w:val="59215B57"/>
    <w:rsid w:val="592866D1"/>
    <w:rsid w:val="5935733B"/>
    <w:rsid w:val="593B3F1E"/>
    <w:rsid w:val="593E44C7"/>
    <w:rsid w:val="59517F0B"/>
    <w:rsid w:val="59654336"/>
    <w:rsid w:val="597A4A32"/>
    <w:rsid w:val="597D5C14"/>
    <w:rsid w:val="597E09E7"/>
    <w:rsid w:val="59915EC1"/>
    <w:rsid w:val="59A0270B"/>
    <w:rsid w:val="59AC7302"/>
    <w:rsid w:val="59B06758"/>
    <w:rsid w:val="59C23B35"/>
    <w:rsid w:val="59CA084F"/>
    <w:rsid w:val="59CA6EC7"/>
    <w:rsid w:val="59EC4523"/>
    <w:rsid w:val="59F21CEF"/>
    <w:rsid w:val="59FA62BF"/>
    <w:rsid w:val="5A1C43A4"/>
    <w:rsid w:val="5A200EB3"/>
    <w:rsid w:val="5A2E2695"/>
    <w:rsid w:val="5A317220"/>
    <w:rsid w:val="5A3228CD"/>
    <w:rsid w:val="5A5E6059"/>
    <w:rsid w:val="5A6269DE"/>
    <w:rsid w:val="5A736329"/>
    <w:rsid w:val="5A766DC7"/>
    <w:rsid w:val="5AAD49D1"/>
    <w:rsid w:val="5AB820EA"/>
    <w:rsid w:val="5AB865E5"/>
    <w:rsid w:val="5AB96847"/>
    <w:rsid w:val="5ABC17C7"/>
    <w:rsid w:val="5AC445F6"/>
    <w:rsid w:val="5AC850CF"/>
    <w:rsid w:val="5AE453BD"/>
    <w:rsid w:val="5AEC5DDC"/>
    <w:rsid w:val="5AF268CC"/>
    <w:rsid w:val="5AF5546C"/>
    <w:rsid w:val="5AFA040B"/>
    <w:rsid w:val="5B0B373F"/>
    <w:rsid w:val="5B0B4BC0"/>
    <w:rsid w:val="5B1031F0"/>
    <w:rsid w:val="5B1B5005"/>
    <w:rsid w:val="5B265F87"/>
    <w:rsid w:val="5B382831"/>
    <w:rsid w:val="5B3D0088"/>
    <w:rsid w:val="5B3F4DB9"/>
    <w:rsid w:val="5B4535FC"/>
    <w:rsid w:val="5B482F07"/>
    <w:rsid w:val="5B5374D7"/>
    <w:rsid w:val="5B5B3570"/>
    <w:rsid w:val="5B6322AA"/>
    <w:rsid w:val="5B6D01D2"/>
    <w:rsid w:val="5B6D0D13"/>
    <w:rsid w:val="5B8529BC"/>
    <w:rsid w:val="5B86686D"/>
    <w:rsid w:val="5B8F0C89"/>
    <w:rsid w:val="5BAD170D"/>
    <w:rsid w:val="5BF070CD"/>
    <w:rsid w:val="5BFF6ACC"/>
    <w:rsid w:val="5C005C45"/>
    <w:rsid w:val="5C0A6E8C"/>
    <w:rsid w:val="5C0B6EDF"/>
    <w:rsid w:val="5C160B6C"/>
    <w:rsid w:val="5C4B6C03"/>
    <w:rsid w:val="5C59168D"/>
    <w:rsid w:val="5C763E9F"/>
    <w:rsid w:val="5C821129"/>
    <w:rsid w:val="5C877BB2"/>
    <w:rsid w:val="5C8E0F41"/>
    <w:rsid w:val="5C8E760E"/>
    <w:rsid w:val="5C91292C"/>
    <w:rsid w:val="5CBA0E18"/>
    <w:rsid w:val="5CBF4790"/>
    <w:rsid w:val="5CE52D57"/>
    <w:rsid w:val="5CEE19DF"/>
    <w:rsid w:val="5CFD7060"/>
    <w:rsid w:val="5D02548B"/>
    <w:rsid w:val="5D072428"/>
    <w:rsid w:val="5D1551BE"/>
    <w:rsid w:val="5D187049"/>
    <w:rsid w:val="5D235F07"/>
    <w:rsid w:val="5D2E6FEF"/>
    <w:rsid w:val="5D344010"/>
    <w:rsid w:val="5D444EF8"/>
    <w:rsid w:val="5D492700"/>
    <w:rsid w:val="5D5E09A5"/>
    <w:rsid w:val="5DA84114"/>
    <w:rsid w:val="5DB32021"/>
    <w:rsid w:val="5DD14A36"/>
    <w:rsid w:val="5DD66B55"/>
    <w:rsid w:val="5DD94E07"/>
    <w:rsid w:val="5DDD3342"/>
    <w:rsid w:val="5DDE31F8"/>
    <w:rsid w:val="5DFC702A"/>
    <w:rsid w:val="5E171842"/>
    <w:rsid w:val="5E206824"/>
    <w:rsid w:val="5E2353F1"/>
    <w:rsid w:val="5E2D4354"/>
    <w:rsid w:val="5E3E4FA5"/>
    <w:rsid w:val="5E434D76"/>
    <w:rsid w:val="5E581E70"/>
    <w:rsid w:val="5E784311"/>
    <w:rsid w:val="5E80703E"/>
    <w:rsid w:val="5E8E1E22"/>
    <w:rsid w:val="5E8F1627"/>
    <w:rsid w:val="5E9C6E65"/>
    <w:rsid w:val="5ED3350B"/>
    <w:rsid w:val="5EF80C19"/>
    <w:rsid w:val="5F0D5B98"/>
    <w:rsid w:val="5F1A4D0E"/>
    <w:rsid w:val="5F1D12CB"/>
    <w:rsid w:val="5F214AB2"/>
    <w:rsid w:val="5F2B1033"/>
    <w:rsid w:val="5F2F20EF"/>
    <w:rsid w:val="5F3129A4"/>
    <w:rsid w:val="5F322DD4"/>
    <w:rsid w:val="5F4D3766"/>
    <w:rsid w:val="5F4D7FB0"/>
    <w:rsid w:val="5F7D646E"/>
    <w:rsid w:val="5F821A41"/>
    <w:rsid w:val="5F824C39"/>
    <w:rsid w:val="5F9937E6"/>
    <w:rsid w:val="5FB05B4B"/>
    <w:rsid w:val="5FB46677"/>
    <w:rsid w:val="5FB46DAA"/>
    <w:rsid w:val="5FB9411A"/>
    <w:rsid w:val="5FBF1411"/>
    <w:rsid w:val="5FD255E8"/>
    <w:rsid w:val="5FD360B3"/>
    <w:rsid w:val="5FE51FBF"/>
    <w:rsid w:val="5FEA7730"/>
    <w:rsid w:val="600D3631"/>
    <w:rsid w:val="601175DF"/>
    <w:rsid w:val="602778B3"/>
    <w:rsid w:val="602D06C2"/>
    <w:rsid w:val="60442EB5"/>
    <w:rsid w:val="605C1187"/>
    <w:rsid w:val="606E353A"/>
    <w:rsid w:val="60872BA5"/>
    <w:rsid w:val="608C0AC2"/>
    <w:rsid w:val="609B12BB"/>
    <w:rsid w:val="60A153C4"/>
    <w:rsid w:val="60B81A42"/>
    <w:rsid w:val="60B81D35"/>
    <w:rsid w:val="60BB607C"/>
    <w:rsid w:val="60DB3599"/>
    <w:rsid w:val="60DB4284"/>
    <w:rsid w:val="60F6302D"/>
    <w:rsid w:val="60FF1884"/>
    <w:rsid w:val="61092F57"/>
    <w:rsid w:val="611D00CC"/>
    <w:rsid w:val="6129541F"/>
    <w:rsid w:val="612B059A"/>
    <w:rsid w:val="612E1967"/>
    <w:rsid w:val="613043EA"/>
    <w:rsid w:val="6147186D"/>
    <w:rsid w:val="61614E76"/>
    <w:rsid w:val="61665605"/>
    <w:rsid w:val="61874157"/>
    <w:rsid w:val="61907509"/>
    <w:rsid w:val="619B1193"/>
    <w:rsid w:val="61A1705B"/>
    <w:rsid w:val="61AC4A11"/>
    <w:rsid w:val="61B424C8"/>
    <w:rsid w:val="61CC5C40"/>
    <w:rsid w:val="61E77AFE"/>
    <w:rsid w:val="61FB138B"/>
    <w:rsid w:val="620A64C0"/>
    <w:rsid w:val="620D6B6D"/>
    <w:rsid w:val="622512E3"/>
    <w:rsid w:val="6226337E"/>
    <w:rsid w:val="62690EB0"/>
    <w:rsid w:val="6286585F"/>
    <w:rsid w:val="629038C3"/>
    <w:rsid w:val="62960B4F"/>
    <w:rsid w:val="62C918D8"/>
    <w:rsid w:val="62CC4CEE"/>
    <w:rsid w:val="62D1432C"/>
    <w:rsid w:val="62D5531A"/>
    <w:rsid w:val="62DD678E"/>
    <w:rsid w:val="62EB5AF4"/>
    <w:rsid w:val="62F6567B"/>
    <w:rsid w:val="631D05B4"/>
    <w:rsid w:val="63286A2F"/>
    <w:rsid w:val="6336348D"/>
    <w:rsid w:val="633C1073"/>
    <w:rsid w:val="63402869"/>
    <w:rsid w:val="6343168B"/>
    <w:rsid w:val="635E1A4C"/>
    <w:rsid w:val="63706486"/>
    <w:rsid w:val="637502A7"/>
    <w:rsid w:val="63831726"/>
    <w:rsid w:val="638508E0"/>
    <w:rsid w:val="63924F84"/>
    <w:rsid w:val="63A546A8"/>
    <w:rsid w:val="63A67290"/>
    <w:rsid w:val="63E044E9"/>
    <w:rsid w:val="63E84672"/>
    <w:rsid w:val="63EE47BE"/>
    <w:rsid w:val="63F229C9"/>
    <w:rsid w:val="63FF2A81"/>
    <w:rsid w:val="640902CB"/>
    <w:rsid w:val="640A0554"/>
    <w:rsid w:val="6410447D"/>
    <w:rsid w:val="64176014"/>
    <w:rsid w:val="643B1186"/>
    <w:rsid w:val="643D3D16"/>
    <w:rsid w:val="643E4FFA"/>
    <w:rsid w:val="64501BB2"/>
    <w:rsid w:val="64644617"/>
    <w:rsid w:val="649F4B61"/>
    <w:rsid w:val="64F54D3C"/>
    <w:rsid w:val="64FF21BA"/>
    <w:rsid w:val="651B533C"/>
    <w:rsid w:val="6522377E"/>
    <w:rsid w:val="652431F0"/>
    <w:rsid w:val="652906ED"/>
    <w:rsid w:val="6535057F"/>
    <w:rsid w:val="65545499"/>
    <w:rsid w:val="65751F98"/>
    <w:rsid w:val="658253BB"/>
    <w:rsid w:val="659A2704"/>
    <w:rsid w:val="65BD729A"/>
    <w:rsid w:val="65D72700"/>
    <w:rsid w:val="66063851"/>
    <w:rsid w:val="662B5608"/>
    <w:rsid w:val="663F7D97"/>
    <w:rsid w:val="66476B4B"/>
    <w:rsid w:val="664E25AF"/>
    <w:rsid w:val="66627FC1"/>
    <w:rsid w:val="667F0B73"/>
    <w:rsid w:val="66895074"/>
    <w:rsid w:val="668B770A"/>
    <w:rsid w:val="6699148D"/>
    <w:rsid w:val="669D2230"/>
    <w:rsid w:val="66A9723B"/>
    <w:rsid w:val="66C11F13"/>
    <w:rsid w:val="66CE42CE"/>
    <w:rsid w:val="67172DB9"/>
    <w:rsid w:val="671E57CD"/>
    <w:rsid w:val="67497084"/>
    <w:rsid w:val="67874E83"/>
    <w:rsid w:val="678D358E"/>
    <w:rsid w:val="67903CA9"/>
    <w:rsid w:val="679A7B08"/>
    <w:rsid w:val="679B5B59"/>
    <w:rsid w:val="679C6B4C"/>
    <w:rsid w:val="67C15BC0"/>
    <w:rsid w:val="67EB2223"/>
    <w:rsid w:val="681177B7"/>
    <w:rsid w:val="681E0D67"/>
    <w:rsid w:val="68447B9A"/>
    <w:rsid w:val="68493E05"/>
    <w:rsid w:val="685E3927"/>
    <w:rsid w:val="686E4047"/>
    <w:rsid w:val="68795046"/>
    <w:rsid w:val="687F4C1D"/>
    <w:rsid w:val="68885815"/>
    <w:rsid w:val="68993147"/>
    <w:rsid w:val="68C2756A"/>
    <w:rsid w:val="68CA608A"/>
    <w:rsid w:val="68CB1738"/>
    <w:rsid w:val="68CC35EB"/>
    <w:rsid w:val="68DB550E"/>
    <w:rsid w:val="68DC298A"/>
    <w:rsid w:val="68DE4FFE"/>
    <w:rsid w:val="68EA08E2"/>
    <w:rsid w:val="690C1B6B"/>
    <w:rsid w:val="690C3F26"/>
    <w:rsid w:val="690D7B44"/>
    <w:rsid w:val="690F0847"/>
    <w:rsid w:val="692C3FA5"/>
    <w:rsid w:val="693D1B33"/>
    <w:rsid w:val="69402C35"/>
    <w:rsid w:val="6962178B"/>
    <w:rsid w:val="69763186"/>
    <w:rsid w:val="6978469B"/>
    <w:rsid w:val="69896C65"/>
    <w:rsid w:val="69A85E16"/>
    <w:rsid w:val="69C97171"/>
    <w:rsid w:val="69ED579D"/>
    <w:rsid w:val="6A1F767C"/>
    <w:rsid w:val="6A233CFC"/>
    <w:rsid w:val="6A32545A"/>
    <w:rsid w:val="6A3C4858"/>
    <w:rsid w:val="6A3F4919"/>
    <w:rsid w:val="6A45569F"/>
    <w:rsid w:val="6A494992"/>
    <w:rsid w:val="6A7241DA"/>
    <w:rsid w:val="6A7D0C4F"/>
    <w:rsid w:val="6A8D5D59"/>
    <w:rsid w:val="6ABD7DF6"/>
    <w:rsid w:val="6ACB5C2B"/>
    <w:rsid w:val="6ACD1429"/>
    <w:rsid w:val="6AFD3177"/>
    <w:rsid w:val="6AFD60AE"/>
    <w:rsid w:val="6B3B6B50"/>
    <w:rsid w:val="6B3D56C7"/>
    <w:rsid w:val="6B560794"/>
    <w:rsid w:val="6B5651D2"/>
    <w:rsid w:val="6B6C2B07"/>
    <w:rsid w:val="6B817366"/>
    <w:rsid w:val="6B8A0E05"/>
    <w:rsid w:val="6BA43833"/>
    <w:rsid w:val="6BC11D3A"/>
    <w:rsid w:val="6BD35E1F"/>
    <w:rsid w:val="6BDC775D"/>
    <w:rsid w:val="6BE63C18"/>
    <w:rsid w:val="6C1D002B"/>
    <w:rsid w:val="6C2800AB"/>
    <w:rsid w:val="6C377825"/>
    <w:rsid w:val="6C397724"/>
    <w:rsid w:val="6C3A24EC"/>
    <w:rsid w:val="6C44786E"/>
    <w:rsid w:val="6C5B710D"/>
    <w:rsid w:val="6C5E1225"/>
    <w:rsid w:val="6C6258FC"/>
    <w:rsid w:val="6C700D4E"/>
    <w:rsid w:val="6C7D25AA"/>
    <w:rsid w:val="6C7D5CF7"/>
    <w:rsid w:val="6C864FCE"/>
    <w:rsid w:val="6CB542C8"/>
    <w:rsid w:val="6CD539FE"/>
    <w:rsid w:val="6D2032E6"/>
    <w:rsid w:val="6D21370B"/>
    <w:rsid w:val="6D2E22F8"/>
    <w:rsid w:val="6D4D4CA1"/>
    <w:rsid w:val="6D5A5A45"/>
    <w:rsid w:val="6D871E5D"/>
    <w:rsid w:val="6D8C744C"/>
    <w:rsid w:val="6D9E721F"/>
    <w:rsid w:val="6DB7708E"/>
    <w:rsid w:val="6DC16B11"/>
    <w:rsid w:val="6DCC05D9"/>
    <w:rsid w:val="6DCD570A"/>
    <w:rsid w:val="6DD3117F"/>
    <w:rsid w:val="6DD8672B"/>
    <w:rsid w:val="6DE704B1"/>
    <w:rsid w:val="6DED0A01"/>
    <w:rsid w:val="6DF8337A"/>
    <w:rsid w:val="6E0A2F8E"/>
    <w:rsid w:val="6E0A488C"/>
    <w:rsid w:val="6E1C4E4E"/>
    <w:rsid w:val="6E263F3C"/>
    <w:rsid w:val="6E3F5BBC"/>
    <w:rsid w:val="6E535B46"/>
    <w:rsid w:val="6E5C5328"/>
    <w:rsid w:val="6E5F649A"/>
    <w:rsid w:val="6E643C75"/>
    <w:rsid w:val="6E664226"/>
    <w:rsid w:val="6E9047F2"/>
    <w:rsid w:val="6EA75B94"/>
    <w:rsid w:val="6EA820D0"/>
    <w:rsid w:val="6EAB5352"/>
    <w:rsid w:val="6EB967CD"/>
    <w:rsid w:val="6EC07D65"/>
    <w:rsid w:val="6EC2772B"/>
    <w:rsid w:val="6ED75D30"/>
    <w:rsid w:val="6EDE1140"/>
    <w:rsid w:val="6EF636D7"/>
    <w:rsid w:val="6EFE4CA9"/>
    <w:rsid w:val="6F1D1F2A"/>
    <w:rsid w:val="6F1E7F02"/>
    <w:rsid w:val="6F2C698D"/>
    <w:rsid w:val="6F307FBD"/>
    <w:rsid w:val="6F524050"/>
    <w:rsid w:val="6F863101"/>
    <w:rsid w:val="6F8D0BCF"/>
    <w:rsid w:val="6F906926"/>
    <w:rsid w:val="6F9E3AD8"/>
    <w:rsid w:val="6FA23773"/>
    <w:rsid w:val="6FB24AEE"/>
    <w:rsid w:val="6FBA745A"/>
    <w:rsid w:val="6FC14329"/>
    <w:rsid w:val="6FC572DF"/>
    <w:rsid w:val="6FCE5BF7"/>
    <w:rsid w:val="6FDA252A"/>
    <w:rsid w:val="6FDC7D30"/>
    <w:rsid w:val="6FE0340A"/>
    <w:rsid w:val="6FE6276D"/>
    <w:rsid w:val="6FEA6407"/>
    <w:rsid w:val="6FEE127A"/>
    <w:rsid w:val="6FFB78EA"/>
    <w:rsid w:val="70175DEF"/>
    <w:rsid w:val="702668B5"/>
    <w:rsid w:val="702A6540"/>
    <w:rsid w:val="70313CB8"/>
    <w:rsid w:val="703968C6"/>
    <w:rsid w:val="704323FB"/>
    <w:rsid w:val="70496947"/>
    <w:rsid w:val="705740AF"/>
    <w:rsid w:val="70673B11"/>
    <w:rsid w:val="707D7BC3"/>
    <w:rsid w:val="7084221D"/>
    <w:rsid w:val="70995ECF"/>
    <w:rsid w:val="709A5398"/>
    <w:rsid w:val="70A5670D"/>
    <w:rsid w:val="70A9032F"/>
    <w:rsid w:val="70B96EB0"/>
    <w:rsid w:val="70C31153"/>
    <w:rsid w:val="70E37F25"/>
    <w:rsid w:val="70EC7CA0"/>
    <w:rsid w:val="710E3FF5"/>
    <w:rsid w:val="71217BF7"/>
    <w:rsid w:val="71256547"/>
    <w:rsid w:val="712E63F7"/>
    <w:rsid w:val="71321D8A"/>
    <w:rsid w:val="715B4FAC"/>
    <w:rsid w:val="715B781E"/>
    <w:rsid w:val="7161477F"/>
    <w:rsid w:val="71717CF1"/>
    <w:rsid w:val="71864957"/>
    <w:rsid w:val="719628BC"/>
    <w:rsid w:val="71BB21F2"/>
    <w:rsid w:val="71DF4E18"/>
    <w:rsid w:val="71E116BB"/>
    <w:rsid w:val="71E8488A"/>
    <w:rsid w:val="71ED62B2"/>
    <w:rsid w:val="71FF7ED8"/>
    <w:rsid w:val="72037475"/>
    <w:rsid w:val="72256503"/>
    <w:rsid w:val="7233754A"/>
    <w:rsid w:val="723513B9"/>
    <w:rsid w:val="72401A80"/>
    <w:rsid w:val="724463AD"/>
    <w:rsid w:val="72640322"/>
    <w:rsid w:val="726560A9"/>
    <w:rsid w:val="72664F16"/>
    <w:rsid w:val="7274164C"/>
    <w:rsid w:val="727448E4"/>
    <w:rsid w:val="72916253"/>
    <w:rsid w:val="72A4012B"/>
    <w:rsid w:val="72A50B66"/>
    <w:rsid w:val="72E63328"/>
    <w:rsid w:val="72F17CFC"/>
    <w:rsid w:val="72F24118"/>
    <w:rsid w:val="72F40210"/>
    <w:rsid w:val="72F53670"/>
    <w:rsid w:val="72FB2F33"/>
    <w:rsid w:val="73173CE2"/>
    <w:rsid w:val="7318787F"/>
    <w:rsid w:val="73350EC4"/>
    <w:rsid w:val="73375A36"/>
    <w:rsid w:val="734D1AAC"/>
    <w:rsid w:val="73627B42"/>
    <w:rsid w:val="73704370"/>
    <w:rsid w:val="73856825"/>
    <w:rsid w:val="7395236A"/>
    <w:rsid w:val="739E3813"/>
    <w:rsid w:val="73A365F5"/>
    <w:rsid w:val="73B47087"/>
    <w:rsid w:val="73BA7DA1"/>
    <w:rsid w:val="73BE7EC9"/>
    <w:rsid w:val="73C02D18"/>
    <w:rsid w:val="73DC4D25"/>
    <w:rsid w:val="73DF2697"/>
    <w:rsid w:val="73F769EC"/>
    <w:rsid w:val="7431777C"/>
    <w:rsid w:val="74427D56"/>
    <w:rsid w:val="744A3547"/>
    <w:rsid w:val="744D5640"/>
    <w:rsid w:val="74532FFA"/>
    <w:rsid w:val="745436E9"/>
    <w:rsid w:val="7457660D"/>
    <w:rsid w:val="7492555D"/>
    <w:rsid w:val="74C07934"/>
    <w:rsid w:val="74D459A3"/>
    <w:rsid w:val="74D8487D"/>
    <w:rsid w:val="74F55BA9"/>
    <w:rsid w:val="74F776C4"/>
    <w:rsid w:val="75074DF7"/>
    <w:rsid w:val="75286516"/>
    <w:rsid w:val="753B27D2"/>
    <w:rsid w:val="753F1B7D"/>
    <w:rsid w:val="755203BF"/>
    <w:rsid w:val="755D60CB"/>
    <w:rsid w:val="75773950"/>
    <w:rsid w:val="757A60AE"/>
    <w:rsid w:val="758139DD"/>
    <w:rsid w:val="758B61EE"/>
    <w:rsid w:val="75933184"/>
    <w:rsid w:val="75A85F2A"/>
    <w:rsid w:val="75B21260"/>
    <w:rsid w:val="75B4308D"/>
    <w:rsid w:val="75B855D2"/>
    <w:rsid w:val="75B96BD7"/>
    <w:rsid w:val="75C379FA"/>
    <w:rsid w:val="75D5010C"/>
    <w:rsid w:val="75D85BF4"/>
    <w:rsid w:val="75F36C4E"/>
    <w:rsid w:val="76110225"/>
    <w:rsid w:val="76133D20"/>
    <w:rsid w:val="761E13BE"/>
    <w:rsid w:val="762A0827"/>
    <w:rsid w:val="762F086F"/>
    <w:rsid w:val="7651358C"/>
    <w:rsid w:val="765A05BC"/>
    <w:rsid w:val="76692EF4"/>
    <w:rsid w:val="7677439C"/>
    <w:rsid w:val="76811F39"/>
    <w:rsid w:val="768D36A0"/>
    <w:rsid w:val="76942D56"/>
    <w:rsid w:val="76A32480"/>
    <w:rsid w:val="76BD6FDB"/>
    <w:rsid w:val="76C727DF"/>
    <w:rsid w:val="76C97A91"/>
    <w:rsid w:val="76CC50C9"/>
    <w:rsid w:val="76D774B4"/>
    <w:rsid w:val="76DF08BF"/>
    <w:rsid w:val="76E64FE9"/>
    <w:rsid w:val="76EF1C48"/>
    <w:rsid w:val="77142F60"/>
    <w:rsid w:val="771C4561"/>
    <w:rsid w:val="772E0EFE"/>
    <w:rsid w:val="77531CCD"/>
    <w:rsid w:val="775539A8"/>
    <w:rsid w:val="77564CDE"/>
    <w:rsid w:val="775766A7"/>
    <w:rsid w:val="775E513F"/>
    <w:rsid w:val="7789311B"/>
    <w:rsid w:val="778B45B5"/>
    <w:rsid w:val="77993325"/>
    <w:rsid w:val="77A11407"/>
    <w:rsid w:val="77B60070"/>
    <w:rsid w:val="77CD1C66"/>
    <w:rsid w:val="77FD2A21"/>
    <w:rsid w:val="77FF6F6D"/>
    <w:rsid w:val="781F2BD4"/>
    <w:rsid w:val="78221177"/>
    <w:rsid w:val="782243C2"/>
    <w:rsid w:val="782C0497"/>
    <w:rsid w:val="782C5A36"/>
    <w:rsid w:val="783D7B2B"/>
    <w:rsid w:val="7847193F"/>
    <w:rsid w:val="784819C4"/>
    <w:rsid w:val="785146D1"/>
    <w:rsid w:val="787162D7"/>
    <w:rsid w:val="78931FC0"/>
    <w:rsid w:val="78A2565B"/>
    <w:rsid w:val="78A72782"/>
    <w:rsid w:val="78B57F30"/>
    <w:rsid w:val="78BD7DA6"/>
    <w:rsid w:val="78D32B02"/>
    <w:rsid w:val="78DB3EA2"/>
    <w:rsid w:val="79136F07"/>
    <w:rsid w:val="79227A7B"/>
    <w:rsid w:val="792C5350"/>
    <w:rsid w:val="79367373"/>
    <w:rsid w:val="79531F9E"/>
    <w:rsid w:val="795A1D59"/>
    <w:rsid w:val="795E7042"/>
    <w:rsid w:val="796327E2"/>
    <w:rsid w:val="79707B63"/>
    <w:rsid w:val="79876F3B"/>
    <w:rsid w:val="798A7BD5"/>
    <w:rsid w:val="7998005B"/>
    <w:rsid w:val="799B3751"/>
    <w:rsid w:val="799C2B4F"/>
    <w:rsid w:val="79AD451C"/>
    <w:rsid w:val="79C46D96"/>
    <w:rsid w:val="79C771E2"/>
    <w:rsid w:val="79D93F3B"/>
    <w:rsid w:val="79DE5972"/>
    <w:rsid w:val="79F30AC2"/>
    <w:rsid w:val="7A0C0892"/>
    <w:rsid w:val="7A1A5A52"/>
    <w:rsid w:val="7A395F1E"/>
    <w:rsid w:val="7A5645B6"/>
    <w:rsid w:val="7A6730A5"/>
    <w:rsid w:val="7A873E11"/>
    <w:rsid w:val="7A8862F4"/>
    <w:rsid w:val="7A905521"/>
    <w:rsid w:val="7A97759F"/>
    <w:rsid w:val="7A9A52A7"/>
    <w:rsid w:val="7AA72AC7"/>
    <w:rsid w:val="7AA80FC8"/>
    <w:rsid w:val="7AB129FA"/>
    <w:rsid w:val="7AC11083"/>
    <w:rsid w:val="7ACF2BC4"/>
    <w:rsid w:val="7AF4478C"/>
    <w:rsid w:val="7AFB3C1A"/>
    <w:rsid w:val="7AFD11E3"/>
    <w:rsid w:val="7B0668C9"/>
    <w:rsid w:val="7B203254"/>
    <w:rsid w:val="7B214E0C"/>
    <w:rsid w:val="7B334F2B"/>
    <w:rsid w:val="7B3D0893"/>
    <w:rsid w:val="7B464E52"/>
    <w:rsid w:val="7B4A041A"/>
    <w:rsid w:val="7B513A73"/>
    <w:rsid w:val="7B5E4E76"/>
    <w:rsid w:val="7B673063"/>
    <w:rsid w:val="7B68690A"/>
    <w:rsid w:val="7B6A2721"/>
    <w:rsid w:val="7BA060D4"/>
    <w:rsid w:val="7BA37A32"/>
    <w:rsid w:val="7BB01186"/>
    <w:rsid w:val="7BB9038F"/>
    <w:rsid w:val="7BB94695"/>
    <w:rsid w:val="7BCD5D1B"/>
    <w:rsid w:val="7BD83B2F"/>
    <w:rsid w:val="7BE37746"/>
    <w:rsid w:val="7BE75B20"/>
    <w:rsid w:val="7BEC38D9"/>
    <w:rsid w:val="7BF5725C"/>
    <w:rsid w:val="7BFA7BD8"/>
    <w:rsid w:val="7C002D82"/>
    <w:rsid w:val="7C02295A"/>
    <w:rsid w:val="7C136AD9"/>
    <w:rsid w:val="7C2B0D47"/>
    <w:rsid w:val="7C350120"/>
    <w:rsid w:val="7C541407"/>
    <w:rsid w:val="7C645E16"/>
    <w:rsid w:val="7C683DA8"/>
    <w:rsid w:val="7C774A79"/>
    <w:rsid w:val="7C801139"/>
    <w:rsid w:val="7C9E3E54"/>
    <w:rsid w:val="7CBC3B7A"/>
    <w:rsid w:val="7CC3033B"/>
    <w:rsid w:val="7CEF6506"/>
    <w:rsid w:val="7CF66AAB"/>
    <w:rsid w:val="7CFA011A"/>
    <w:rsid w:val="7CFE4B12"/>
    <w:rsid w:val="7D295CBC"/>
    <w:rsid w:val="7D330928"/>
    <w:rsid w:val="7D3464FC"/>
    <w:rsid w:val="7D6D684D"/>
    <w:rsid w:val="7D7A78C1"/>
    <w:rsid w:val="7D803A05"/>
    <w:rsid w:val="7DA00E09"/>
    <w:rsid w:val="7DA420C9"/>
    <w:rsid w:val="7DB464AC"/>
    <w:rsid w:val="7DB87202"/>
    <w:rsid w:val="7DB96B10"/>
    <w:rsid w:val="7DBD5199"/>
    <w:rsid w:val="7DD91C18"/>
    <w:rsid w:val="7DDB54AC"/>
    <w:rsid w:val="7DDD55F7"/>
    <w:rsid w:val="7E11330D"/>
    <w:rsid w:val="7E207BF6"/>
    <w:rsid w:val="7E2E180D"/>
    <w:rsid w:val="7E3674EB"/>
    <w:rsid w:val="7E387D5F"/>
    <w:rsid w:val="7E4F55C6"/>
    <w:rsid w:val="7E633B84"/>
    <w:rsid w:val="7E66786C"/>
    <w:rsid w:val="7E9B04B9"/>
    <w:rsid w:val="7E9E5C9C"/>
    <w:rsid w:val="7ED44A14"/>
    <w:rsid w:val="7ED7474C"/>
    <w:rsid w:val="7EE051D4"/>
    <w:rsid w:val="7EED4F50"/>
    <w:rsid w:val="7EF73E05"/>
    <w:rsid w:val="7F0B7248"/>
    <w:rsid w:val="7F280929"/>
    <w:rsid w:val="7F2F0964"/>
    <w:rsid w:val="7F34163C"/>
    <w:rsid w:val="7F4A3EAE"/>
    <w:rsid w:val="7F4B0FBD"/>
    <w:rsid w:val="7F695182"/>
    <w:rsid w:val="7F893CFD"/>
    <w:rsid w:val="7F8C615F"/>
    <w:rsid w:val="7F8E749F"/>
    <w:rsid w:val="7F994716"/>
    <w:rsid w:val="7FA6638C"/>
    <w:rsid w:val="7FBB79EF"/>
    <w:rsid w:val="7FC67363"/>
    <w:rsid w:val="7FCE5757"/>
    <w:rsid w:val="7FD871C8"/>
    <w:rsid w:val="7FE83C65"/>
    <w:rsid w:val="7FEA3E31"/>
    <w:rsid w:val="7FF718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3"/>
    <w:link w:val="58"/>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4">
    <w:name w:val="heading 2"/>
    <w:basedOn w:val="1"/>
    <w:next w:val="1"/>
    <w:link w:val="59"/>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5">
    <w:name w:val="heading 3"/>
    <w:basedOn w:val="1"/>
    <w:next w:val="3"/>
    <w:link w:val="60"/>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6">
    <w:name w:val="heading 4"/>
    <w:basedOn w:val="1"/>
    <w:next w:val="1"/>
    <w:link w:val="61"/>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7">
    <w:name w:val="heading 5"/>
    <w:basedOn w:val="1"/>
    <w:next w:val="1"/>
    <w:link w:val="62"/>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8">
    <w:name w:val="heading 6"/>
    <w:basedOn w:val="1"/>
    <w:next w:val="1"/>
    <w:link w:val="63"/>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9">
    <w:name w:val="heading 7"/>
    <w:basedOn w:val="1"/>
    <w:next w:val="1"/>
    <w:link w:val="64"/>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0">
    <w:name w:val="heading 8"/>
    <w:basedOn w:val="1"/>
    <w:next w:val="1"/>
    <w:link w:val="65"/>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1">
    <w:name w:val="heading 9"/>
    <w:basedOn w:val="1"/>
    <w:next w:val="1"/>
    <w:link w:val="66"/>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2">
    <w:name w:val="List 3"/>
    <w:basedOn w:val="1"/>
    <w:qFormat/>
    <w:uiPriority w:val="99"/>
    <w:pPr>
      <w:ind w:left="600" w:leftChars="400" w:hanging="200" w:hangingChars="200"/>
    </w:pPr>
    <w:rPr>
      <w:rFonts w:ascii="Times New Roman" w:hAnsi="Times New Roman"/>
      <w:szCs w:val="20"/>
    </w:rPr>
  </w:style>
  <w:style w:type="paragraph" w:styleId="13">
    <w:name w:val="Normal Indent"/>
    <w:basedOn w:val="1"/>
    <w:qFormat/>
    <w:uiPriority w:val="0"/>
    <w:pPr>
      <w:ind w:firstLine="420"/>
    </w:pPr>
    <w:rPr>
      <w:rFonts w:ascii="Times New Roman" w:hAnsi="Times New Roman"/>
      <w:sz w:val="28"/>
      <w:szCs w:val="20"/>
    </w:rPr>
  </w:style>
  <w:style w:type="paragraph" w:styleId="14">
    <w:name w:val="caption"/>
    <w:basedOn w:val="1"/>
    <w:next w:val="1"/>
    <w:qFormat/>
    <w:uiPriority w:val="99"/>
    <w:pPr>
      <w:spacing w:before="152" w:after="160"/>
    </w:pPr>
    <w:rPr>
      <w:rFonts w:ascii="Arial" w:hAnsi="Arial" w:eastAsia="黑体" w:cs="Arial"/>
      <w:sz w:val="20"/>
      <w:szCs w:val="20"/>
    </w:rPr>
  </w:style>
  <w:style w:type="paragraph" w:styleId="15">
    <w:name w:val="annotation text"/>
    <w:basedOn w:val="1"/>
    <w:next w:val="13"/>
    <w:link w:val="67"/>
    <w:qFormat/>
    <w:uiPriority w:val="0"/>
    <w:pPr>
      <w:jc w:val="left"/>
    </w:pPr>
    <w:rPr>
      <w:kern w:val="0"/>
      <w:sz w:val="20"/>
      <w:szCs w:val="20"/>
    </w:rPr>
  </w:style>
  <w:style w:type="paragraph" w:styleId="16">
    <w:name w:val="Body Text 3"/>
    <w:basedOn w:val="1"/>
    <w:link w:val="69"/>
    <w:qFormat/>
    <w:uiPriority w:val="99"/>
    <w:pPr>
      <w:spacing w:after="120"/>
    </w:pPr>
    <w:rPr>
      <w:kern w:val="0"/>
      <w:sz w:val="16"/>
      <w:szCs w:val="16"/>
    </w:rPr>
  </w:style>
  <w:style w:type="paragraph" w:styleId="17">
    <w:name w:val="Body Text"/>
    <w:basedOn w:val="1"/>
    <w:link w:val="70"/>
    <w:qFormat/>
    <w:uiPriority w:val="99"/>
    <w:pPr>
      <w:spacing w:line="360" w:lineRule="auto"/>
    </w:pPr>
    <w:rPr>
      <w:kern w:val="0"/>
      <w:sz w:val="20"/>
      <w:szCs w:val="20"/>
    </w:rPr>
  </w:style>
  <w:style w:type="paragraph" w:styleId="18">
    <w:name w:val="Body Text Indent"/>
    <w:basedOn w:val="1"/>
    <w:next w:val="17"/>
    <w:link w:val="71"/>
    <w:qFormat/>
    <w:uiPriority w:val="99"/>
    <w:pPr>
      <w:ind w:firstLine="645"/>
    </w:pPr>
    <w:rPr>
      <w:kern w:val="0"/>
      <w:sz w:val="20"/>
      <w:szCs w:val="20"/>
    </w:rPr>
  </w:style>
  <w:style w:type="paragraph" w:styleId="19">
    <w:name w:val="List 2"/>
    <w:basedOn w:val="1"/>
    <w:qFormat/>
    <w:uiPriority w:val="99"/>
    <w:pPr>
      <w:ind w:left="400" w:leftChars="200" w:hanging="200" w:hangingChars="200"/>
    </w:pPr>
    <w:rPr>
      <w:rFonts w:ascii="Times New Roman" w:hAnsi="Times New Roman"/>
      <w:szCs w:val="20"/>
    </w:rPr>
  </w:style>
  <w:style w:type="paragraph" w:styleId="20">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1">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2">
    <w:name w:val="Plain Text"/>
    <w:basedOn w:val="1"/>
    <w:link w:val="72"/>
    <w:qFormat/>
    <w:uiPriority w:val="99"/>
    <w:pPr>
      <w:spacing w:line="360" w:lineRule="auto"/>
      <w:ind w:firstLine="200" w:firstLineChars="200"/>
    </w:pPr>
    <w:rPr>
      <w:rFonts w:ascii="宋体" w:hAnsi="Courier New"/>
      <w:kern w:val="0"/>
      <w:sz w:val="20"/>
      <w:szCs w:val="21"/>
    </w:rPr>
  </w:style>
  <w:style w:type="paragraph" w:styleId="23">
    <w:name w:val="Date"/>
    <w:basedOn w:val="1"/>
    <w:next w:val="1"/>
    <w:link w:val="73"/>
    <w:qFormat/>
    <w:uiPriority w:val="99"/>
    <w:pPr>
      <w:ind w:left="2500" w:leftChars="2500"/>
    </w:pPr>
    <w:rPr>
      <w:kern w:val="0"/>
      <w:sz w:val="20"/>
      <w:szCs w:val="20"/>
    </w:rPr>
  </w:style>
  <w:style w:type="paragraph" w:styleId="24">
    <w:name w:val="Body Text Indent 2"/>
    <w:basedOn w:val="1"/>
    <w:link w:val="74"/>
    <w:qFormat/>
    <w:uiPriority w:val="99"/>
    <w:pPr>
      <w:ind w:firstLine="630"/>
    </w:pPr>
    <w:rPr>
      <w:kern w:val="0"/>
      <w:sz w:val="20"/>
      <w:szCs w:val="20"/>
    </w:rPr>
  </w:style>
  <w:style w:type="paragraph" w:styleId="25">
    <w:name w:val="List Continue 5"/>
    <w:basedOn w:val="1"/>
    <w:qFormat/>
    <w:uiPriority w:val="99"/>
    <w:pPr>
      <w:spacing w:after="120"/>
      <w:ind w:left="1000" w:leftChars="1000"/>
    </w:pPr>
    <w:rPr>
      <w:rFonts w:ascii="Times New Roman" w:hAnsi="Times New Roman"/>
      <w:szCs w:val="20"/>
    </w:rPr>
  </w:style>
  <w:style w:type="paragraph" w:styleId="26">
    <w:name w:val="Balloon Text"/>
    <w:basedOn w:val="1"/>
    <w:link w:val="75"/>
    <w:qFormat/>
    <w:uiPriority w:val="99"/>
    <w:rPr>
      <w:kern w:val="0"/>
      <w:sz w:val="0"/>
      <w:szCs w:val="0"/>
    </w:rPr>
  </w:style>
  <w:style w:type="paragraph" w:styleId="27">
    <w:name w:val="footer"/>
    <w:basedOn w:val="1"/>
    <w:link w:val="76"/>
    <w:qFormat/>
    <w:uiPriority w:val="99"/>
    <w:pPr>
      <w:tabs>
        <w:tab w:val="center" w:pos="4153"/>
        <w:tab w:val="right" w:pos="8306"/>
      </w:tabs>
      <w:snapToGrid w:val="0"/>
      <w:jc w:val="left"/>
    </w:pPr>
    <w:rPr>
      <w:kern w:val="0"/>
      <w:sz w:val="18"/>
      <w:szCs w:val="18"/>
    </w:rPr>
  </w:style>
  <w:style w:type="paragraph" w:styleId="28">
    <w:name w:val="header"/>
    <w:basedOn w:val="1"/>
    <w:link w:val="77"/>
    <w:qFormat/>
    <w:uiPriority w:val="99"/>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0">
    <w:name w:val="List Continue 4"/>
    <w:basedOn w:val="1"/>
    <w:qFormat/>
    <w:uiPriority w:val="99"/>
    <w:pPr>
      <w:spacing w:after="120"/>
      <w:ind w:left="800" w:leftChars="800"/>
    </w:pPr>
    <w:rPr>
      <w:rFonts w:ascii="Times New Roman" w:hAnsi="Times New Roman"/>
      <w:szCs w:val="20"/>
    </w:rPr>
  </w:style>
  <w:style w:type="paragraph" w:styleId="31">
    <w:name w:val="List"/>
    <w:basedOn w:val="1"/>
    <w:qFormat/>
    <w:uiPriority w:val="99"/>
    <w:pPr>
      <w:ind w:left="200" w:hanging="200" w:hangingChars="200"/>
    </w:pPr>
    <w:rPr>
      <w:rFonts w:ascii="Times New Roman" w:hAnsi="Times New Roman"/>
      <w:szCs w:val="20"/>
    </w:rPr>
  </w:style>
  <w:style w:type="paragraph" w:styleId="32">
    <w:name w:val="footnote text"/>
    <w:basedOn w:val="1"/>
    <w:link w:val="78"/>
    <w:qFormat/>
    <w:uiPriority w:val="99"/>
    <w:pPr>
      <w:adjustRightInd w:val="0"/>
      <w:spacing w:line="312" w:lineRule="atLeast"/>
      <w:jc w:val="left"/>
    </w:pPr>
    <w:rPr>
      <w:kern w:val="0"/>
      <w:sz w:val="18"/>
      <w:szCs w:val="18"/>
    </w:rPr>
  </w:style>
  <w:style w:type="paragraph" w:styleId="33">
    <w:name w:val="List 5"/>
    <w:basedOn w:val="1"/>
    <w:qFormat/>
    <w:uiPriority w:val="99"/>
    <w:pPr>
      <w:ind w:left="1000" w:leftChars="800" w:hanging="200" w:hangingChars="200"/>
    </w:pPr>
    <w:rPr>
      <w:rFonts w:ascii="Times New Roman" w:hAnsi="Times New Roman"/>
      <w:szCs w:val="20"/>
    </w:rPr>
  </w:style>
  <w:style w:type="paragraph" w:styleId="34">
    <w:name w:val="Body Text Indent 3"/>
    <w:basedOn w:val="1"/>
    <w:link w:val="79"/>
    <w:qFormat/>
    <w:uiPriority w:val="99"/>
    <w:pPr>
      <w:spacing w:line="360" w:lineRule="auto"/>
      <w:ind w:firstLine="468"/>
    </w:pPr>
    <w:rPr>
      <w:kern w:val="0"/>
      <w:sz w:val="16"/>
      <w:szCs w:val="16"/>
    </w:rPr>
  </w:style>
  <w:style w:type="paragraph" w:styleId="35">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6">
    <w:name w:val="Body Text 2"/>
    <w:basedOn w:val="1"/>
    <w:link w:val="80"/>
    <w:qFormat/>
    <w:uiPriority w:val="99"/>
    <w:pPr>
      <w:spacing w:after="120" w:line="480" w:lineRule="auto"/>
    </w:pPr>
    <w:rPr>
      <w:kern w:val="0"/>
      <w:sz w:val="20"/>
      <w:szCs w:val="20"/>
    </w:rPr>
  </w:style>
  <w:style w:type="paragraph" w:styleId="37">
    <w:name w:val="List 4"/>
    <w:basedOn w:val="1"/>
    <w:qFormat/>
    <w:uiPriority w:val="99"/>
    <w:pPr>
      <w:ind w:left="800" w:leftChars="600" w:hanging="200" w:hangingChars="200"/>
    </w:pPr>
    <w:rPr>
      <w:rFonts w:ascii="Times New Roman" w:hAnsi="Times New Roman"/>
      <w:szCs w:val="20"/>
    </w:rPr>
  </w:style>
  <w:style w:type="paragraph" w:styleId="38">
    <w:name w:val="List Continue 2"/>
    <w:basedOn w:val="1"/>
    <w:qFormat/>
    <w:uiPriority w:val="99"/>
    <w:pPr>
      <w:spacing w:after="120"/>
      <w:ind w:left="400" w:leftChars="400"/>
    </w:pPr>
    <w:rPr>
      <w:rFonts w:ascii="Times New Roman" w:hAnsi="Times New Roman"/>
      <w:szCs w:val="20"/>
    </w:rPr>
  </w:style>
  <w:style w:type="paragraph" w:styleId="39">
    <w:name w:val="Normal (Web)"/>
    <w:basedOn w:val="1"/>
    <w:qFormat/>
    <w:uiPriority w:val="99"/>
    <w:pPr>
      <w:widowControl/>
      <w:spacing w:before="100" w:beforeAutospacing="1" w:after="100" w:afterAutospacing="1"/>
      <w:jc w:val="left"/>
    </w:pPr>
    <w:rPr>
      <w:rFonts w:ascii="宋体"/>
      <w:kern w:val="0"/>
      <w:szCs w:val="24"/>
    </w:rPr>
  </w:style>
  <w:style w:type="paragraph" w:styleId="40">
    <w:name w:val="List Continue 3"/>
    <w:basedOn w:val="1"/>
    <w:qFormat/>
    <w:uiPriority w:val="99"/>
    <w:pPr>
      <w:spacing w:after="120"/>
      <w:ind w:left="600" w:leftChars="600"/>
    </w:pPr>
    <w:rPr>
      <w:rFonts w:ascii="Times New Roman" w:hAnsi="Times New Roman"/>
      <w:szCs w:val="20"/>
    </w:rPr>
  </w:style>
  <w:style w:type="paragraph" w:styleId="41">
    <w:name w:val="annotation subject"/>
    <w:basedOn w:val="15"/>
    <w:next w:val="15"/>
    <w:link w:val="68"/>
    <w:qFormat/>
    <w:uiPriority w:val="99"/>
    <w:rPr>
      <w:b/>
      <w:bCs/>
    </w:rPr>
  </w:style>
  <w:style w:type="paragraph" w:styleId="42">
    <w:name w:val="Body Text First Indent 2"/>
    <w:basedOn w:val="18"/>
    <w:next w:val="17"/>
    <w:qFormat/>
    <w:locked/>
    <w:uiPriority w:val="0"/>
    <w:pPr>
      <w:ind w:firstLine="0"/>
    </w:pPr>
  </w:style>
  <w:style w:type="table" w:styleId="44">
    <w:name w:val="Table Grid"/>
    <w:basedOn w:val="43"/>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page number"/>
    <w:qFormat/>
    <w:uiPriority w:val="0"/>
    <w:rPr>
      <w:rFonts w:cs="Times New Roman"/>
    </w:rPr>
  </w:style>
  <w:style w:type="character" w:styleId="47">
    <w:name w:val="FollowedHyperlink"/>
    <w:qFormat/>
    <w:uiPriority w:val="99"/>
    <w:rPr>
      <w:rFonts w:cs="Times New Roman"/>
      <w:color w:val="800080"/>
      <w:u w:val="single"/>
    </w:rPr>
  </w:style>
  <w:style w:type="character" w:styleId="48">
    <w:name w:val="Hyperlink"/>
    <w:qFormat/>
    <w:uiPriority w:val="99"/>
    <w:rPr>
      <w:rFonts w:cs="Times New Roman"/>
      <w:color w:val="0000FF"/>
      <w:u w:val="single"/>
    </w:rPr>
  </w:style>
  <w:style w:type="character" w:styleId="49">
    <w:name w:val="annotation reference"/>
    <w:qFormat/>
    <w:uiPriority w:val="99"/>
    <w:rPr>
      <w:rFonts w:cs="Times New Roman"/>
      <w:sz w:val="21"/>
      <w:szCs w:val="21"/>
    </w:rPr>
  </w:style>
  <w:style w:type="paragraph" w:customStyle="1" w:styleId="50">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51">
    <w:name w:val="Default"/>
    <w:next w:val="52"/>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2">
    <w:name w:val="大标题"/>
    <w:basedOn w:val="1"/>
    <w:next w:val="42"/>
    <w:qFormat/>
    <w:uiPriority w:val="0"/>
    <w:pPr>
      <w:jc w:val="center"/>
    </w:pPr>
    <w:rPr>
      <w:rFonts w:ascii="Arial" w:hAnsi="Arial"/>
      <w:b/>
      <w:sz w:val="28"/>
      <w:szCs w:val="24"/>
    </w:rPr>
  </w:style>
  <w:style w:type="paragraph" w:customStyle="1" w:styleId="53">
    <w:name w:val="UserStyle_0"/>
    <w:next w:val="54"/>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54">
    <w:name w:val="UserStyle_1"/>
    <w:basedOn w:val="1"/>
    <w:next w:val="55"/>
    <w:qFormat/>
    <w:uiPriority w:val="0"/>
    <w:pPr>
      <w:jc w:val="center"/>
      <w:textAlignment w:val="baseline"/>
    </w:pPr>
    <w:rPr>
      <w:rFonts w:ascii="Arial" w:hAnsi="Arial" w:eastAsia="宋体"/>
      <w:b/>
      <w:kern w:val="2"/>
      <w:sz w:val="28"/>
      <w:szCs w:val="24"/>
      <w:lang w:val="en-US" w:eastAsia="zh-CN" w:bidi="ar-SA"/>
    </w:rPr>
  </w:style>
  <w:style w:type="paragraph" w:customStyle="1" w:styleId="55">
    <w:name w:val="BodyText1I2"/>
    <w:basedOn w:val="56"/>
    <w:next w:val="57"/>
    <w:qFormat/>
    <w:uiPriority w:val="0"/>
    <w:pPr>
      <w:spacing w:after="120"/>
      <w:ind w:left="420" w:leftChars="200" w:firstLine="420" w:firstLineChars="200"/>
      <w:jc w:val="both"/>
      <w:textAlignment w:val="baseline"/>
    </w:pPr>
    <w:rPr>
      <w:rFonts w:ascii="Calibri" w:hAnsi="Calibri" w:eastAsia="宋体"/>
      <w:kern w:val="2"/>
      <w:sz w:val="24"/>
      <w:szCs w:val="22"/>
      <w:lang w:val="en-US" w:eastAsia="zh-CN" w:bidi="ar-SA"/>
    </w:rPr>
  </w:style>
  <w:style w:type="paragraph" w:customStyle="1" w:styleId="56">
    <w:name w:val="BodyTextIndent"/>
    <w:basedOn w:val="1"/>
    <w:next w:val="57"/>
    <w:qFormat/>
    <w:uiPriority w:val="0"/>
    <w:pPr>
      <w:ind w:firstLine="645"/>
      <w:jc w:val="both"/>
      <w:textAlignment w:val="baseline"/>
    </w:pPr>
    <w:rPr>
      <w:rFonts w:ascii="宋体" w:hAnsi="Calibri" w:eastAsia="宋体"/>
      <w:kern w:val="2"/>
      <w:sz w:val="32"/>
      <w:szCs w:val="20"/>
      <w:lang w:val="en-US" w:eastAsia="zh-CN" w:bidi="ar-SA"/>
    </w:rPr>
  </w:style>
  <w:style w:type="paragraph" w:customStyle="1" w:styleId="57">
    <w:name w:val="BodyText"/>
    <w:basedOn w:val="1"/>
    <w:next w:val="53"/>
    <w:qFormat/>
    <w:uiPriority w:val="0"/>
    <w:pPr>
      <w:spacing w:line="360" w:lineRule="auto"/>
      <w:jc w:val="both"/>
      <w:textAlignment w:val="baseline"/>
    </w:pPr>
    <w:rPr>
      <w:rFonts w:ascii="Times New Roman" w:hAnsi="Times New Roman" w:eastAsia="宋体"/>
      <w:kern w:val="2"/>
      <w:sz w:val="21"/>
      <w:szCs w:val="20"/>
      <w:lang w:val="en-US" w:eastAsia="zh-CN" w:bidi="ar-SA"/>
    </w:rPr>
  </w:style>
  <w:style w:type="character" w:customStyle="1" w:styleId="58">
    <w:name w:val="标题 1 字符"/>
    <w:link w:val="2"/>
    <w:qFormat/>
    <w:uiPriority w:val="9"/>
    <w:rPr>
      <w:rFonts w:ascii="Calibri" w:hAnsi="Calibri"/>
      <w:b/>
      <w:bCs/>
      <w:kern w:val="44"/>
      <w:sz w:val="44"/>
      <w:szCs w:val="44"/>
    </w:rPr>
  </w:style>
  <w:style w:type="character" w:customStyle="1" w:styleId="59">
    <w:name w:val="标题 2 字符"/>
    <w:link w:val="4"/>
    <w:semiHidden/>
    <w:qFormat/>
    <w:uiPriority w:val="9"/>
    <w:rPr>
      <w:rFonts w:ascii="Cambria" w:hAnsi="Cambria" w:eastAsia="宋体" w:cs="Times New Roman"/>
      <w:b/>
      <w:bCs/>
      <w:sz w:val="32"/>
      <w:szCs w:val="32"/>
    </w:rPr>
  </w:style>
  <w:style w:type="character" w:customStyle="1" w:styleId="60">
    <w:name w:val="标题 3 字符"/>
    <w:link w:val="5"/>
    <w:semiHidden/>
    <w:qFormat/>
    <w:uiPriority w:val="9"/>
    <w:rPr>
      <w:rFonts w:ascii="Calibri" w:hAnsi="Calibri"/>
      <w:b/>
      <w:bCs/>
      <w:sz w:val="32"/>
      <w:szCs w:val="32"/>
    </w:rPr>
  </w:style>
  <w:style w:type="character" w:customStyle="1" w:styleId="61">
    <w:name w:val="标题 4 字符"/>
    <w:link w:val="6"/>
    <w:semiHidden/>
    <w:qFormat/>
    <w:uiPriority w:val="9"/>
    <w:rPr>
      <w:rFonts w:ascii="Cambria" w:hAnsi="Cambria" w:eastAsia="宋体" w:cs="Times New Roman"/>
      <w:b/>
      <w:bCs/>
      <w:sz w:val="28"/>
      <w:szCs w:val="28"/>
    </w:rPr>
  </w:style>
  <w:style w:type="character" w:customStyle="1" w:styleId="62">
    <w:name w:val="标题 5 字符"/>
    <w:link w:val="7"/>
    <w:semiHidden/>
    <w:qFormat/>
    <w:uiPriority w:val="9"/>
    <w:rPr>
      <w:rFonts w:ascii="Calibri" w:hAnsi="Calibri"/>
      <w:b/>
      <w:bCs/>
      <w:sz w:val="28"/>
      <w:szCs w:val="28"/>
    </w:rPr>
  </w:style>
  <w:style w:type="character" w:customStyle="1" w:styleId="63">
    <w:name w:val="标题 6 字符"/>
    <w:link w:val="8"/>
    <w:semiHidden/>
    <w:qFormat/>
    <w:uiPriority w:val="9"/>
    <w:rPr>
      <w:rFonts w:ascii="Cambria" w:hAnsi="Cambria" w:eastAsia="宋体" w:cs="Times New Roman"/>
      <w:b/>
      <w:bCs/>
      <w:sz w:val="24"/>
      <w:szCs w:val="24"/>
    </w:rPr>
  </w:style>
  <w:style w:type="character" w:customStyle="1" w:styleId="64">
    <w:name w:val="标题 7 字符"/>
    <w:link w:val="9"/>
    <w:semiHidden/>
    <w:qFormat/>
    <w:uiPriority w:val="9"/>
    <w:rPr>
      <w:rFonts w:ascii="Calibri" w:hAnsi="Calibri"/>
      <w:b/>
      <w:bCs/>
      <w:sz w:val="24"/>
      <w:szCs w:val="24"/>
    </w:rPr>
  </w:style>
  <w:style w:type="character" w:customStyle="1" w:styleId="65">
    <w:name w:val="标题 8 字符"/>
    <w:link w:val="10"/>
    <w:semiHidden/>
    <w:qFormat/>
    <w:uiPriority w:val="9"/>
    <w:rPr>
      <w:rFonts w:ascii="Cambria" w:hAnsi="Cambria" w:eastAsia="宋体" w:cs="Times New Roman"/>
      <w:sz w:val="24"/>
      <w:szCs w:val="24"/>
    </w:rPr>
  </w:style>
  <w:style w:type="character" w:customStyle="1" w:styleId="66">
    <w:name w:val="标题 9 字符"/>
    <w:link w:val="11"/>
    <w:semiHidden/>
    <w:qFormat/>
    <w:uiPriority w:val="9"/>
    <w:rPr>
      <w:rFonts w:ascii="Cambria" w:hAnsi="Cambria" w:eastAsia="宋体" w:cs="Times New Roman"/>
      <w:szCs w:val="21"/>
    </w:rPr>
  </w:style>
  <w:style w:type="character" w:customStyle="1" w:styleId="67">
    <w:name w:val="批注文字 字符"/>
    <w:link w:val="15"/>
    <w:qFormat/>
    <w:uiPriority w:val="0"/>
    <w:rPr>
      <w:rFonts w:ascii="Calibri" w:hAnsi="Calibri"/>
    </w:rPr>
  </w:style>
  <w:style w:type="character" w:customStyle="1" w:styleId="68">
    <w:name w:val="批注主题 字符"/>
    <w:link w:val="41"/>
    <w:semiHidden/>
    <w:qFormat/>
    <w:uiPriority w:val="99"/>
    <w:rPr>
      <w:rFonts w:ascii="Calibri" w:hAnsi="Calibri"/>
      <w:b/>
      <w:bCs/>
    </w:rPr>
  </w:style>
  <w:style w:type="character" w:customStyle="1" w:styleId="69">
    <w:name w:val="正文文本 3 字符"/>
    <w:link w:val="16"/>
    <w:semiHidden/>
    <w:qFormat/>
    <w:uiPriority w:val="99"/>
    <w:rPr>
      <w:rFonts w:ascii="Calibri" w:hAnsi="Calibri"/>
      <w:sz w:val="16"/>
      <w:szCs w:val="16"/>
    </w:rPr>
  </w:style>
  <w:style w:type="character" w:customStyle="1" w:styleId="70">
    <w:name w:val="正文文本 字符"/>
    <w:link w:val="17"/>
    <w:semiHidden/>
    <w:qFormat/>
    <w:uiPriority w:val="99"/>
    <w:rPr>
      <w:rFonts w:ascii="Calibri" w:hAnsi="Calibri"/>
    </w:rPr>
  </w:style>
  <w:style w:type="character" w:customStyle="1" w:styleId="71">
    <w:name w:val="正文文本缩进 字符"/>
    <w:link w:val="18"/>
    <w:semiHidden/>
    <w:qFormat/>
    <w:uiPriority w:val="99"/>
    <w:rPr>
      <w:rFonts w:ascii="Calibri" w:hAnsi="Calibri"/>
    </w:rPr>
  </w:style>
  <w:style w:type="character" w:customStyle="1" w:styleId="72">
    <w:name w:val="纯文本 字符"/>
    <w:link w:val="22"/>
    <w:semiHidden/>
    <w:qFormat/>
    <w:uiPriority w:val="99"/>
    <w:rPr>
      <w:rFonts w:ascii="宋体" w:hAnsi="Courier New" w:cs="Courier New"/>
      <w:szCs w:val="21"/>
    </w:rPr>
  </w:style>
  <w:style w:type="character" w:customStyle="1" w:styleId="73">
    <w:name w:val="日期 字符"/>
    <w:link w:val="23"/>
    <w:semiHidden/>
    <w:qFormat/>
    <w:uiPriority w:val="99"/>
    <w:rPr>
      <w:rFonts w:ascii="Calibri" w:hAnsi="Calibri"/>
    </w:rPr>
  </w:style>
  <w:style w:type="character" w:customStyle="1" w:styleId="74">
    <w:name w:val="正文文本缩进 2 字符"/>
    <w:link w:val="24"/>
    <w:semiHidden/>
    <w:qFormat/>
    <w:uiPriority w:val="99"/>
    <w:rPr>
      <w:rFonts w:ascii="Calibri" w:hAnsi="Calibri"/>
    </w:rPr>
  </w:style>
  <w:style w:type="character" w:customStyle="1" w:styleId="75">
    <w:name w:val="批注框文本 字符"/>
    <w:link w:val="26"/>
    <w:semiHidden/>
    <w:qFormat/>
    <w:uiPriority w:val="99"/>
    <w:rPr>
      <w:rFonts w:ascii="Calibri" w:hAnsi="Calibri"/>
      <w:sz w:val="0"/>
      <w:szCs w:val="0"/>
    </w:rPr>
  </w:style>
  <w:style w:type="character" w:customStyle="1" w:styleId="76">
    <w:name w:val="页脚 字符"/>
    <w:link w:val="27"/>
    <w:qFormat/>
    <w:uiPriority w:val="99"/>
    <w:rPr>
      <w:rFonts w:ascii="Calibri" w:hAnsi="Calibri"/>
      <w:sz w:val="18"/>
      <w:szCs w:val="18"/>
    </w:rPr>
  </w:style>
  <w:style w:type="character" w:customStyle="1" w:styleId="77">
    <w:name w:val="页眉 字符"/>
    <w:link w:val="28"/>
    <w:semiHidden/>
    <w:qFormat/>
    <w:uiPriority w:val="99"/>
    <w:rPr>
      <w:rFonts w:ascii="Calibri" w:hAnsi="Calibri"/>
      <w:sz w:val="18"/>
      <w:szCs w:val="18"/>
    </w:rPr>
  </w:style>
  <w:style w:type="character" w:customStyle="1" w:styleId="78">
    <w:name w:val="脚注文本 字符"/>
    <w:link w:val="32"/>
    <w:semiHidden/>
    <w:qFormat/>
    <w:uiPriority w:val="99"/>
    <w:rPr>
      <w:rFonts w:ascii="Calibri" w:hAnsi="Calibri"/>
      <w:sz w:val="18"/>
      <w:szCs w:val="18"/>
    </w:rPr>
  </w:style>
  <w:style w:type="character" w:customStyle="1" w:styleId="79">
    <w:name w:val="正文文本缩进 3 字符"/>
    <w:link w:val="34"/>
    <w:semiHidden/>
    <w:qFormat/>
    <w:uiPriority w:val="99"/>
    <w:rPr>
      <w:rFonts w:ascii="Calibri" w:hAnsi="Calibri"/>
      <w:sz w:val="16"/>
      <w:szCs w:val="16"/>
    </w:rPr>
  </w:style>
  <w:style w:type="character" w:customStyle="1" w:styleId="80">
    <w:name w:val="正文文本 2 字符"/>
    <w:link w:val="36"/>
    <w:semiHidden/>
    <w:qFormat/>
    <w:uiPriority w:val="99"/>
    <w:rPr>
      <w:rFonts w:ascii="Calibri" w:hAnsi="Calibri"/>
    </w:rPr>
  </w:style>
  <w:style w:type="paragraph" w:customStyle="1" w:styleId="81">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82">
    <w:name w:val="简单回函地址"/>
    <w:basedOn w:val="1"/>
    <w:qFormat/>
    <w:uiPriority w:val="99"/>
    <w:rPr>
      <w:rFonts w:ascii="Times New Roman" w:hAnsi="Times New Roman"/>
      <w:szCs w:val="20"/>
    </w:rPr>
  </w:style>
  <w:style w:type="paragraph" w:customStyle="1" w:styleId="83">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84">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5">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6">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7">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9">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90">
    <w:name w:val="正文内容"/>
    <w:basedOn w:val="1"/>
    <w:qFormat/>
    <w:uiPriority w:val="99"/>
    <w:pPr>
      <w:widowControl/>
      <w:jc w:val="left"/>
    </w:pPr>
    <w:rPr>
      <w:rFonts w:ascii="宋体" w:cs="宋体"/>
      <w:kern w:val="0"/>
      <w:sz w:val="28"/>
      <w:szCs w:val="24"/>
    </w:rPr>
  </w:style>
  <w:style w:type="paragraph" w:customStyle="1" w:styleId="91">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92">
    <w:name w:val="_Style 6"/>
    <w:basedOn w:val="1"/>
    <w:qFormat/>
    <w:uiPriority w:val="99"/>
    <w:pPr>
      <w:adjustRightInd w:val="0"/>
      <w:spacing w:line="360" w:lineRule="atLeast"/>
    </w:pPr>
    <w:rPr>
      <w:rFonts w:ascii="Times New Roman" w:hAnsi="Times New Roman"/>
      <w:szCs w:val="24"/>
    </w:rPr>
  </w:style>
  <w:style w:type="paragraph" w:customStyle="1" w:styleId="93">
    <w:name w:val="p0"/>
    <w:basedOn w:val="1"/>
    <w:qFormat/>
    <w:uiPriority w:val="99"/>
    <w:pPr>
      <w:widowControl/>
    </w:pPr>
    <w:rPr>
      <w:rFonts w:ascii="Times New Roman" w:hAnsi="Times New Roman"/>
      <w:kern w:val="0"/>
      <w:szCs w:val="21"/>
    </w:rPr>
  </w:style>
  <w:style w:type="character" w:customStyle="1" w:styleId="94">
    <w:name w:val="1051"/>
    <w:qFormat/>
    <w:uiPriority w:val="99"/>
    <w:rPr>
      <w:rFonts w:cs="Times New Roman"/>
      <w:sz w:val="21"/>
      <w:szCs w:val="21"/>
    </w:rPr>
  </w:style>
  <w:style w:type="character" w:customStyle="1" w:styleId="95">
    <w:name w:val="ca-10"/>
    <w:basedOn w:val="45"/>
    <w:qFormat/>
    <w:uiPriority w:val="0"/>
  </w:style>
  <w:style w:type="character" w:customStyle="1" w:styleId="96">
    <w:name w:val="ca-12"/>
    <w:basedOn w:val="45"/>
    <w:qFormat/>
    <w:uiPriority w:val="0"/>
  </w:style>
  <w:style w:type="character" w:customStyle="1" w:styleId="97">
    <w:name w:val="页眉 Char"/>
    <w:qFormat/>
    <w:uiPriority w:val="0"/>
    <w:rPr>
      <w:sz w:val="18"/>
      <w:szCs w:val="18"/>
    </w:rPr>
  </w:style>
  <w:style w:type="character" w:customStyle="1" w:styleId="98">
    <w:name w:val="页脚 Char"/>
    <w:qFormat/>
    <w:uiPriority w:val="99"/>
    <w:rPr>
      <w:sz w:val="18"/>
      <w:szCs w:val="18"/>
    </w:rPr>
  </w:style>
  <w:style w:type="paragraph" w:styleId="99">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100">
    <w:name w:val="font141"/>
    <w:basedOn w:val="45"/>
    <w:qFormat/>
    <w:uiPriority w:val="0"/>
    <w:rPr>
      <w:rFonts w:hint="eastAsia" w:ascii="宋体" w:hAnsi="宋体" w:eastAsia="宋体" w:cs="宋体"/>
      <w:b/>
      <w:bCs/>
      <w:color w:val="000000"/>
      <w:sz w:val="18"/>
      <w:szCs w:val="18"/>
      <w:u w:val="none"/>
    </w:rPr>
  </w:style>
  <w:style w:type="character" w:customStyle="1" w:styleId="101">
    <w:name w:val="font81"/>
    <w:basedOn w:val="45"/>
    <w:qFormat/>
    <w:uiPriority w:val="0"/>
    <w:rPr>
      <w:rFonts w:hint="eastAsia" w:ascii="宋体" w:hAnsi="宋体" w:eastAsia="宋体" w:cs="宋体"/>
      <w:b/>
      <w:bCs/>
      <w:color w:val="000000"/>
      <w:sz w:val="18"/>
      <w:szCs w:val="18"/>
      <w:u w:val="single"/>
    </w:rPr>
  </w:style>
  <w:style w:type="character" w:customStyle="1" w:styleId="102">
    <w:name w:val="font122"/>
    <w:basedOn w:val="45"/>
    <w:qFormat/>
    <w:uiPriority w:val="0"/>
    <w:rPr>
      <w:rFonts w:ascii="??" w:hAnsi="??" w:eastAsia="??" w:cs="??"/>
      <w:b/>
      <w:bCs/>
      <w:color w:val="000000"/>
      <w:sz w:val="18"/>
      <w:szCs w:val="18"/>
      <w:u w:val="none"/>
    </w:rPr>
  </w:style>
  <w:style w:type="paragraph" w:customStyle="1" w:styleId="103">
    <w:name w:val="修订1"/>
    <w:hidden/>
    <w:semiHidden/>
    <w:qFormat/>
    <w:uiPriority w:val="99"/>
    <w:rPr>
      <w:rFonts w:ascii="Calibri" w:hAnsi="Calibri" w:eastAsia="宋体" w:cs="Times New Roman"/>
      <w:kern w:val="2"/>
      <w:sz w:val="24"/>
      <w:szCs w:val="22"/>
      <w:lang w:val="en-US" w:eastAsia="zh-CN" w:bidi="ar-SA"/>
    </w:rPr>
  </w:style>
  <w:style w:type="character" w:customStyle="1" w:styleId="104">
    <w:name w:val="font11"/>
    <w:basedOn w:val="45"/>
    <w:qFormat/>
    <w:uiPriority w:val="0"/>
    <w:rPr>
      <w:rFonts w:hint="eastAsia" w:ascii="宋体" w:hAnsi="宋体" w:eastAsia="宋体" w:cs="宋体"/>
      <w:color w:val="000000"/>
      <w:sz w:val="24"/>
      <w:szCs w:val="24"/>
      <w:u w:val="none"/>
    </w:rPr>
  </w:style>
  <w:style w:type="paragraph" w:customStyle="1" w:styleId="105">
    <w:name w:val="No Spacing"/>
    <w:basedOn w:val="1"/>
    <w:qFormat/>
    <w:uiPriority w:val="1"/>
    <w:pPr>
      <w:spacing w:after="0" w:line="400" w:lineRule="exact"/>
    </w:pPr>
    <w:rPr>
      <w:rFonts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24514-045B-47F6-93BD-77FA1E4039D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12905</Words>
  <Characters>13568</Characters>
  <Lines>152</Lines>
  <Paragraphs>43</Paragraphs>
  <TotalTime>4</TotalTime>
  <ScaleCrop>false</ScaleCrop>
  <LinksUpToDate>false</LinksUpToDate>
  <CharactersWithSpaces>13976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AA</cp:lastModifiedBy>
  <cp:lastPrinted>2021-02-25T09:35:00Z</cp:lastPrinted>
  <dcterms:modified xsi:type="dcterms:W3CDTF">2024-10-08T11:49:57Z</dcterms:modified>
  <dc:title>洛</dc:title>
  <cp:revision>630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4588FECD284E4E139909DB19BF256270_13</vt:lpwstr>
  </property>
</Properties>
</file>