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5FA03D">
      <w:pPr>
        <w:pStyle w:val="4"/>
        <w:keepNext/>
        <w:keepLines/>
        <w:pageBreakBefore w:val="0"/>
        <w:widowControl w:val="0"/>
        <w:tabs>
          <w:tab w:val="left" w:pos="1675"/>
          <w:tab w:val="center" w:pos="4215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jc w:val="center"/>
        <w:textAlignment w:val="auto"/>
        <w:rPr>
          <w:rFonts w:hint="eastAsia" w:asciiTheme="minorEastAsia" w:hAnsiTheme="minorEastAsia" w:eastAsiaTheme="minorEastAsia" w:cstheme="minorEastAsia"/>
          <w:sz w:val="36"/>
          <w:szCs w:val="36"/>
        </w:rPr>
      </w:pPr>
      <w:r>
        <w:rPr>
          <w:rFonts w:hint="eastAsia" w:asciiTheme="minorEastAsia" w:hAnsiTheme="minorEastAsia" w:cstheme="minorEastAsia"/>
          <w:kern w:val="28"/>
          <w:sz w:val="36"/>
          <w:szCs w:val="36"/>
          <w:lang w:eastAsia="zh-CN"/>
        </w:rPr>
        <w:t>《</w:t>
      </w:r>
      <w:r>
        <w:rPr>
          <w:rFonts w:hint="eastAsia" w:asciiTheme="minorEastAsia" w:hAnsiTheme="minorEastAsia" w:eastAsiaTheme="minorEastAsia" w:cstheme="minorEastAsia"/>
          <w:kern w:val="28"/>
          <w:sz w:val="36"/>
          <w:szCs w:val="36"/>
        </w:rPr>
        <w:t>开元壹号</w:t>
      </w:r>
      <w:r>
        <w:rPr>
          <w:rFonts w:hint="eastAsia" w:asciiTheme="minorEastAsia" w:hAnsiTheme="minorEastAsia" w:eastAsiaTheme="minorEastAsia" w:cstheme="minorEastAsia"/>
          <w:sz w:val="36"/>
          <w:szCs w:val="36"/>
        </w:rPr>
        <w:t>渠道合作合同</w:t>
      </w:r>
      <w:r>
        <w:rPr>
          <w:rFonts w:hint="eastAsia" w:asciiTheme="minorEastAsia" w:hAnsiTheme="minorEastAsia" w:cstheme="minorEastAsia"/>
          <w:sz w:val="36"/>
          <w:szCs w:val="36"/>
          <w:lang w:eastAsia="zh-CN"/>
        </w:rPr>
        <w:t>》</w:t>
      </w:r>
      <w:r>
        <w:rPr>
          <w:rFonts w:hint="eastAsia" w:asciiTheme="minorEastAsia" w:hAnsiTheme="minorEastAsia" w:cstheme="minorEastAsia"/>
          <w:sz w:val="36"/>
          <w:szCs w:val="36"/>
          <w:lang w:val="en-US" w:eastAsia="zh-CN"/>
        </w:rPr>
        <w:t>24年11月</w:t>
      </w:r>
      <w:r>
        <w:rPr>
          <w:rFonts w:hint="eastAsia" w:asciiTheme="minorEastAsia" w:hAnsiTheme="minorEastAsia" w:eastAsiaTheme="minorEastAsia" w:cstheme="minorEastAsia"/>
          <w:sz w:val="36"/>
          <w:szCs w:val="36"/>
        </w:rPr>
        <w:t>补充协议</w:t>
      </w:r>
    </w:p>
    <w:p w14:paraId="0E90DD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</w:pPr>
    </w:p>
    <w:p w14:paraId="74B3C2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甲方：洛阳浩德鑫置地有限公司</w:t>
      </w:r>
    </w:p>
    <w:p w14:paraId="19194E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乙方：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eastAsia="zh-CN"/>
        </w:rPr>
        <w:t xml:space="preserve">洛阳优居优住网络科技有限公司洛龙分公司 </w:t>
      </w:r>
    </w:p>
    <w:p w14:paraId="25CF740E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ind w:left="840" w:hanging="843" w:hangingChars="35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</w:pPr>
    </w:p>
    <w:p w14:paraId="5655B35C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ind w:left="840" w:hanging="843" w:hangingChars="35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</w:pPr>
    </w:p>
    <w:p w14:paraId="743B8E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甲乙双方于202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4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年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8月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签署了合同编号KYYH-YX-2024-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1086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的《开元壹号渠道合作合同》（以下简称“原合同”），原合同约定甲方委托乙方为甲方开发的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【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开元壹号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】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项目提供渠道服务。现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经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甲乙双方协商一致，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在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原合同的基础上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签订</w:t>
      </w:r>
      <w:r>
        <w:rPr>
          <w:rFonts w:hint="eastAsia" w:ascii="宋体" w:hAnsi="宋体" w:eastAsia="宋体" w:cs="宋体"/>
          <w:sz w:val="24"/>
          <w:szCs w:val="24"/>
        </w:rPr>
        <w:t>本补充协议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，承诺共同遵守执行：</w:t>
      </w:r>
    </w:p>
    <w:p w14:paraId="6230A64B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一、</w:t>
      </w:r>
      <w:r>
        <w:rPr>
          <w:rFonts w:hint="eastAsia" w:asciiTheme="minorEastAsia" w:hAnsiTheme="minorEastAsia" w:cstheme="minorEastAsia"/>
          <w:b/>
          <w:bCs/>
          <w:sz w:val="24"/>
          <w:szCs w:val="24"/>
          <w:lang w:val="en-US" w:eastAsia="zh-CN"/>
        </w:rPr>
        <w:t>将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原合同</w:t>
      </w:r>
      <w:r>
        <w:rPr>
          <w:rFonts w:hint="eastAsia" w:asciiTheme="minorEastAsia" w:hAnsiTheme="minorEastAsia" w:cstheme="minorEastAsia"/>
          <w:b/>
          <w:bCs/>
          <w:sz w:val="24"/>
          <w:szCs w:val="24"/>
          <w:lang w:val="en-US" w:eastAsia="zh-CN"/>
        </w:rPr>
        <w:t>“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佣金费率</w:t>
      </w:r>
      <w:r>
        <w:rPr>
          <w:rFonts w:hint="eastAsia" w:asciiTheme="minorEastAsia" w:hAnsiTheme="minorEastAsia" w:cstheme="minorEastAsia"/>
          <w:b/>
          <w:bCs/>
          <w:sz w:val="24"/>
          <w:szCs w:val="24"/>
          <w:lang w:eastAsia="zh-CN"/>
        </w:rPr>
        <w:t>”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作如下变更：</w:t>
      </w:r>
    </w:p>
    <w:p w14:paraId="08BADA82">
      <w:pPr>
        <w:pStyle w:val="6"/>
        <w:keepNext w:val="0"/>
        <w:keepLines w:val="0"/>
        <w:pageBreakBefore w:val="0"/>
        <w:numPr>
          <w:ilvl w:val="255"/>
          <w:numId w:val="0"/>
        </w:numPr>
        <w:tabs>
          <w:tab w:val="left" w:pos="42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2024年</w:t>
      </w:r>
      <w:r>
        <w:rPr>
          <w:rFonts w:hint="eastAsia" w:asciiTheme="minorEastAsia" w:hAnsiTheme="minorEastAsia" w:cstheme="minorEastAsia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11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Theme="minorEastAsia" w:hAnsiTheme="minorEastAsia" w:cstheme="minorEastAsia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日至2024年</w:t>
      </w:r>
      <w:r>
        <w:rPr>
          <w:rFonts w:hint="eastAsia" w:asciiTheme="minorEastAsia" w:hAnsiTheme="minorEastAsia" w:cstheme="minorEastAsia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11 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Theme="minorEastAsia" w:hAnsiTheme="minorEastAsia" w:cstheme="minorEastAsia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30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日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期间（均含当日），乙方推介客户认购本项目房源的，佣金费率如下，原合同项下其他期间佣金标准按原合同约定执行：</w:t>
      </w:r>
    </w:p>
    <w:p w14:paraId="66E3F39F">
      <w:pPr>
        <w:pStyle w:val="6"/>
        <w:keepNext w:val="0"/>
        <w:keepLines w:val="0"/>
        <w:pageBreakBefore w:val="0"/>
        <w:numPr>
          <w:ilvl w:val="0"/>
          <w:numId w:val="2"/>
        </w:numPr>
        <w:tabs>
          <w:tab w:val="left" w:pos="42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left="425" w:leftChars="0" w:hanging="425" w:firstLineChars="0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住宅佣金：</w:t>
      </w:r>
    </w:p>
    <w:p w14:paraId="45CDD7E4">
      <w:pPr>
        <w:pStyle w:val="10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20" w:beforeAutospacing="0" w:after="120" w:afterAutospacing="0"/>
        <w:ind w:left="0" w:right="0" w:firstLine="0"/>
        <w:jc w:val="left"/>
        <w:rPr>
          <w:rFonts w:hint="eastAsia" w:asciiTheme="minorEastAsia" w:hAnsiTheme="minorEastAsia" w:eastAsiaTheme="minorEastAsia" w:cstheme="minorEastAsia"/>
          <w:b w:val="0"/>
          <w:bCs w:val="0"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浩德天逸</w:t>
      </w:r>
      <w:r>
        <w:rPr>
          <w:rFonts w:hint="eastAsia" w:asciiTheme="minorEastAsia" w:hAnsiTheme="minorEastAsia" w:cstheme="minorEastAsia"/>
          <w:b w:val="0"/>
          <w:bCs w:val="0"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在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2024年</w:t>
      </w:r>
      <w:r>
        <w:rPr>
          <w:rFonts w:hint="eastAsia" w:asciiTheme="minorEastAsia" w:hAnsiTheme="minorEastAsia" w:cstheme="minorEastAsia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11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Theme="minorEastAsia" w:hAnsiTheme="minorEastAsia" w:cstheme="minorEastAsia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日至2024年</w:t>
      </w:r>
      <w:r>
        <w:rPr>
          <w:rFonts w:hint="eastAsia" w:asciiTheme="minorEastAsia" w:hAnsiTheme="minorEastAsia" w:cstheme="minorEastAsia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11 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Theme="minorEastAsia" w:hAnsiTheme="minorEastAsia" w:cstheme="minorEastAsia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30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日</w:t>
      </w:r>
      <w:r>
        <w:rPr>
          <w:rFonts w:hint="eastAsia" w:asciiTheme="minorEastAsia" w:hAnsiTheme="minorEastAsia" w:cstheme="minorEastAsia"/>
          <w:b w:val="0"/>
          <w:bCs w:val="0"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期间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认购房源</w:t>
      </w:r>
      <w:r>
        <w:rPr>
          <w:rFonts w:hint="eastAsia" w:asciiTheme="minorEastAsia" w:hAnsiTheme="minorEastAsia" w:cstheme="minorEastAsia"/>
          <w:b w:val="0"/>
          <w:bCs w:val="0"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1-5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套，按照30000元/套计提；认购房源</w:t>
      </w:r>
      <w:r>
        <w:rPr>
          <w:rFonts w:hint="eastAsia" w:asciiTheme="minorEastAsia" w:hAnsiTheme="minorEastAsia" w:cstheme="minorEastAsia"/>
          <w:b w:val="0"/>
          <w:bCs w:val="0"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≥6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套，按照</w:t>
      </w:r>
      <w:r>
        <w:rPr>
          <w:rFonts w:hint="eastAsia" w:asciiTheme="minorEastAsia" w:hAnsiTheme="minorEastAsia" w:cstheme="minorEastAsia"/>
          <w:b w:val="0"/>
          <w:bCs w:val="0"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40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000元/套计提。</w:t>
      </w:r>
    </w:p>
    <w:p w14:paraId="0DE0D143">
      <w:pPr>
        <w:pStyle w:val="10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20" w:beforeAutospacing="0" w:after="120" w:afterAutospacing="0"/>
        <w:ind w:left="0" w:right="0" w:firstLine="0"/>
        <w:jc w:val="left"/>
        <w:rPr>
          <w:rFonts w:hint="eastAsia" w:asciiTheme="minorEastAsia" w:hAnsiTheme="minorEastAsia" w:eastAsiaTheme="minorEastAsia" w:cstheme="minorEastAsia"/>
          <w:kern w:val="2"/>
          <w:sz w:val="24"/>
          <w:szCs w:val="24"/>
          <w:lang w:val="en-US" w:eastAsia="zh-CN" w:bidi="ar-SA"/>
        </w:rPr>
      </w:pPr>
      <w:r>
        <w:rPr>
          <w:rFonts w:hint="eastAsia" w:asciiTheme="minorEastAsia" w:hAnsiTheme="minorEastAsia" w:cstheme="minorEastAsia"/>
          <w:kern w:val="2"/>
          <w:sz w:val="24"/>
          <w:szCs w:val="24"/>
          <w:lang w:val="en-US" w:eastAsia="zh-CN" w:bidi="ar-SA"/>
        </w:rPr>
        <w:t>开</w:t>
      </w:r>
      <w:r>
        <w:rPr>
          <w:rFonts w:hint="eastAsia" w:asciiTheme="minorEastAsia" w:hAnsiTheme="minorEastAsia" w:eastAsiaTheme="minorEastAsia" w:cstheme="minorEastAsia"/>
          <w:kern w:val="2"/>
          <w:sz w:val="24"/>
          <w:szCs w:val="24"/>
          <w:lang w:val="en-US" w:eastAsia="zh-CN" w:bidi="ar-SA"/>
        </w:rPr>
        <w:t>元壹号成交房源不考核计提周期，按网签合同总房款2.5%+1万元/套；</w:t>
      </w:r>
    </w:p>
    <w:p w14:paraId="6C4EB88B">
      <w:pPr>
        <w:pStyle w:val="6"/>
        <w:keepNext w:val="0"/>
        <w:keepLines w:val="0"/>
        <w:pageBreakBefore w:val="0"/>
        <w:numPr>
          <w:ilvl w:val="0"/>
          <w:numId w:val="2"/>
        </w:numPr>
        <w:tabs>
          <w:tab w:val="left" w:pos="42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left="425" w:leftChars="0" w:hanging="425" w:firstLineChars="0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公寓佣金：</w:t>
      </w:r>
    </w:p>
    <w:p w14:paraId="77B70E0B">
      <w:pPr>
        <w:pStyle w:val="6"/>
        <w:keepNext w:val="0"/>
        <w:keepLines w:val="0"/>
        <w:pageBreakBefore w:val="0"/>
        <w:numPr>
          <w:ilvl w:val="255"/>
          <w:numId w:val="0"/>
        </w:numPr>
        <w:tabs>
          <w:tab w:val="left" w:pos="42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kern w:val="2"/>
          <w:sz w:val="24"/>
          <w:szCs w:val="24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kern w:val="2"/>
          <w:sz w:val="24"/>
          <w:szCs w:val="24"/>
          <w:lang w:val="en-US" w:eastAsia="zh-CN" w:bidi="ar-SA"/>
        </w:rPr>
        <w:t>不考核计提周期，按照15000元/套计提（平层和LOFT均可，楼层不限）；</w:t>
      </w:r>
    </w:p>
    <w:p w14:paraId="4054556C">
      <w:pPr>
        <w:pStyle w:val="6"/>
        <w:keepNext w:val="0"/>
        <w:keepLines w:val="0"/>
        <w:pageBreakBefore w:val="0"/>
        <w:numPr>
          <w:ilvl w:val="255"/>
          <w:numId w:val="0"/>
        </w:numPr>
        <w:tabs>
          <w:tab w:val="left" w:pos="42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(3)商铺佣金：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不考核计提周期，</w:t>
      </w:r>
      <w:r>
        <w:rPr>
          <w:rFonts w:hint="eastAsia" w:ascii="宋体" w:hAnsi="宋体" w:eastAsia="宋体" w:cs="宋体"/>
          <w:sz w:val="24"/>
          <w:szCs w:val="24"/>
        </w:rPr>
        <w:t>按网签合同总房款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3%+10000元/套；</w:t>
      </w:r>
    </w:p>
    <w:p w14:paraId="30348352">
      <w:pPr>
        <w:pStyle w:val="6"/>
        <w:keepNext w:val="0"/>
        <w:keepLines w:val="0"/>
        <w:pageBreakBefore w:val="0"/>
        <w:numPr>
          <w:ilvl w:val="255"/>
          <w:numId w:val="0"/>
        </w:numPr>
        <w:tabs>
          <w:tab w:val="left" w:pos="42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(4)其他房源佣金费率保持不变。 </w:t>
      </w:r>
    </w:p>
    <w:p w14:paraId="01CE37D9">
      <w:pPr>
        <w:pStyle w:val="6"/>
        <w:keepNext w:val="0"/>
        <w:keepLines w:val="0"/>
        <w:pageBreakBefore w:val="0"/>
        <w:numPr>
          <w:ilvl w:val="255"/>
          <w:numId w:val="0"/>
        </w:numPr>
        <w:tabs>
          <w:tab w:val="left" w:pos="42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 xml:space="preserve">二、其他约定   </w:t>
      </w:r>
    </w:p>
    <w:p w14:paraId="1F24C612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1. 本补充协议为原合同不可分割的组成部分，与原合同具有同等的法律效力，上述条款仅作为补充或变更。本补充协议未尽事宜，以原合同为准，本补充协议与原合同不一致的，以本补充协议为准。</w:t>
      </w:r>
    </w:p>
    <w:p w14:paraId="61DF06FF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2. 本补充协议一式肆份，甲乙双方各持贰份，经双方盖章后生效，每份具有同等法律效力。</w:t>
      </w:r>
    </w:p>
    <w:p w14:paraId="4D8E12CD">
      <w:pPr>
        <w:pStyle w:val="2"/>
        <w:keepNext w:val="0"/>
        <w:keepLines w:val="0"/>
        <w:pageBreakBefore w:val="0"/>
        <w:tabs>
          <w:tab w:val="left" w:pos="1206"/>
        </w:tabs>
        <w:kinsoku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leftChars="0" w:firstLine="48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（以下无正文）</w:t>
      </w:r>
    </w:p>
    <w:p w14:paraId="01186A8D">
      <w:pPr>
        <w:pStyle w:val="2"/>
        <w:keepNext w:val="0"/>
        <w:keepLines w:val="0"/>
        <w:pageBreakBefore w:val="0"/>
        <w:tabs>
          <w:tab w:val="left" w:pos="1206"/>
        </w:tabs>
        <w:kinsoku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leftChars="0" w:firstLine="48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 w14:paraId="59281E29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ind w:left="840" w:hanging="840" w:hangingChars="350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甲 方：洛阳浩德鑫置地有限公司   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乙 方：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 xml:space="preserve">洛阳优居优住网络科技有限公司洛龙分公司 </w:t>
      </w:r>
    </w:p>
    <w:p w14:paraId="3BB34E50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ind w:left="840" w:hanging="840" w:hangingChars="350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 w14:paraId="7AC7EE6A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ind w:left="840" w:hanging="840" w:hangingChars="350"/>
        <w:jc w:val="left"/>
        <w:textAlignment w:val="auto"/>
        <w:rPr>
          <w:rFonts w:ascii="宋体" w:hAnsi="宋体" w:eastAsia="宋体" w:cs="宋体"/>
          <w:sz w:val="24"/>
          <w:szCs w:val="24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日 期：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2024年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11月2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日         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 xml:space="preserve">    日 期：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2024年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11月2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日   </w:t>
      </w:r>
      <w:bookmarkStart w:id="0" w:name="_GoBack"/>
      <w:bookmarkEnd w:id="0"/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81E88BF"/>
    <w:multiLevelType w:val="singleLevel"/>
    <w:tmpl w:val="C81E88BF"/>
    <w:lvl w:ilvl="0" w:tentative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1">
    <w:nsid w:val="0671535C"/>
    <w:multiLevelType w:val="multilevel"/>
    <w:tmpl w:val="0671535C"/>
    <w:lvl w:ilvl="0" w:tentative="0">
      <w:start w:val="1"/>
      <w:numFmt w:val="decimal"/>
      <w:pStyle w:val="5"/>
      <w:lvlText w:val="%1."/>
      <w:lvlJc w:val="left"/>
      <w:pPr>
        <w:ind w:left="2032" w:hanging="420"/>
      </w:pPr>
      <w:rPr>
        <w:rFonts w:cs="Times New Roman"/>
      </w:rPr>
    </w:lvl>
    <w:lvl w:ilvl="1" w:tentative="0">
      <w:start w:val="2"/>
      <w:numFmt w:val="decimal"/>
      <w:lvlText w:val="%2、"/>
      <w:lvlJc w:val="left"/>
      <w:pPr>
        <w:ind w:left="2250" w:hanging="360"/>
      </w:pPr>
      <w:rPr>
        <w:rFonts w:hint="default"/>
      </w:rPr>
    </w:lvl>
    <w:lvl w:ilvl="2" w:tentative="0">
      <w:start w:val="1"/>
      <w:numFmt w:val="lowerRoman"/>
      <w:lvlText w:val="%3."/>
      <w:lvlJc w:val="right"/>
      <w:pPr>
        <w:ind w:left="2730" w:hanging="420"/>
      </w:pPr>
      <w:rPr>
        <w:rFonts w:cs="Times New Roman"/>
      </w:rPr>
    </w:lvl>
    <w:lvl w:ilvl="3" w:tentative="0">
      <w:start w:val="1"/>
      <w:numFmt w:val="decimal"/>
      <w:lvlText w:val="%4."/>
      <w:lvlJc w:val="left"/>
      <w:pPr>
        <w:ind w:left="3150" w:hanging="420"/>
      </w:pPr>
      <w:rPr>
        <w:rFonts w:cs="Times New Roman"/>
      </w:rPr>
    </w:lvl>
    <w:lvl w:ilvl="4" w:tentative="0">
      <w:start w:val="1"/>
      <w:numFmt w:val="lowerLetter"/>
      <w:lvlText w:val="%5)"/>
      <w:lvlJc w:val="left"/>
      <w:pPr>
        <w:ind w:left="3570" w:hanging="420"/>
      </w:pPr>
      <w:rPr>
        <w:rFonts w:cs="Times New Roman"/>
      </w:rPr>
    </w:lvl>
    <w:lvl w:ilvl="5" w:tentative="0">
      <w:start w:val="1"/>
      <w:numFmt w:val="lowerRoman"/>
      <w:lvlText w:val="%6."/>
      <w:lvlJc w:val="right"/>
      <w:pPr>
        <w:ind w:left="3990" w:hanging="42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ind w:left="4410" w:hanging="420"/>
      </w:pPr>
      <w:rPr>
        <w:rFonts w:cs="Times New Roman"/>
      </w:rPr>
    </w:lvl>
    <w:lvl w:ilvl="7" w:tentative="0">
      <w:start w:val="1"/>
      <w:numFmt w:val="lowerLetter"/>
      <w:lvlText w:val="%8)"/>
      <w:lvlJc w:val="left"/>
      <w:pPr>
        <w:ind w:left="4830" w:hanging="42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ind w:left="5250" w:hanging="42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c1NjQ5YjEwYWUwNjkwMTk2OTIyYTZmZjJhOTZlNDMifQ=="/>
  </w:docVars>
  <w:rsids>
    <w:rsidRoot w:val="00820CAA"/>
    <w:rsid w:val="00055C77"/>
    <w:rsid w:val="0011076C"/>
    <w:rsid w:val="00125193"/>
    <w:rsid w:val="00145014"/>
    <w:rsid w:val="0026294A"/>
    <w:rsid w:val="00270502"/>
    <w:rsid w:val="00277538"/>
    <w:rsid w:val="002B2A91"/>
    <w:rsid w:val="00351637"/>
    <w:rsid w:val="0035681F"/>
    <w:rsid w:val="003B0138"/>
    <w:rsid w:val="00426873"/>
    <w:rsid w:val="0043097B"/>
    <w:rsid w:val="004456A1"/>
    <w:rsid w:val="0055100A"/>
    <w:rsid w:val="00557FCB"/>
    <w:rsid w:val="005F55CC"/>
    <w:rsid w:val="006311C2"/>
    <w:rsid w:val="006B5C0E"/>
    <w:rsid w:val="006C7748"/>
    <w:rsid w:val="006D0FBD"/>
    <w:rsid w:val="007476F1"/>
    <w:rsid w:val="007C581E"/>
    <w:rsid w:val="007D6C43"/>
    <w:rsid w:val="007F0024"/>
    <w:rsid w:val="008102F1"/>
    <w:rsid w:val="00820CAA"/>
    <w:rsid w:val="00874362"/>
    <w:rsid w:val="00882CDC"/>
    <w:rsid w:val="008F53ED"/>
    <w:rsid w:val="00930E31"/>
    <w:rsid w:val="0093536D"/>
    <w:rsid w:val="00937428"/>
    <w:rsid w:val="00962169"/>
    <w:rsid w:val="00973E8B"/>
    <w:rsid w:val="009776C2"/>
    <w:rsid w:val="00980AB5"/>
    <w:rsid w:val="009916E1"/>
    <w:rsid w:val="00A26D0F"/>
    <w:rsid w:val="00AC6915"/>
    <w:rsid w:val="00AE301C"/>
    <w:rsid w:val="00AF711F"/>
    <w:rsid w:val="00B36E7F"/>
    <w:rsid w:val="00B53568"/>
    <w:rsid w:val="00BF5AB4"/>
    <w:rsid w:val="00C205F2"/>
    <w:rsid w:val="00C6002C"/>
    <w:rsid w:val="00CA4EDC"/>
    <w:rsid w:val="00D005DF"/>
    <w:rsid w:val="00DA546D"/>
    <w:rsid w:val="00DE0BEB"/>
    <w:rsid w:val="00E82BA4"/>
    <w:rsid w:val="00EA754B"/>
    <w:rsid w:val="00EC7613"/>
    <w:rsid w:val="00F0709F"/>
    <w:rsid w:val="00F3261B"/>
    <w:rsid w:val="00F61933"/>
    <w:rsid w:val="03045209"/>
    <w:rsid w:val="077055FC"/>
    <w:rsid w:val="0F6E3A79"/>
    <w:rsid w:val="0F7439FB"/>
    <w:rsid w:val="0FBA47F8"/>
    <w:rsid w:val="141D5683"/>
    <w:rsid w:val="157976A1"/>
    <w:rsid w:val="157F0000"/>
    <w:rsid w:val="15BE564C"/>
    <w:rsid w:val="15D96DC6"/>
    <w:rsid w:val="16793A9E"/>
    <w:rsid w:val="16AB527C"/>
    <w:rsid w:val="178F10EE"/>
    <w:rsid w:val="18525BD1"/>
    <w:rsid w:val="1D602215"/>
    <w:rsid w:val="1F700176"/>
    <w:rsid w:val="1FB42915"/>
    <w:rsid w:val="20126E0A"/>
    <w:rsid w:val="24C30629"/>
    <w:rsid w:val="29D82DC8"/>
    <w:rsid w:val="2A2E749A"/>
    <w:rsid w:val="2C972668"/>
    <w:rsid w:val="2D4F07C8"/>
    <w:rsid w:val="2E0E21D8"/>
    <w:rsid w:val="2EE36411"/>
    <w:rsid w:val="2F120679"/>
    <w:rsid w:val="30E842E1"/>
    <w:rsid w:val="32DD3C7B"/>
    <w:rsid w:val="33FB6097"/>
    <w:rsid w:val="34CD0497"/>
    <w:rsid w:val="355754A0"/>
    <w:rsid w:val="394F35C4"/>
    <w:rsid w:val="3BAE5737"/>
    <w:rsid w:val="3C746D55"/>
    <w:rsid w:val="431C1617"/>
    <w:rsid w:val="43D8031B"/>
    <w:rsid w:val="44CF1831"/>
    <w:rsid w:val="463313E5"/>
    <w:rsid w:val="48683F6D"/>
    <w:rsid w:val="489A16D4"/>
    <w:rsid w:val="48B405A0"/>
    <w:rsid w:val="4CE22239"/>
    <w:rsid w:val="4D553C64"/>
    <w:rsid w:val="51914C82"/>
    <w:rsid w:val="533F3F0F"/>
    <w:rsid w:val="539F40EF"/>
    <w:rsid w:val="53F62869"/>
    <w:rsid w:val="54065F61"/>
    <w:rsid w:val="5AC8787B"/>
    <w:rsid w:val="5C29277B"/>
    <w:rsid w:val="61F97EE8"/>
    <w:rsid w:val="66B61137"/>
    <w:rsid w:val="69564C17"/>
    <w:rsid w:val="697B3165"/>
    <w:rsid w:val="6B906905"/>
    <w:rsid w:val="6DF110AB"/>
    <w:rsid w:val="6F926156"/>
    <w:rsid w:val="7040659E"/>
    <w:rsid w:val="712A5284"/>
    <w:rsid w:val="766A0AD7"/>
    <w:rsid w:val="76BA5FCD"/>
    <w:rsid w:val="77965065"/>
    <w:rsid w:val="79305C7F"/>
    <w:rsid w:val="7A2B3E1B"/>
    <w:rsid w:val="7B400BBC"/>
    <w:rsid w:val="7C9A62F7"/>
    <w:rsid w:val="7DF32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4">
    <w:name w:val="heading 1"/>
    <w:basedOn w:val="1"/>
    <w:next w:val="1"/>
    <w:autoRedefine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5">
    <w:name w:val="heading 2"/>
    <w:basedOn w:val="6"/>
    <w:next w:val="1"/>
    <w:unhideWhenUsed/>
    <w:qFormat/>
    <w:uiPriority w:val="9"/>
    <w:pPr>
      <w:numPr>
        <w:ilvl w:val="0"/>
        <w:numId w:val="1"/>
      </w:numPr>
      <w:spacing w:beforeLines="100"/>
      <w:ind w:left="0" w:firstLine="0" w:firstLineChars="0"/>
      <w:outlineLvl w:val="1"/>
    </w:pPr>
    <w:rPr>
      <w:rFonts w:ascii="Times New Roman" w:hAnsi="Times New Roman"/>
      <w:b/>
      <w:kern w:val="0"/>
      <w:sz w:val="20"/>
      <w:szCs w:val="20"/>
    </w:rPr>
  </w:style>
  <w:style w:type="character" w:default="1" w:styleId="12">
    <w:name w:val="Default Paragraph Font"/>
    <w:autoRedefine/>
    <w:semiHidden/>
    <w:unhideWhenUsed/>
    <w:qFormat/>
    <w:uiPriority w:val="1"/>
  </w:style>
  <w:style w:type="table" w:default="1" w:styleId="11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autoRedefine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customStyle="1" w:styleId="6">
    <w:name w:val="列出段落1"/>
    <w:basedOn w:val="1"/>
    <w:unhideWhenUsed/>
    <w:qFormat/>
    <w:uiPriority w:val="0"/>
    <w:pPr>
      <w:ind w:firstLine="420" w:firstLineChars="200"/>
    </w:pPr>
  </w:style>
  <w:style w:type="paragraph" w:styleId="7">
    <w:name w:val="Balloon Text"/>
    <w:basedOn w:val="1"/>
    <w:link w:val="14"/>
    <w:qFormat/>
    <w:uiPriority w:val="0"/>
    <w:rPr>
      <w:sz w:val="18"/>
      <w:szCs w:val="18"/>
    </w:rPr>
  </w:style>
  <w:style w:type="paragraph" w:styleId="8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link w:val="15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qFormat/>
    <w:uiPriority w:val="0"/>
    <w:rPr>
      <w:sz w:val="24"/>
    </w:rPr>
  </w:style>
  <w:style w:type="paragraph" w:customStyle="1" w:styleId="13">
    <w:name w:val="列出段落3"/>
    <w:basedOn w:val="1"/>
    <w:autoRedefine/>
    <w:qFormat/>
    <w:uiPriority w:val="99"/>
    <w:pPr>
      <w:ind w:firstLine="420" w:firstLineChars="200"/>
    </w:pPr>
  </w:style>
  <w:style w:type="character" w:customStyle="1" w:styleId="14">
    <w:name w:val="批注框文本 Char"/>
    <w:basedOn w:val="12"/>
    <w:link w:val="7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5">
    <w:name w:val="页眉 Char"/>
    <w:basedOn w:val="12"/>
    <w:link w:val="9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16">
    <w:name w:val="List Paragraph"/>
    <w:basedOn w:val="1"/>
    <w:autoRedefine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LyYc</Company>
  <Pages>1</Pages>
  <Words>608</Words>
  <Characters>692</Characters>
  <Lines>3</Lines>
  <Paragraphs>1</Paragraphs>
  <TotalTime>0</TotalTime>
  <ScaleCrop>false</ScaleCrop>
  <LinksUpToDate>false</LinksUpToDate>
  <CharactersWithSpaces>726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2021-11-03T03:58:00Z</dcterms:created>
  <dc:creator>T2</dc:creator>
  <cp:lastModifiedBy>仙儿</cp:lastModifiedBy>
  <cp:lastPrinted>2023-06-02T09:14:00Z</cp:lastPrinted>
  <dcterms:modified xsi:type="dcterms:W3CDTF">2024-11-02T08:07:57Z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12E6370669F5449E9639BC22559810BE_13</vt:lpwstr>
  </property>
</Properties>
</file>