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67AB2">
      <w:pPr>
        <w:widowControl/>
        <w:spacing w:line="360" w:lineRule="auto"/>
        <w:ind w:firstLine="0" w:firstLineChars="0"/>
        <w:jc w:val="left"/>
        <w:rPr>
          <w:rFonts w:ascii="仿宋" w:hAnsi="仿宋" w:eastAsia="仿宋" w:cs="仿宋"/>
          <w:sz w:val="28"/>
          <w:szCs w:val="28"/>
        </w:rPr>
      </w:pPr>
      <w:bookmarkStart w:id="2" w:name="_GoBack"/>
      <w:bookmarkEnd w:id="2"/>
      <w:r>
        <w:rPr>
          <w:rFonts w:hint="eastAsia" w:ascii="仿宋" w:hAnsi="仿宋" w:eastAsia="仿宋" w:cs="仿宋"/>
          <w:b/>
          <w:bCs/>
          <w:sz w:val="32"/>
          <w:szCs w:val="32"/>
        </w:rPr>
        <w:t>《浩德</w:t>
      </w:r>
      <w:r>
        <w:rPr>
          <w:rFonts w:hint="eastAsia" w:ascii="仿宋" w:hAnsi="仿宋" w:eastAsia="仿宋" w:cs="仿宋"/>
          <w:b/>
          <w:bCs/>
          <w:sz w:val="32"/>
          <w:szCs w:val="32"/>
          <w:lang w:val="en-US" w:eastAsia="zh-CN"/>
        </w:rPr>
        <w:t>悠然居</w:t>
      </w:r>
      <w:r>
        <w:rPr>
          <w:rFonts w:hint="eastAsia" w:ascii="仿宋" w:hAnsi="仿宋" w:eastAsia="仿宋" w:cs="仿宋"/>
          <w:b/>
          <w:bCs/>
          <w:sz w:val="32"/>
          <w:szCs w:val="32"/>
        </w:rPr>
        <w:t>项目渠道服务合同》</w:t>
      </w:r>
      <w:r>
        <w:rPr>
          <w:rFonts w:hint="eastAsia" w:ascii="仿宋" w:hAnsi="仿宋" w:eastAsia="仿宋" w:cs="仿宋"/>
          <w:b/>
          <w:bCs/>
          <w:sz w:val="32"/>
          <w:szCs w:val="32"/>
          <w:lang w:val="en-US" w:eastAsia="zh-CN"/>
        </w:rPr>
        <w:t>24年11-12月</w:t>
      </w:r>
      <w:r>
        <w:rPr>
          <w:rFonts w:hint="eastAsia" w:ascii="仿宋" w:hAnsi="仿宋" w:eastAsia="仿宋" w:cs="仿宋"/>
          <w:b/>
          <w:bCs/>
          <w:sz w:val="32"/>
          <w:szCs w:val="32"/>
        </w:rPr>
        <w:t>补充协议</w:t>
      </w:r>
    </w:p>
    <w:p w14:paraId="2F8F2D53">
      <w:pPr>
        <w:widowControl/>
        <w:spacing w:line="360" w:lineRule="auto"/>
        <w:jc w:val="left"/>
        <w:rPr>
          <w:rFonts w:ascii="仿宋" w:hAnsi="仿宋" w:eastAsia="仿宋" w:cs="仿宋"/>
          <w:sz w:val="24"/>
        </w:rPr>
      </w:pPr>
      <w:r>
        <w:rPr>
          <w:rFonts w:hint="eastAsia" w:ascii="仿宋" w:hAnsi="仿宋" w:eastAsia="仿宋" w:cs="仿宋"/>
          <w:sz w:val="24"/>
        </w:rPr>
        <w:t>甲方：【河南浩德龙瑞置业有限公司】</w:t>
      </w:r>
    </w:p>
    <w:p w14:paraId="04637418">
      <w:pPr>
        <w:widowControl/>
        <w:numPr>
          <w:ilvl w:val="255"/>
          <w:numId w:val="0"/>
        </w:numPr>
        <w:spacing w:line="360" w:lineRule="auto"/>
        <w:jc w:val="left"/>
        <w:rPr>
          <w:rFonts w:ascii="仿宋" w:hAnsi="仿宋" w:eastAsia="仿宋" w:cs="仿宋"/>
          <w:sz w:val="24"/>
        </w:rPr>
      </w:pPr>
      <w:r>
        <w:rPr>
          <w:rFonts w:hint="eastAsia" w:ascii="仿宋" w:hAnsi="仿宋" w:eastAsia="仿宋" w:cs="仿宋"/>
          <w:sz w:val="24"/>
        </w:rPr>
        <w:t>乙方：【洛阳闹贝房地产经纪有限公司】</w:t>
      </w:r>
    </w:p>
    <w:p w14:paraId="7807A268">
      <w:pPr>
        <w:widowControl/>
        <w:numPr>
          <w:ilvl w:val="0"/>
          <w:numId w:val="1"/>
        </w:numPr>
        <w:spacing w:line="360" w:lineRule="auto"/>
        <w:ind w:firstLine="420" w:firstLineChars="175"/>
        <w:jc w:val="left"/>
        <w:rPr>
          <w:rFonts w:hint="eastAsia" w:ascii="仿宋" w:hAnsi="仿宋" w:eastAsia="仿宋" w:cs="仿宋"/>
          <w:sz w:val="24"/>
        </w:rPr>
      </w:pPr>
      <w:r>
        <w:rPr>
          <w:rFonts w:hint="eastAsia" w:ascii="仿宋" w:hAnsi="仿宋" w:eastAsia="仿宋" w:cs="仿宋"/>
          <w:sz w:val="24"/>
        </w:rPr>
        <w:t>乙双方于202</w:t>
      </w:r>
      <w:r>
        <w:rPr>
          <w:rFonts w:hint="eastAsia" w:ascii="仿宋" w:hAnsi="仿宋" w:eastAsia="仿宋" w:cs="仿宋"/>
          <w:sz w:val="24"/>
          <w:lang w:val="en-US" w:eastAsia="zh-CN"/>
        </w:rPr>
        <w:t>4</w:t>
      </w:r>
      <w:r>
        <w:rPr>
          <w:rFonts w:hint="eastAsia" w:ascii="仿宋" w:hAnsi="仿宋" w:eastAsia="仿宋" w:cs="仿宋"/>
          <w:sz w:val="24"/>
        </w:rPr>
        <w:t>年</w:t>
      </w:r>
      <w:r>
        <w:rPr>
          <w:rFonts w:hint="eastAsia" w:ascii="仿宋" w:hAnsi="仿宋" w:eastAsia="仿宋" w:cs="仿宋"/>
          <w:sz w:val="24"/>
          <w:lang w:val="en-US" w:eastAsia="zh-CN"/>
        </w:rPr>
        <w:t>1</w:t>
      </w:r>
      <w:r>
        <w:rPr>
          <w:rFonts w:hint="eastAsia" w:ascii="仿宋" w:hAnsi="仿宋" w:eastAsia="仿宋" w:cs="仿宋"/>
          <w:sz w:val="24"/>
        </w:rPr>
        <w:t>月</w:t>
      </w:r>
      <w:r>
        <w:rPr>
          <w:rFonts w:hint="eastAsia" w:ascii="仿宋" w:hAnsi="仿宋" w:eastAsia="仿宋" w:cs="仿宋"/>
          <w:sz w:val="24"/>
          <w:lang w:val="en-US" w:eastAsia="zh-CN"/>
        </w:rPr>
        <w:t>1</w:t>
      </w:r>
      <w:r>
        <w:rPr>
          <w:rFonts w:hint="eastAsia" w:ascii="仿宋" w:hAnsi="仿宋" w:eastAsia="仿宋" w:cs="仿宋"/>
          <w:sz w:val="24"/>
        </w:rPr>
        <w:t>日签订了《浩德</w:t>
      </w:r>
      <w:r>
        <w:rPr>
          <w:rFonts w:hint="eastAsia" w:ascii="仿宋" w:hAnsi="仿宋" w:eastAsia="仿宋" w:cs="仿宋"/>
          <w:sz w:val="24"/>
          <w:lang w:val="en-US" w:eastAsia="zh-CN"/>
        </w:rPr>
        <w:t>悠然居</w:t>
      </w:r>
      <w:r>
        <w:rPr>
          <w:rFonts w:hint="eastAsia" w:ascii="仿宋" w:hAnsi="仿宋" w:eastAsia="仿宋" w:cs="仿宋"/>
          <w:sz w:val="24"/>
        </w:rPr>
        <w:t>项目渠道服务合同》（以下简称“原合同”），原合同委托期限</w:t>
      </w:r>
      <w:r>
        <w:rPr>
          <w:rFonts w:hint="eastAsia" w:ascii="仿宋" w:hAnsi="仿宋" w:eastAsia="仿宋" w:cs="仿宋"/>
          <w:sz w:val="24"/>
          <w:lang w:eastAsia="zh-Hans"/>
        </w:rPr>
        <w:t>为</w:t>
      </w:r>
      <w:r>
        <w:rPr>
          <w:rFonts w:hint="eastAsia" w:ascii="仿宋" w:hAnsi="仿宋" w:eastAsia="仿宋" w:cs="仿宋"/>
          <w:sz w:val="24"/>
        </w:rPr>
        <w:t>自【202</w:t>
      </w:r>
      <w:r>
        <w:rPr>
          <w:rFonts w:hint="eastAsia" w:ascii="仿宋" w:hAnsi="仿宋" w:eastAsia="仿宋" w:cs="仿宋"/>
          <w:sz w:val="24"/>
          <w:lang w:val="en-US" w:eastAsia="zh-CN"/>
        </w:rPr>
        <w:t>4</w:t>
      </w:r>
      <w:r>
        <w:rPr>
          <w:rFonts w:hint="eastAsia" w:ascii="仿宋" w:hAnsi="仿宋" w:eastAsia="仿宋" w:cs="仿宋"/>
          <w:sz w:val="24"/>
        </w:rPr>
        <w:t>】年【</w:t>
      </w:r>
      <w:r>
        <w:rPr>
          <w:rFonts w:hint="eastAsia" w:ascii="仿宋" w:hAnsi="仿宋" w:eastAsia="仿宋" w:cs="仿宋"/>
          <w:sz w:val="24"/>
          <w:lang w:val="en-US" w:eastAsia="zh-CN"/>
        </w:rPr>
        <w:t>1</w:t>
      </w:r>
      <w:r>
        <w:rPr>
          <w:rFonts w:hint="eastAsia" w:ascii="仿宋" w:hAnsi="仿宋" w:eastAsia="仿宋" w:cs="仿宋"/>
          <w:sz w:val="24"/>
        </w:rPr>
        <w:t>】月【</w:t>
      </w:r>
      <w:r>
        <w:rPr>
          <w:rFonts w:hint="eastAsia" w:ascii="仿宋" w:hAnsi="仿宋" w:eastAsia="仿宋" w:cs="仿宋"/>
          <w:sz w:val="24"/>
          <w:lang w:val="en-US" w:eastAsia="zh-CN"/>
        </w:rPr>
        <w:t>1</w:t>
      </w:r>
      <w:r>
        <w:rPr>
          <w:rFonts w:hint="eastAsia" w:ascii="仿宋" w:hAnsi="仿宋" w:eastAsia="仿宋" w:cs="仿宋"/>
          <w:sz w:val="24"/>
        </w:rPr>
        <w:t>】日起至【202</w:t>
      </w:r>
      <w:r>
        <w:rPr>
          <w:rFonts w:hint="eastAsia" w:ascii="仿宋" w:hAnsi="仿宋" w:eastAsia="仿宋" w:cs="仿宋"/>
          <w:sz w:val="24"/>
          <w:lang w:val="en-US" w:eastAsia="zh-CN"/>
        </w:rPr>
        <w:t>4</w:t>
      </w:r>
      <w:r>
        <w:rPr>
          <w:rFonts w:hint="eastAsia" w:ascii="仿宋" w:hAnsi="仿宋" w:eastAsia="仿宋" w:cs="仿宋"/>
          <w:sz w:val="24"/>
        </w:rPr>
        <w:t>】年【</w:t>
      </w:r>
      <w:r>
        <w:rPr>
          <w:rFonts w:hint="eastAsia" w:ascii="仿宋" w:hAnsi="仿宋" w:eastAsia="仿宋" w:cs="仿宋"/>
          <w:sz w:val="24"/>
          <w:lang w:val="en-US" w:eastAsia="zh-CN"/>
        </w:rPr>
        <w:t>12</w:t>
      </w:r>
      <w:r>
        <w:rPr>
          <w:rFonts w:hint="eastAsia" w:ascii="仿宋" w:hAnsi="仿宋" w:eastAsia="仿宋" w:cs="仿宋"/>
          <w:sz w:val="24"/>
        </w:rPr>
        <w:t>】月【3</w:t>
      </w:r>
      <w:r>
        <w:rPr>
          <w:rFonts w:hint="eastAsia" w:ascii="仿宋" w:hAnsi="仿宋" w:eastAsia="仿宋" w:cs="仿宋"/>
          <w:sz w:val="24"/>
          <w:lang w:val="en-US" w:eastAsia="zh-CN"/>
        </w:rPr>
        <w:t>1</w:t>
      </w:r>
      <w:r>
        <w:rPr>
          <w:rFonts w:hint="eastAsia" w:ascii="仿宋" w:hAnsi="仿宋" w:eastAsia="仿宋" w:cs="仿宋"/>
          <w:sz w:val="24"/>
        </w:rPr>
        <w:t>】日</w:t>
      </w:r>
      <w:r>
        <w:rPr>
          <w:rFonts w:hint="eastAsia" w:ascii="仿宋" w:hAnsi="仿宋" w:eastAsia="仿宋" w:cs="仿宋"/>
          <w:sz w:val="24"/>
          <w:lang w:eastAsia="zh-Hans"/>
        </w:rPr>
        <w:t>止</w:t>
      </w:r>
      <w:r>
        <w:rPr>
          <w:rFonts w:hint="eastAsia" w:ascii="仿宋" w:hAnsi="仿宋" w:eastAsia="仿宋" w:cs="仿宋"/>
          <w:sz w:val="24"/>
        </w:rPr>
        <w:t>，现甲、乙双方就原合同签订补充协议如下：：</w:t>
      </w:r>
    </w:p>
    <w:p w14:paraId="19C8A499">
      <w:pPr>
        <w:widowControl/>
        <w:numPr>
          <w:ilvl w:val="255"/>
          <w:numId w:val="0"/>
        </w:numPr>
        <w:snapToGrid/>
        <w:spacing w:line="360" w:lineRule="auto"/>
        <w:ind w:firstLine="420" w:firstLineChars="175"/>
        <w:jc w:val="left"/>
        <w:rPr>
          <w:rFonts w:hint="eastAsia" w:ascii="仿宋" w:hAnsi="仿宋" w:eastAsia="仿宋" w:cs="仿宋"/>
          <w:sz w:val="24"/>
          <w:szCs w:val="24"/>
        </w:rPr>
      </w:pPr>
      <w:r>
        <w:rPr>
          <w:rFonts w:hint="eastAsia" w:ascii="仿宋" w:hAnsi="仿宋" w:eastAsia="仿宋" w:cs="仿宋"/>
          <w:b w:val="0"/>
          <w:bCs w:val="0"/>
          <w:sz w:val="24"/>
          <w:szCs w:val="24"/>
        </w:rPr>
        <w:t>一、</w:t>
      </w:r>
      <w:r>
        <w:rPr>
          <w:rFonts w:hint="eastAsia" w:ascii="仿宋" w:hAnsi="仿宋" w:eastAsia="仿宋" w:cs="仿宋"/>
          <w:sz w:val="24"/>
          <w:szCs w:val="24"/>
        </w:rPr>
        <w:t>本补充协议有效期： 202</w:t>
      </w:r>
      <w:r>
        <w:rPr>
          <w:rFonts w:hint="eastAsia" w:ascii="仿宋" w:hAnsi="仿宋" w:eastAsia="仿宋" w:cs="仿宋"/>
          <w:sz w:val="24"/>
          <w:szCs w:val="24"/>
          <w:lang w:val="en-US" w:eastAsia="zh-CN"/>
        </w:rPr>
        <w:t>4</w:t>
      </w:r>
      <w:r>
        <w:rPr>
          <w:rFonts w:hint="eastAsia" w:ascii="仿宋" w:hAnsi="仿宋" w:eastAsia="仿宋" w:cs="仿宋"/>
          <w:sz w:val="24"/>
          <w:szCs w:val="24"/>
        </w:rPr>
        <w:t xml:space="preserve">年 </w:t>
      </w:r>
      <w:r>
        <w:rPr>
          <w:rFonts w:hint="eastAsia" w:ascii="仿宋" w:hAnsi="仿宋" w:eastAsia="仿宋" w:cs="仿宋"/>
          <w:sz w:val="24"/>
          <w:szCs w:val="24"/>
          <w:lang w:val="en-US" w:eastAsia="zh-CN"/>
        </w:rPr>
        <w:t>11</w:t>
      </w:r>
      <w:r>
        <w:rPr>
          <w:rFonts w:hint="eastAsia" w:ascii="仿宋" w:hAnsi="仿宋" w:eastAsia="仿宋" w:cs="仿宋"/>
          <w:sz w:val="24"/>
          <w:szCs w:val="24"/>
        </w:rPr>
        <w:t>月</w:t>
      </w:r>
      <w:r>
        <w:rPr>
          <w:rFonts w:hint="eastAsia" w:ascii="仿宋" w:hAnsi="仿宋" w:eastAsia="仿宋" w:cs="仿宋"/>
          <w:sz w:val="24"/>
          <w:szCs w:val="24"/>
          <w:lang w:val="en-US" w:eastAsia="zh-CN"/>
        </w:rPr>
        <w:t>10</w:t>
      </w:r>
      <w:r>
        <w:rPr>
          <w:rFonts w:hint="eastAsia" w:ascii="仿宋" w:hAnsi="仿宋" w:eastAsia="仿宋" w:cs="仿宋"/>
          <w:sz w:val="24"/>
          <w:szCs w:val="24"/>
        </w:rPr>
        <w:t>日至 202</w:t>
      </w:r>
      <w:r>
        <w:rPr>
          <w:rFonts w:hint="eastAsia" w:ascii="仿宋" w:hAnsi="仿宋" w:eastAsia="仿宋" w:cs="仿宋"/>
          <w:sz w:val="24"/>
          <w:szCs w:val="24"/>
          <w:lang w:val="en-US" w:eastAsia="zh-CN"/>
        </w:rPr>
        <w:t>4</w:t>
      </w:r>
      <w:r>
        <w:rPr>
          <w:rFonts w:hint="eastAsia" w:ascii="仿宋" w:hAnsi="仿宋" w:eastAsia="仿宋" w:cs="仿宋"/>
          <w:sz w:val="24"/>
          <w:szCs w:val="24"/>
        </w:rPr>
        <w:t xml:space="preserve"> 年</w:t>
      </w:r>
      <w:r>
        <w:rPr>
          <w:rFonts w:hint="eastAsia" w:ascii="仿宋" w:hAnsi="仿宋" w:eastAsia="仿宋" w:cs="仿宋"/>
          <w:sz w:val="24"/>
          <w:szCs w:val="24"/>
          <w:lang w:val="en-US" w:eastAsia="zh-CN"/>
        </w:rPr>
        <w:t>12</w:t>
      </w:r>
      <w:r>
        <w:rPr>
          <w:rFonts w:hint="eastAsia" w:ascii="仿宋" w:hAnsi="仿宋" w:eastAsia="仿宋" w:cs="仿宋"/>
          <w:sz w:val="24"/>
          <w:szCs w:val="24"/>
        </w:rPr>
        <w:t xml:space="preserve">月 </w:t>
      </w:r>
      <w:r>
        <w:rPr>
          <w:rFonts w:hint="eastAsia" w:ascii="仿宋" w:hAnsi="仿宋" w:eastAsia="仿宋" w:cs="仿宋"/>
          <w:sz w:val="24"/>
          <w:szCs w:val="24"/>
          <w:lang w:val="en-US" w:eastAsia="zh-CN"/>
        </w:rPr>
        <w:t>31</w:t>
      </w:r>
      <w:r>
        <w:rPr>
          <w:rFonts w:hint="eastAsia" w:ascii="仿宋" w:hAnsi="仿宋" w:eastAsia="仿宋" w:cs="仿宋"/>
          <w:sz w:val="24"/>
          <w:szCs w:val="24"/>
        </w:rPr>
        <w:t>日。</w:t>
      </w:r>
    </w:p>
    <w:p w14:paraId="430C9687">
      <w:pPr>
        <w:keepNext w:val="0"/>
        <w:keepLines w:val="0"/>
        <w:widowControl/>
        <w:numPr>
          <w:ilvl w:val="255"/>
          <w:numId w:val="0"/>
        </w:numPr>
        <w:kinsoku/>
        <w:wordWrap/>
        <w:overflowPunct/>
        <w:topLinePunct w:val="0"/>
        <w:autoSpaceDE/>
        <w:autoSpaceDN/>
        <w:bidi w:val="0"/>
        <w:adjustRightInd/>
        <w:snapToGrid/>
        <w:spacing w:line="360" w:lineRule="auto"/>
        <w:ind w:firstLine="420" w:firstLineChars="175"/>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二</w:t>
      </w:r>
      <w:r>
        <w:rPr>
          <w:rFonts w:hint="eastAsia" w:ascii="仿宋" w:hAnsi="仿宋" w:eastAsia="仿宋" w:cs="仿宋"/>
          <w:b w:val="0"/>
          <w:bCs w:val="0"/>
          <w:sz w:val="24"/>
          <w:szCs w:val="24"/>
        </w:rPr>
        <w:t>、</w:t>
      </w:r>
      <w:r>
        <w:rPr>
          <w:rFonts w:hint="eastAsia" w:ascii="仿宋" w:hAnsi="仿宋" w:eastAsia="仿宋" w:cs="仿宋"/>
          <w:b w:val="0"/>
          <w:bCs w:val="0"/>
          <w:sz w:val="24"/>
          <w:szCs w:val="24"/>
          <w:lang w:eastAsia="zh-CN"/>
        </w:rPr>
        <w:t>变更条款：</w:t>
      </w:r>
    </w:p>
    <w:p w14:paraId="77F1AC20">
      <w:pPr>
        <w:keepNext w:val="0"/>
        <w:keepLines w:val="0"/>
        <w:widowControl/>
        <w:numPr>
          <w:ilvl w:val="-1"/>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kern w:val="2"/>
          <w:sz w:val="24"/>
          <w:szCs w:val="24"/>
        </w:rPr>
      </w:pPr>
      <w:r>
        <w:rPr>
          <w:rFonts w:hint="eastAsia" w:ascii="仿宋" w:hAnsi="仿宋" w:eastAsia="仿宋" w:cs="仿宋"/>
          <w:b w:val="0"/>
          <w:bCs w:val="0"/>
          <w:sz w:val="24"/>
          <w:szCs w:val="24"/>
        </w:rPr>
        <w:t>原合同</w:t>
      </w:r>
      <w:r>
        <w:rPr>
          <w:rFonts w:hint="eastAsia" w:ascii="仿宋" w:hAnsi="仿宋" w:eastAsia="仿宋" w:cs="仿宋"/>
          <w:b w:val="0"/>
          <w:bCs w:val="0"/>
          <w:kern w:val="2"/>
          <w:sz w:val="24"/>
          <w:szCs w:val="24"/>
        </w:rPr>
        <w:t>第</w:t>
      </w:r>
      <w:r>
        <w:rPr>
          <w:rFonts w:hint="eastAsia" w:ascii="仿宋" w:hAnsi="仿宋" w:eastAsia="仿宋" w:cs="仿宋"/>
          <w:b w:val="0"/>
          <w:bCs w:val="0"/>
          <w:kern w:val="2"/>
          <w:sz w:val="24"/>
          <w:szCs w:val="24"/>
          <w:lang w:eastAsia="zh-CN"/>
        </w:rPr>
        <w:t>六</w:t>
      </w:r>
      <w:r>
        <w:rPr>
          <w:rFonts w:hint="eastAsia" w:ascii="仿宋" w:hAnsi="仿宋" w:eastAsia="仿宋" w:cs="仿宋"/>
          <w:b w:val="0"/>
          <w:bCs w:val="0"/>
          <w:kern w:val="2"/>
          <w:sz w:val="24"/>
          <w:szCs w:val="24"/>
        </w:rPr>
        <w:t>条客户的认定标准</w:t>
      </w:r>
    </w:p>
    <w:p w14:paraId="3E5888F6">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乙方采用隐号报备的方式进行报备，客户首次到访时必须由渠道经纪人陪同到访，并在导台处扫码确客。</w:t>
      </w:r>
    </w:p>
    <w:p w14:paraId="6DD07A20">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6.1报备前置条件：合同有效期内，乙方意向客户到达项目前需提前至少30分钟通过浩客通将客户信息报备，否则视为无效带看客户，报备成功后由甲方关联至明源系统由置业顾问跟踪记录。若浩客通无法报备则应及时通过相应微信群完成推荐录入客户信息，且在报备保护期内到访。若不足30分钟或未在报备保护期内到访，则系统判别为推介无效，佣金不予结算。</w:t>
      </w:r>
    </w:p>
    <w:p w14:paraId="0E9F0BA3">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6.2.1报备保护期：合伙人推荐客户报备，15天（自然日）内到访的，按照到访之日起享有30天保护期。报备15天内内客户未到访的（超15天内）,不享有30天保护期，所有渠道仍可追踪直接约访，最终以带访为准，自带访之日起重新计算保护期15日。</w:t>
      </w:r>
    </w:p>
    <w:p w14:paraId="630FFDAB">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6.2.2到访保护期：合伙人推荐客户，报备15天内（自然日）内到访，享有30天保护期（自首次到访之日起），30天内成交归属第一推荐人。30天保护期内2次到访，保护期顺延30天（自2次到访之日起）。15天内保护期内到访客户，自到访之日起超过30日该客户失效，成为公共资源。所有渠道仍可带访，自带访之日起重新计算保护期15日。公共资源客户，15天保护期内2次到访，保护期顺延15天（自2次到访之日起）。</w:t>
      </w:r>
    </w:p>
    <w:p w14:paraId="7D5D1523">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6.2.3缓冲保护期：渠道和项目的合作有效期到期后，在合作期内报备到访的客户，设置15天缓冲保护期，在缓冲保护期内成交的，签约后给予渠道结算佣金。在缓冲保护期外到访并成交的客户，签约后不予结算佣金。</w:t>
      </w:r>
    </w:p>
    <w:p w14:paraId="7A9A918E">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6.3身份规则：</w:t>
      </w:r>
    </w:p>
    <w:p w14:paraId="4F446910">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甲方员工及其直系亲属(父母(含公婆、岳父母)、配偶、子女，下同),所属售楼系统已登记客户、全员营销已推荐客户，有项目归属的已购房业主不可以被渠道报备。</w:t>
      </w:r>
    </w:p>
    <w:p w14:paraId="330F29FF">
      <w:pPr>
        <w:widowControl/>
        <w:numPr>
          <w:ilvl w:val="0"/>
          <w:numId w:val="0"/>
        </w:numPr>
        <w:spacing w:line="360" w:lineRule="auto"/>
        <w:ind w:firstLine="480" w:firstLineChars="200"/>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6.4推荐规则：</w:t>
      </w:r>
    </w:p>
    <w:p w14:paraId="4D96E6E8">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6.4.1隐号报备：</w:t>
      </w:r>
    </w:p>
    <w:p w14:paraId="118993C0">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渠道公司成员通过微信群客户报备，提交该客户姓名、意向楼盘及客户电话号码进行报备。所报备号码与内部客户池数据进行判别，报备的客户一直没到访，则所有渠道均可重复报备。</w:t>
      </w:r>
    </w:p>
    <w:p w14:paraId="5BC693BA">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6.4.2在客户到访前，不同中介人员可同时报备客户。最终以最早带访时间为准确认客户归属。如同时到达案场，则以最早有效报备时间确认客户归属。</w:t>
      </w:r>
    </w:p>
    <w:p w14:paraId="5ECDE0EE">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6.5其他管控要求：</w:t>
      </w:r>
    </w:p>
    <w:p w14:paraId="2A0F666B">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若渠道途径到访的客户首次到访时为客户自行到访或渠道经纪人晚于客户到访的(若渠道经纪人因停车等特殊情况，导致晚于客户到访的，到访时间差不得超过10分钟),视为无效推介，佣金不予结算。</w:t>
      </w:r>
    </w:p>
    <w:p w14:paraId="33FF61F9">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6.6甲乙双方人员不得通过不正当方式(如盗取对方信息、不正当竞争方式取得等)获取对方客户资源，并用隐瞒事实等方式与对方客户签约或泄露给第三方成交的，否则，违约方按该笔佣金双倍金额作为违约金支付给守约方。</w:t>
      </w:r>
    </w:p>
    <w:p w14:paraId="3A72EDAF">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6.7双方根据本合同判客标准判定为乙方客户后，甲方不得以回访、财务审计、集团公司审查等任何理由将乙方客户改判，或不予认可，否则视为违约，按照本合同约定承担逾期付款违约责任。</w:t>
      </w:r>
    </w:p>
    <w:p w14:paraId="5CA3BA63">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6.8甲方指定对接人如在乙方推荐客户成功后不向乙方出具签字确认《客户带看确认书》《成销确认书》《对账单明细表》的，乙方有权凭其推荐客户期间与甲方对接人之间的信息，及该客户与甲方签署的商品房买卖合同等作为客户确认的依据要求甲方支付相应的佣金。</w:t>
      </w:r>
    </w:p>
    <w:p w14:paraId="3D0DC014">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6.9本项目甲方需以人脸识别等复核系统或客户来访记录、电话回访进行客户复核的，则甲方应在客户与甲方签署认购协议后【15】日内进行客户复核，并在此期限内将有争议的客户书面反馈给乙方；若甲方逾期进行客户复核的或未进行复核且未将有争议的客户书面反馈给乙方的，则视为甲方已最终确定该客户为乙方客户，若已支付佣金的，甲方无权要求乙方归还该佣金；若未支付佣金的，甲方需按本合同约定向乙方结算佣金。</w:t>
      </w:r>
    </w:p>
    <w:p w14:paraId="314B4A6D">
      <w:pPr>
        <w:widowControl/>
        <w:numPr>
          <w:ilvl w:val="0"/>
          <w:numId w:val="0"/>
        </w:numPr>
        <w:spacing w:line="360" w:lineRule="auto"/>
        <w:ind w:firstLine="420" w:firstLineChars="175"/>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6.10成功销售：乙方推介的客户与甲方草签或网签《商品房买卖合同》的，即视为乙方推荐客户成功，计入乙方销售业绩。甲方须在乙方成功销售物业后3日内在乙方提供的《成销确认书》上签字，逾期未签署视为对乙方销售业绩的确认。如因政府限签或甲方原因(项目商品房有权利负担、被抵押等)导致客户无法自交付第一笔购房款之日起30日内草签或网签的，自客户缴纳第一笔购房款视为乙方成功销售，计为乙方业绩，按照合同约定正常结算。</w:t>
      </w:r>
    </w:p>
    <w:p w14:paraId="2470297F">
      <w:pPr>
        <w:widowControl/>
        <w:numPr>
          <w:ilvl w:val="0"/>
          <w:numId w:val="0"/>
        </w:numPr>
        <w:spacing w:line="360" w:lineRule="auto"/>
        <w:ind w:firstLine="420" w:firstLineChars="175"/>
        <w:jc w:val="left"/>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变更</w:t>
      </w:r>
      <w:r>
        <w:rPr>
          <w:rFonts w:hint="eastAsia" w:ascii="仿宋" w:hAnsi="仿宋" w:eastAsia="仿宋" w:cs="仿宋"/>
          <w:b w:val="0"/>
          <w:bCs w:val="0"/>
          <w:sz w:val="24"/>
          <w:szCs w:val="24"/>
          <w:lang w:eastAsia="zh-CN"/>
        </w:rPr>
        <w:t>为：</w:t>
      </w:r>
    </w:p>
    <w:p w14:paraId="3CAA57F7">
      <w:pPr>
        <w:keepNext w:val="0"/>
        <w:keepLines w:val="0"/>
        <w:widowControl/>
        <w:numPr>
          <w:ilvl w:val="0"/>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bookmarkStart w:id="0" w:name="_Hlk1994587"/>
      <w:bookmarkStart w:id="1" w:name="OLE_LINK104"/>
      <w:r>
        <w:rPr>
          <w:rFonts w:hint="eastAsia" w:ascii="仿宋" w:hAnsi="仿宋" w:eastAsia="仿宋" w:cs="仿宋"/>
          <w:sz w:val="24"/>
          <w:szCs w:val="24"/>
          <w:lang w:eastAsia="zh-CN"/>
        </w:rPr>
        <w:t>隐号报备带看：</w:t>
      </w:r>
    </w:p>
    <w:p w14:paraId="73D30B8A">
      <w:pPr>
        <w:keepNext w:val="0"/>
        <w:keepLines w:val="0"/>
        <w:widowControl/>
        <w:numPr>
          <w:ilvl w:val="0"/>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1.1</w:t>
      </w:r>
      <w:r>
        <w:rPr>
          <w:rFonts w:hint="eastAsia" w:ascii="仿宋" w:hAnsi="仿宋" w:eastAsia="仿宋" w:cs="仿宋"/>
          <w:sz w:val="24"/>
          <w:szCs w:val="24"/>
          <w:lang w:eastAsia="zh-CN"/>
        </w:rPr>
        <w:t>甲方确认并同意，乙方向甲方提供客户电话号码的前三后四位进行客户报备及客户带看（以下简称“隐号报备带看”），客户认购时提供客户电话号码全号（以下简称“全号”）。如客户认购前隐号在甲方查重系统中有重复的，则乙方提供全号至甲方。</w:t>
      </w:r>
    </w:p>
    <w:p w14:paraId="53917D6D">
      <w:pPr>
        <w:keepNext w:val="0"/>
        <w:keepLines w:val="0"/>
        <w:widowControl/>
        <w:numPr>
          <w:ilvl w:val="0"/>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1.2</w:t>
      </w:r>
      <w:r>
        <w:rPr>
          <w:rFonts w:hint="eastAsia" w:ascii="仿宋" w:hAnsi="仿宋" w:eastAsia="仿宋" w:cs="仿宋"/>
          <w:sz w:val="24"/>
          <w:szCs w:val="24"/>
        </w:rPr>
        <w:t>客户报备方式：乙方应</w:t>
      </w:r>
      <w:r>
        <w:rPr>
          <w:rFonts w:hint="eastAsia" w:ascii="仿宋" w:hAnsi="仿宋" w:eastAsia="仿宋" w:cs="仿宋"/>
          <w:sz w:val="24"/>
          <w:szCs w:val="24"/>
          <w:lang w:val="en-US" w:eastAsia="zh-CN"/>
        </w:rPr>
        <w:t>在客户到访前</w:t>
      </w:r>
      <w:r>
        <w:rPr>
          <w:rFonts w:hint="eastAsia" w:ascii="仿宋" w:hAnsi="仿宋" w:eastAsia="仿宋" w:cs="仿宋"/>
          <w:sz w:val="24"/>
          <w:szCs w:val="24"/>
        </w:rPr>
        <w:t>至少30分钟</w:t>
      </w:r>
      <w:r>
        <w:rPr>
          <w:rFonts w:hint="eastAsia" w:ascii="仿宋" w:hAnsi="仿宋" w:eastAsia="仿宋" w:cs="仿宋"/>
          <w:sz w:val="24"/>
          <w:szCs w:val="24"/>
          <w:lang w:eastAsia="zh-CN"/>
        </w:rPr>
        <w:t>，</w:t>
      </w:r>
      <w:r>
        <w:rPr>
          <w:rFonts w:hint="eastAsia" w:ascii="仿宋" w:hAnsi="仿宋" w:eastAsia="仿宋" w:cs="仿宋"/>
          <w:sz w:val="24"/>
          <w:szCs w:val="24"/>
        </w:rPr>
        <w:t>在甲方指定的</w:t>
      </w:r>
      <w:r>
        <w:rPr>
          <w:rFonts w:hint="eastAsia" w:ascii="仿宋" w:hAnsi="仿宋" w:eastAsia="仿宋" w:cs="仿宋"/>
          <w:sz w:val="24"/>
          <w:szCs w:val="24"/>
          <w:u w:val="none"/>
          <w:lang w:val="en-US" w:eastAsia="zh-CN"/>
        </w:rPr>
        <w:t>微信群</w:t>
      </w:r>
      <w:r>
        <w:rPr>
          <w:rFonts w:hint="eastAsia" w:ascii="仿宋" w:hAnsi="仿宋" w:eastAsia="仿宋" w:cs="仿宋"/>
          <w:sz w:val="24"/>
          <w:szCs w:val="24"/>
        </w:rPr>
        <w:t>进行客户报备，报备时提供客户电话前三后四，隐藏中间四位。</w:t>
      </w:r>
    </w:p>
    <w:p w14:paraId="00F4EB53">
      <w:pPr>
        <w:keepNext w:val="0"/>
        <w:keepLines w:val="0"/>
        <w:widowControl/>
        <w:numPr>
          <w:ilvl w:val="0"/>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甲方对接人应当在乙方报备后30分钟内将客户是否有效结果反馈给乙方，客户报备有效并到访的，按照到访之日起享有30天保护期。报备后未到访的，所有渠道可追踪直接约访，最终以带访为准，自带访之日起重新计算保护期30日。甲方客户（包含但不限于自然到访、老带新、全民经纪人、甲方自渠等）的到访保护期自最后一次到访当日起30日，凡过该保护期的客户，所有渠道可追踪直接约访，最终以带访为准，自带访之日起重新计算保护期30日。甲方登记的其他渠道推介的客户自最后一次到访当日起30日，凡过该保护期的客户，乙方可直接带访。对于无效客户，甲方须向乙方提供相关证明文件（包括但不限于甲方客户登记系统截图、客户上一次到访记录等），未提供无效客户证据的视为该客户不在甲方客户到访保护期内，该客户为乙方有效推介客户。</w:t>
      </w:r>
    </w:p>
    <w:p w14:paraId="7AD173A2">
      <w:pPr>
        <w:keepNext w:val="0"/>
        <w:keepLines w:val="0"/>
        <w:widowControl/>
        <w:numPr>
          <w:ilvl w:val="0"/>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如后期发生撞客行为，以客户到访时间先后为准判定客户归属，所有过有效保护期的客户均以带访为准，自带访之日起享有</w:t>
      </w:r>
      <w:r>
        <w:rPr>
          <w:rFonts w:hint="eastAsia" w:ascii="仿宋" w:hAnsi="仿宋" w:eastAsia="仿宋" w:cs="仿宋"/>
          <w:sz w:val="24"/>
          <w:szCs w:val="24"/>
          <w:lang w:val="en-US" w:eastAsia="zh-CN"/>
        </w:rPr>
        <w:t>30</w:t>
      </w:r>
      <w:r>
        <w:rPr>
          <w:rFonts w:hint="eastAsia" w:ascii="仿宋" w:hAnsi="仿宋" w:eastAsia="仿宋" w:cs="仿宋"/>
          <w:sz w:val="24"/>
          <w:szCs w:val="24"/>
        </w:rPr>
        <w:t>日的保护期；若同天到访，则以</w:t>
      </w:r>
      <w:r>
        <w:rPr>
          <w:rFonts w:hint="eastAsia" w:ascii="仿宋" w:hAnsi="仿宋" w:eastAsia="仿宋" w:cs="仿宋"/>
          <w:sz w:val="24"/>
          <w:szCs w:val="24"/>
          <w:lang w:val="en-US" w:eastAsia="zh-CN"/>
        </w:rPr>
        <w:t>经纪人带访</w:t>
      </w:r>
      <w:r>
        <w:rPr>
          <w:rFonts w:hint="eastAsia" w:ascii="仿宋" w:hAnsi="仿宋" w:eastAsia="仿宋" w:cs="仿宋"/>
          <w:sz w:val="24"/>
          <w:szCs w:val="24"/>
        </w:rPr>
        <w:t>时间先后为准。</w:t>
      </w:r>
    </w:p>
    <w:p w14:paraId="3E8F6DFD">
      <w:pPr>
        <w:keepNext w:val="0"/>
        <w:keepLines w:val="0"/>
        <w:widowControl/>
        <w:numPr>
          <w:ilvl w:val="0"/>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4、带看保护期对等：</w:t>
      </w:r>
    </w:p>
    <w:p w14:paraId="226E9DD8">
      <w:pPr>
        <w:keepNext w:val="0"/>
        <w:keepLines w:val="0"/>
        <w:widowControl/>
        <w:numPr>
          <w:ilvl w:val="0"/>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为推动公平作业，更好地发挥双方合作价值，乙方客户的到访保护期与甲方客户（包含但不限于自然到访、老带新、全民经纪人、甲方自渠等）的到访保护期相同。到访保护期内如客户重新到访，保护期自到访当日起重新计算。若双方合同到期或终止合作，乙方客户的到访保护期依然有效。乙方有权将本合同相关内容向合作方及经纪人公示。</w:t>
      </w:r>
    </w:p>
    <w:p w14:paraId="427BAAAE">
      <w:pPr>
        <w:keepNext w:val="0"/>
        <w:keepLines w:val="0"/>
        <w:widowControl/>
        <w:numPr>
          <w:ilvl w:val="0"/>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5、乙方</w:t>
      </w:r>
      <w:r>
        <w:rPr>
          <w:rFonts w:hint="eastAsia" w:ascii="仿宋" w:hAnsi="仿宋" w:eastAsia="仿宋" w:cs="仿宋"/>
          <w:sz w:val="24"/>
          <w:szCs w:val="24"/>
        </w:rPr>
        <w:t>客户到访保护期：推荐客户到访保护期为自客户最后一次到访之日起</w:t>
      </w:r>
      <w:r>
        <w:rPr>
          <w:rFonts w:hint="eastAsia" w:ascii="仿宋" w:hAnsi="仿宋" w:eastAsia="仿宋" w:cs="仿宋"/>
          <w:sz w:val="24"/>
          <w:szCs w:val="24"/>
          <w:u w:val="none"/>
          <w:lang w:val="en-US" w:eastAsia="zh-CN"/>
        </w:rPr>
        <w:t xml:space="preserve"> 30 </w:t>
      </w:r>
      <w:r>
        <w:rPr>
          <w:rFonts w:hint="eastAsia" w:ascii="仿宋" w:hAnsi="仿宋" w:eastAsia="仿宋" w:cs="仿宋"/>
          <w:sz w:val="24"/>
          <w:szCs w:val="24"/>
        </w:rPr>
        <w:t>日，在此期间甲方不得确认该客户为甲方客户或其他第三方客户。如已到访客户在客户到访保护期内重复到访，则甲乙双方需重新签署《客户带看确认书》，将客户到访保护期的起始日更改为客户最后一次到访项目之日。如已到访客户于客户到访保护期外再次到访，</w:t>
      </w:r>
      <w:r>
        <w:rPr>
          <w:rFonts w:hint="eastAsia" w:ascii="仿宋" w:hAnsi="仿宋" w:eastAsia="仿宋" w:cs="仿宋"/>
          <w:sz w:val="24"/>
          <w:szCs w:val="24"/>
          <w:lang w:eastAsia="zh-CN"/>
        </w:rPr>
        <w:t>乙方可</w:t>
      </w:r>
      <w:r>
        <w:rPr>
          <w:rFonts w:hint="eastAsia" w:ascii="仿宋" w:hAnsi="仿宋" w:eastAsia="仿宋" w:cs="仿宋"/>
          <w:sz w:val="24"/>
          <w:szCs w:val="24"/>
        </w:rPr>
        <w:t>重新报备并重新签署《客户带看确认书》（如遇本合同提前终止或解除，不影响有关客户保护期的约定）。</w:t>
      </w:r>
    </w:p>
    <w:p w14:paraId="7939D7FA">
      <w:pPr>
        <w:keepNext w:val="0"/>
        <w:keepLines w:val="0"/>
        <w:widowControl/>
        <w:numPr>
          <w:ilvl w:val="0"/>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客户到访后由甲方统一对推荐客户进行客户登记和接待分配。客户到访当日，甲乙双方须签署《客户带看确认书》（见附件1），以便双方核对确认。</w:t>
      </w:r>
    </w:p>
    <w:p w14:paraId="4EAA005D">
      <w:pPr>
        <w:keepNext w:val="0"/>
        <w:keepLines w:val="0"/>
        <w:widowControl/>
        <w:numPr>
          <w:ilvl w:val="0"/>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如乙方与其他单位、中介单位及其他推介渠道均推介同一组客户（直系亲属即父母、配偶、子女</w:t>
      </w:r>
      <w:r>
        <w:rPr>
          <w:rFonts w:hint="eastAsia" w:ascii="仿宋" w:hAnsi="仿宋" w:eastAsia="仿宋" w:cs="仿宋"/>
          <w:sz w:val="24"/>
          <w:szCs w:val="24"/>
          <w:lang w:eastAsia="zh-CN"/>
        </w:rPr>
        <w:t>，含养</w:t>
      </w:r>
      <w:r>
        <w:rPr>
          <w:rFonts w:hint="eastAsia" w:ascii="仿宋" w:hAnsi="仿宋" w:eastAsia="仿宋" w:cs="仿宋"/>
          <w:sz w:val="24"/>
          <w:szCs w:val="24"/>
          <w:lang w:val="en-US" w:eastAsia="zh-CN"/>
        </w:rPr>
        <w:t>/继父母/子女</w:t>
      </w:r>
      <w:r>
        <w:rPr>
          <w:rFonts w:hint="eastAsia" w:ascii="仿宋" w:hAnsi="仿宋" w:eastAsia="仿宋" w:cs="仿宋"/>
          <w:sz w:val="24"/>
          <w:szCs w:val="24"/>
        </w:rPr>
        <w:t>）到访的，以</w:t>
      </w:r>
      <w:r>
        <w:rPr>
          <w:rFonts w:hint="eastAsia" w:ascii="仿宋" w:hAnsi="仿宋" w:eastAsia="仿宋" w:cs="仿宋"/>
          <w:sz w:val="24"/>
          <w:szCs w:val="24"/>
          <w:lang w:val="en-US" w:eastAsia="zh-CN"/>
        </w:rPr>
        <w:t>报备</w:t>
      </w:r>
      <w:r>
        <w:rPr>
          <w:rFonts w:hint="eastAsia" w:ascii="仿宋" w:hAnsi="仿宋" w:eastAsia="仿宋" w:cs="仿宋"/>
          <w:sz w:val="24"/>
          <w:szCs w:val="24"/>
        </w:rPr>
        <w:t>最早到访时间为准确认客户归属。如同时到达案场，则以最早</w:t>
      </w:r>
      <w:r>
        <w:rPr>
          <w:rFonts w:hint="eastAsia" w:ascii="仿宋" w:hAnsi="仿宋" w:eastAsia="仿宋" w:cs="仿宋"/>
          <w:sz w:val="24"/>
          <w:szCs w:val="24"/>
          <w:lang w:val="en-US" w:eastAsia="zh-CN"/>
        </w:rPr>
        <w:t>有效</w:t>
      </w:r>
      <w:r>
        <w:rPr>
          <w:rFonts w:hint="eastAsia" w:ascii="仿宋" w:hAnsi="仿宋" w:eastAsia="仿宋" w:cs="仿宋"/>
          <w:sz w:val="24"/>
          <w:szCs w:val="24"/>
        </w:rPr>
        <w:t>报备时间确认客户归属。</w:t>
      </w:r>
    </w:p>
    <w:p w14:paraId="0EC72491">
      <w:pPr>
        <w:keepNext w:val="0"/>
        <w:keepLines w:val="0"/>
        <w:widowControl/>
        <w:numPr>
          <w:ilvl w:val="0"/>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以下客户</w:t>
      </w:r>
      <w:r>
        <w:rPr>
          <w:rFonts w:hint="eastAsia" w:ascii="仿宋" w:hAnsi="仿宋" w:eastAsia="仿宋" w:cs="仿宋"/>
          <w:sz w:val="24"/>
          <w:szCs w:val="24"/>
          <w:lang w:eastAsia="zh-CN"/>
        </w:rPr>
        <w:t>亦</w:t>
      </w:r>
      <w:r>
        <w:rPr>
          <w:rFonts w:hint="eastAsia" w:ascii="仿宋" w:hAnsi="仿宋" w:eastAsia="仿宋" w:cs="仿宋"/>
          <w:sz w:val="24"/>
          <w:szCs w:val="24"/>
        </w:rPr>
        <w:t>视为乙方有效客户：</w:t>
      </w:r>
    </w:p>
    <w:p w14:paraId="0415F641">
      <w:pPr>
        <w:keepNext w:val="0"/>
        <w:keepLines w:val="0"/>
        <w:widowControl/>
        <w:numPr>
          <w:ilvl w:val="0"/>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.1乙方推荐客户</w:t>
      </w:r>
      <w:r>
        <w:rPr>
          <w:rFonts w:hint="eastAsia" w:ascii="仿宋" w:hAnsi="仿宋" w:eastAsia="仿宋" w:cs="仿宋"/>
          <w:sz w:val="24"/>
          <w:szCs w:val="24"/>
          <w:lang w:eastAsia="zh-CN"/>
        </w:rPr>
        <w:t>或其直系亲属保护期内</w:t>
      </w:r>
      <w:r>
        <w:rPr>
          <w:rFonts w:hint="eastAsia" w:ascii="仿宋" w:hAnsi="仿宋" w:eastAsia="仿宋" w:cs="仿宋"/>
          <w:sz w:val="24"/>
          <w:szCs w:val="24"/>
        </w:rPr>
        <w:t>再次购买该项目房屋；</w:t>
      </w:r>
    </w:p>
    <w:p w14:paraId="3EA5594A">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.2乙方推荐的客户推荐第三人</w:t>
      </w:r>
      <w:r>
        <w:rPr>
          <w:rFonts w:hint="eastAsia" w:ascii="仿宋" w:hAnsi="仿宋" w:eastAsia="仿宋" w:cs="仿宋"/>
          <w:sz w:val="24"/>
          <w:szCs w:val="24"/>
          <w:lang w:eastAsia="zh-CN"/>
        </w:rPr>
        <w:t>保护期内</w:t>
      </w:r>
      <w:r>
        <w:rPr>
          <w:rFonts w:hint="eastAsia" w:ascii="仿宋" w:hAnsi="仿宋" w:eastAsia="仿宋" w:cs="仿宋"/>
          <w:sz w:val="24"/>
          <w:szCs w:val="24"/>
        </w:rPr>
        <w:t>购买项目房屋；</w:t>
      </w:r>
    </w:p>
    <w:p w14:paraId="515264BF">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.3乙方推荐客户的直系亲属</w:t>
      </w:r>
      <w:r>
        <w:rPr>
          <w:rFonts w:hint="eastAsia" w:ascii="仿宋" w:hAnsi="仿宋" w:eastAsia="仿宋" w:cs="仿宋"/>
          <w:sz w:val="24"/>
          <w:szCs w:val="24"/>
          <w:lang w:eastAsia="zh-CN"/>
        </w:rPr>
        <w:t>保护期内</w:t>
      </w:r>
      <w:r>
        <w:rPr>
          <w:rFonts w:hint="eastAsia" w:ascii="仿宋" w:hAnsi="仿宋" w:eastAsia="仿宋" w:cs="仿宋"/>
          <w:sz w:val="24"/>
          <w:szCs w:val="24"/>
        </w:rPr>
        <w:t>购买项目房屋。</w:t>
      </w:r>
    </w:p>
    <w:p w14:paraId="58E332C6">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甲方须于客户到访前或到访后通知并协助乙方进行客户确认，不得引导、默认、强制要求客户以更换联系方式等形式未经乙方而与甲方成交。</w:t>
      </w:r>
    </w:p>
    <w:p w14:paraId="3061AD1E">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0、</w:t>
      </w:r>
      <w:r>
        <w:rPr>
          <w:rFonts w:hint="eastAsia" w:ascii="仿宋" w:hAnsi="仿宋" w:eastAsia="仿宋" w:cs="仿宋"/>
          <w:sz w:val="24"/>
          <w:szCs w:val="24"/>
        </w:rPr>
        <w:t>甲乙双方人员不得通过不正当方式（如盗取对方信息、不正当竞争方式取得等）获取对方客户资源，并用隐瞒事实等方式与对方客户签约或泄露给第三方成交的，否则，违约方按该笔佣金双倍金额作为违约金支付给守约方。</w:t>
      </w:r>
    </w:p>
    <w:p w14:paraId="7B05E564">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1、</w:t>
      </w:r>
      <w:r>
        <w:rPr>
          <w:rFonts w:hint="eastAsia" w:ascii="仿宋" w:hAnsi="仿宋" w:eastAsia="仿宋" w:cs="仿宋"/>
          <w:sz w:val="24"/>
          <w:szCs w:val="24"/>
        </w:rPr>
        <w:t>双方根据本合同判客标准判定为乙方客户后，甲方不得以回访、财务审计、集团公司审查等任何理由将乙方客户改判，或不予认可，否则视为违约，按照本合同约定承担逾期付款违约责任。</w:t>
      </w:r>
    </w:p>
    <w:p w14:paraId="0DACF203">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2、</w:t>
      </w:r>
      <w:r>
        <w:rPr>
          <w:rFonts w:hint="eastAsia" w:ascii="仿宋" w:hAnsi="仿宋" w:eastAsia="仿宋" w:cs="仿宋"/>
          <w:sz w:val="24"/>
          <w:szCs w:val="24"/>
        </w:rPr>
        <w:t>乙方已推介的客户与其直系亲属属于同一组客户。同一组客户任一人在保护期内认购</w:t>
      </w:r>
      <w:r>
        <w:rPr>
          <w:rFonts w:hint="eastAsia" w:ascii="仿宋" w:hAnsi="仿宋" w:eastAsia="仿宋" w:cs="仿宋"/>
          <w:sz w:val="24"/>
          <w:szCs w:val="24"/>
          <w:lang w:eastAsia="zh-CN"/>
        </w:rPr>
        <w:t>房源</w:t>
      </w:r>
      <w:r>
        <w:rPr>
          <w:rFonts w:hint="eastAsia" w:ascii="仿宋" w:hAnsi="仿宋" w:eastAsia="仿宋" w:cs="仿宋"/>
          <w:sz w:val="24"/>
          <w:szCs w:val="24"/>
        </w:rPr>
        <w:t>的,待</w:t>
      </w:r>
      <w:r>
        <w:rPr>
          <w:rFonts w:hint="eastAsia" w:ascii="仿宋" w:hAnsi="仿宋" w:eastAsia="仿宋" w:cs="仿宋"/>
          <w:sz w:val="24"/>
          <w:szCs w:val="24"/>
          <w:lang w:eastAsia="zh-CN"/>
        </w:rPr>
        <w:t>达到结算</w:t>
      </w:r>
      <w:r>
        <w:rPr>
          <w:rFonts w:hint="eastAsia" w:ascii="仿宋" w:hAnsi="仿宋" w:eastAsia="仿宋" w:cs="仿宋"/>
          <w:sz w:val="24"/>
          <w:szCs w:val="24"/>
        </w:rPr>
        <w:t>条件后甲方向乙方支付佣金；在合同有效期结束（或因故解除）后</w:t>
      </w:r>
      <w:r>
        <w:rPr>
          <w:rFonts w:hint="eastAsia" w:ascii="仿宋" w:hAnsi="仿宋" w:eastAsia="仿宋" w:cs="仿宋"/>
          <w:sz w:val="24"/>
          <w:szCs w:val="24"/>
          <w:lang w:eastAsia="zh-CN"/>
        </w:rPr>
        <w:t>带看保护期</w:t>
      </w:r>
      <w:r>
        <w:rPr>
          <w:rFonts w:hint="eastAsia" w:ascii="仿宋" w:hAnsi="仿宋" w:eastAsia="仿宋" w:cs="仿宋"/>
          <w:sz w:val="24"/>
          <w:szCs w:val="24"/>
        </w:rPr>
        <w:t>内认购的，甲方仍依本合同的约定向乙方支付全额佣金。</w:t>
      </w:r>
    </w:p>
    <w:p w14:paraId="2A86715B">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甲方指定对接人如在乙方推荐客户成功后不向乙方出具签字确认《客户带看确认书》《成功销售确认单》《对账单明细表》的，乙方有权凭其推荐客户期间与甲方</w:t>
      </w:r>
      <w:r>
        <w:rPr>
          <w:rFonts w:hint="eastAsia" w:ascii="仿宋" w:hAnsi="仿宋" w:eastAsia="仿宋" w:cs="仿宋"/>
          <w:sz w:val="24"/>
          <w:szCs w:val="24"/>
          <w:lang w:eastAsia="zh-CN"/>
        </w:rPr>
        <w:t>人员</w:t>
      </w:r>
      <w:r>
        <w:rPr>
          <w:rFonts w:hint="eastAsia" w:ascii="仿宋" w:hAnsi="仿宋" w:eastAsia="仿宋" w:cs="仿宋"/>
          <w:sz w:val="24"/>
          <w:szCs w:val="24"/>
        </w:rPr>
        <w:t>之间的信息，及该客户与甲方签署的商品房买卖合同等作为客户确认的依据要求甲方支付佣金。</w:t>
      </w:r>
    </w:p>
    <w:p w14:paraId="6F0F82B8">
      <w:pPr>
        <w:keepNext w:val="0"/>
        <w:keepLines w:val="0"/>
        <w:widowControl/>
        <w:numPr>
          <w:ilvl w:val="255"/>
          <w:numId w:val="0"/>
        </w:numPr>
        <w:kinsoku/>
        <w:wordWrap/>
        <w:overflowPunct/>
        <w:topLinePunct w:val="0"/>
        <w:bidi w:val="0"/>
        <w:adjustRightInd/>
        <w:snapToGrid/>
        <w:spacing w:line="360" w:lineRule="auto"/>
        <w:ind w:firstLine="420" w:firstLineChars="175"/>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14、乙方客户或直系亲属认购或网签后换房、更名的不影响乙方业绩归属认定，按照实际成交房源向乙方结算佣金。</w:t>
      </w:r>
    </w:p>
    <w:p w14:paraId="3B00BDEA">
      <w:pPr>
        <w:widowControl/>
        <w:numPr>
          <w:ilvl w:val="255"/>
          <w:numId w:val="0"/>
        </w:num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w:t>
      </w:r>
      <w:bookmarkEnd w:id="0"/>
      <w:bookmarkEnd w:id="1"/>
      <w:r>
        <w:rPr>
          <w:rFonts w:hint="eastAsia" w:ascii="仿宋" w:hAnsi="仿宋" w:eastAsia="仿宋" w:cs="仿宋"/>
          <w:sz w:val="24"/>
          <w:szCs w:val="24"/>
          <w:lang w:val="en-US" w:eastAsia="zh-CN"/>
        </w:rPr>
        <w:t xml:space="preserve">成功销售：乙方推介的客户与甲方草签或网签《商品房买卖合同》的，即视为乙方推荐客户成功，计入乙方销售业绩。甲方须在乙方成功销售物业后 3日内在乙方提供的《成销确认书》上签字，逾期未签署视为对乙方销售业绩的确认。如因政府 限签或甲方原因(项目商品房有权利负担、被抵押等)导致客户无法自交付第一笔购房款之日起 30 日内草签或网签的，自客户缴纳第一笔购房款视为乙方成功销售，计为乙方业绩，按照合同约定正常结算。 </w:t>
      </w:r>
    </w:p>
    <w:p w14:paraId="6F16D6E8">
      <w:pPr>
        <w:widowControl/>
        <w:numPr>
          <w:ilvl w:val="255"/>
          <w:numId w:val="0"/>
        </w:numPr>
        <w:spacing w:line="360" w:lineRule="auto"/>
        <w:ind w:firstLine="420" w:firstLineChars="175"/>
        <w:jc w:val="left"/>
        <w:rPr>
          <w:rFonts w:ascii="仿宋" w:hAnsi="仿宋" w:eastAsia="仿宋" w:cs="仿宋"/>
          <w:sz w:val="24"/>
        </w:rPr>
      </w:pPr>
      <w:r>
        <w:rPr>
          <w:rFonts w:hint="eastAsia" w:ascii="仿宋" w:hAnsi="仿宋" w:eastAsia="仿宋" w:cs="仿宋"/>
          <w:sz w:val="24"/>
          <w:lang w:val="en-US" w:eastAsia="zh-CN"/>
        </w:rPr>
        <w:t>三</w:t>
      </w:r>
      <w:r>
        <w:rPr>
          <w:rFonts w:hint="eastAsia" w:ascii="仿宋" w:hAnsi="仿宋" w:eastAsia="仿宋" w:cs="仿宋"/>
          <w:sz w:val="24"/>
          <w:lang w:eastAsia="zh-CN"/>
        </w:rPr>
        <w:t>、</w:t>
      </w:r>
      <w:r>
        <w:rPr>
          <w:rFonts w:hint="eastAsia" w:ascii="仿宋" w:hAnsi="仿宋" w:eastAsia="仿宋" w:cs="仿宋"/>
          <w:sz w:val="24"/>
        </w:rPr>
        <w:t>原合同其他条款保持不变。</w:t>
      </w:r>
    </w:p>
    <w:p w14:paraId="2CC3C884">
      <w:pPr>
        <w:widowControl/>
        <w:numPr>
          <w:ilvl w:val="255"/>
          <w:numId w:val="0"/>
        </w:numPr>
        <w:spacing w:line="360" w:lineRule="auto"/>
        <w:ind w:firstLine="420" w:firstLineChars="175"/>
        <w:jc w:val="left"/>
        <w:rPr>
          <w:rFonts w:ascii="仿宋" w:hAnsi="仿宋" w:eastAsia="仿宋" w:cs="仿宋"/>
          <w:sz w:val="24"/>
        </w:rPr>
      </w:pPr>
      <w:r>
        <w:rPr>
          <w:rFonts w:hint="eastAsia" w:ascii="仿宋" w:hAnsi="仿宋" w:eastAsia="仿宋" w:cs="仿宋"/>
          <w:sz w:val="24"/>
          <w:lang w:val="en-US" w:eastAsia="zh-CN"/>
        </w:rPr>
        <w:t>四</w:t>
      </w:r>
      <w:r>
        <w:rPr>
          <w:rFonts w:hint="eastAsia" w:ascii="仿宋" w:hAnsi="仿宋" w:eastAsia="仿宋" w:cs="仿宋"/>
          <w:sz w:val="24"/>
        </w:rPr>
        <w:t>、本补充协议为原合同不可分割的组成部分，与原合同具有同等的法律效力，上述条款仅作为补充或变更。本补充协议未尽事宜，以原合同为准，本补充协议与原合同不一致的，以本补充协议为准。</w:t>
      </w:r>
    </w:p>
    <w:p w14:paraId="1C36358D">
      <w:pPr>
        <w:widowControl/>
        <w:spacing w:line="360" w:lineRule="auto"/>
        <w:ind w:firstLine="420" w:firstLineChars="175"/>
        <w:jc w:val="left"/>
        <w:rPr>
          <w:rFonts w:ascii="仿宋" w:hAnsi="仿宋" w:eastAsia="仿宋" w:cs="仿宋"/>
          <w:sz w:val="24"/>
        </w:rPr>
      </w:pPr>
      <w:r>
        <w:rPr>
          <w:rFonts w:hint="eastAsia" w:ascii="仿宋" w:hAnsi="仿宋" w:eastAsia="仿宋" w:cs="仿宋"/>
          <w:sz w:val="24"/>
          <w:lang w:val="en-US" w:eastAsia="zh-CN"/>
        </w:rPr>
        <w:t>五</w:t>
      </w:r>
      <w:r>
        <w:rPr>
          <w:rFonts w:hint="eastAsia" w:ascii="仿宋" w:hAnsi="仿宋" w:eastAsia="仿宋" w:cs="仿宋"/>
          <w:sz w:val="24"/>
        </w:rPr>
        <w:t>、本补充协议一式伍份，甲方执叁份，乙方执两份，经双方盖章后生效，具有同等法律效力。</w:t>
      </w:r>
    </w:p>
    <w:p w14:paraId="5E78A6F9">
      <w:pPr>
        <w:widowControl/>
        <w:spacing w:line="360" w:lineRule="auto"/>
        <w:ind w:firstLine="720" w:firstLineChars="300"/>
        <w:jc w:val="left"/>
        <w:rPr>
          <w:rFonts w:ascii="仿宋" w:hAnsi="仿宋" w:eastAsia="仿宋" w:cs="仿宋"/>
          <w:sz w:val="24"/>
        </w:rPr>
      </w:pPr>
      <w:r>
        <w:rPr>
          <w:rFonts w:hint="eastAsia" w:ascii="仿宋" w:hAnsi="仿宋" w:eastAsia="仿宋" w:cs="仿宋"/>
          <w:sz w:val="24"/>
        </w:rPr>
        <w:t>（以下无正文，为盖章处）</w:t>
      </w:r>
    </w:p>
    <w:p w14:paraId="75C8E47F">
      <w:pPr>
        <w:widowControl/>
        <w:spacing w:line="360" w:lineRule="auto"/>
        <w:ind w:firstLine="720" w:firstLineChars="300"/>
        <w:jc w:val="left"/>
        <w:rPr>
          <w:rFonts w:ascii="仿宋" w:hAnsi="仿宋" w:eastAsia="仿宋" w:cs="仿宋"/>
          <w:sz w:val="24"/>
        </w:rPr>
      </w:pPr>
    </w:p>
    <w:p w14:paraId="2027CDCC">
      <w:pPr>
        <w:widowControl/>
        <w:spacing w:line="360" w:lineRule="auto"/>
        <w:ind w:firstLine="720" w:firstLineChars="300"/>
        <w:jc w:val="left"/>
        <w:rPr>
          <w:rFonts w:ascii="仿宋" w:hAnsi="仿宋" w:eastAsia="仿宋" w:cs="仿宋"/>
          <w:sz w:val="24"/>
        </w:rPr>
      </w:pPr>
      <w:r>
        <w:rPr>
          <w:rFonts w:hint="eastAsia" w:ascii="仿宋" w:hAnsi="仿宋" w:eastAsia="仿宋" w:cs="仿宋"/>
          <w:sz w:val="24"/>
        </w:rPr>
        <w:t xml:space="preserve">甲方：                               乙方： </w:t>
      </w:r>
    </w:p>
    <w:p w14:paraId="479848D5">
      <w:pPr>
        <w:widowControl/>
        <w:spacing w:line="360" w:lineRule="auto"/>
        <w:ind w:firstLine="720" w:firstLineChars="300"/>
        <w:jc w:val="left"/>
        <w:rPr>
          <w:rFonts w:ascii="仿宋" w:hAnsi="仿宋" w:eastAsia="仿宋" w:cs="仿宋"/>
          <w:sz w:val="24"/>
        </w:rPr>
      </w:pPr>
      <w:r>
        <w:rPr>
          <w:rFonts w:hint="eastAsia" w:ascii="仿宋" w:hAnsi="仿宋" w:eastAsia="仿宋" w:cs="仿宋"/>
          <w:sz w:val="24"/>
        </w:rPr>
        <w:t>日期：202</w:t>
      </w:r>
      <w:r>
        <w:rPr>
          <w:rFonts w:hint="eastAsia" w:ascii="仿宋" w:hAnsi="仿宋" w:eastAsia="仿宋" w:cs="仿宋"/>
          <w:sz w:val="24"/>
          <w:lang w:val="en-US" w:eastAsia="zh-CN"/>
        </w:rPr>
        <w:t>4</w:t>
      </w:r>
      <w:r>
        <w:rPr>
          <w:rFonts w:hint="eastAsia" w:ascii="仿宋" w:hAnsi="仿宋" w:eastAsia="仿宋" w:cs="仿宋"/>
          <w:sz w:val="24"/>
        </w:rPr>
        <w:t xml:space="preserve">年 </w:t>
      </w:r>
      <w:r>
        <w:rPr>
          <w:rFonts w:hint="eastAsia" w:ascii="仿宋" w:hAnsi="仿宋" w:eastAsia="仿宋" w:cs="仿宋"/>
          <w:sz w:val="24"/>
          <w:lang w:val="en-US" w:eastAsia="zh-CN"/>
        </w:rPr>
        <w:t>11</w:t>
      </w:r>
      <w:r>
        <w:rPr>
          <w:rFonts w:hint="eastAsia" w:ascii="仿宋" w:hAnsi="仿宋" w:eastAsia="仿宋" w:cs="仿宋"/>
          <w:sz w:val="24"/>
        </w:rPr>
        <w:t xml:space="preserve">月 </w:t>
      </w:r>
      <w:r>
        <w:rPr>
          <w:rFonts w:hint="eastAsia" w:ascii="仿宋" w:hAnsi="仿宋" w:eastAsia="仿宋" w:cs="仿宋"/>
          <w:sz w:val="24"/>
          <w:lang w:val="en-US" w:eastAsia="zh-CN"/>
        </w:rPr>
        <w:t>10</w:t>
      </w:r>
      <w:r>
        <w:rPr>
          <w:rFonts w:hint="eastAsia" w:ascii="仿宋" w:hAnsi="仿宋" w:eastAsia="仿宋" w:cs="仿宋"/>
          <w:sz w:val="24"/>
        </w:rPr>
        <w:t>日             日期：202</w:t>
      </w:r>
      <w:r>
        <w:rPr>
          <w:rFonts w:hint="eastAsia" w:ascii="仿宋" w:hAnsi="仿宋" w:eastAsia="仿宋" w:cs="仿宋"/>
          <w:sz w:val="24"/>
          <w:lang w:val="en-US" w:eastAsia="zh-CN"/>
        </w:rPr>
        <w:t>4</w:t>
      </w:r>
      <w:r>
        <w:rPr>
          <w:rFonts w:hint="eastAsia" w:ascii="仿宋" w:hAnsi="仿宋" w:eastAsia="仿宋" w:cs="仿宋"/>
          <w:sz w:val="24"/>
        </w:rPr>
        <w:t xml:space="preserve">年 </w:t>
      </w:r>
      <w:r>
        <w:rPr>
          <w:rFonts w:hint="eastAsia" w:ascii="仿宋" w:hAnsi="仿宋" w:eastAsia="仿宋" w:cs="仿宋"/>
          <w:sz w:val="24"/>
          <w:lang w:val="en-US" w:eastAsia="zh-CN"/>
        </w:rPr>
        <w:t>11</w:t>
      </w:r>
      <w:r>
        <w:rPr>
          <w:rFonts w:hint="eastAsia" w:ascii="仿宋" w:hAnsi="仿宋" w:eastAsia="仿宋" w:cs="仿宋"/>
          <w:sz w:val="24"/>
        </w:rPr>
        <w:t>月</w:t>
      </w:r>
      <w:r>
        <w:rPr>
          <w:rFonts w:hint="eastAsia" w:ascii="仿宋" w:hAnsi="仿宋" w:eastAsia="仿宋" w:cs="仿宋"/>
          <w:sz w:val="24"/>
          <w:lang w:val="en-US" w:eastAsia="zh-CN"/>
        </w:rPr>
        <w:t>10</w:t>
      </w:r>
      <w:r>
        <w:rPr>
          <w:rFonts w:hint="eastAsia" w:ascii="仿宋" w:hAnsi="仿宋" w:eastAsia="仿宋" w:cs="仿宋"/>
          <w:sz w:val="24"/>
        </w:rPr>
        <w:t xml:space="preserve"> 日  </w:t>
      </w:r>
    </w:p>
    <w:sectPr>
      <w:footerReference r:id="rId3" w:type="default"/>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547BC">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F582B4">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FF582B4">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13EA7E"/>
    <w:multiLevelType w:val="singleLevel"/>
    <w:tmpl w:val="3013EA7E"/>
    <w:lvl w:ilvl="0" w:tentative="0">
      <w:start w:val="1"/>
      <w:numFmt w:val="ideographTraditional"/>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hlOTlmMjVmYzNlYWIyNDlhZGI5YmRlZjk1M2E5MDcifQ=="/>
  </w:docVars>
  <w:rsids>
    <w:rsidRoot w:val="78386C5F"/>
    <w:rsid w:val="005073FB"/>
    <w:rsid w:val="0066679C"/>
    <w:rsid w:val="007E3373"/>
    <w:rsid w:val="00855D1B"/>
    <w:rsid w:val="008C1BD5"/>
    <w:rsid w:val="00980689"/>
    <w:rsid w:val="00AD0F4E"/>
    <w:rsid w:val="00C201D6"/>
    <w:rsid w:val="01765E5F"/>
    <w:rsid w:val="02C24B67"/>
    <w:rsid w:val="03934582"/>
    <w:rsid w:val="040779E6"/>
    <w:rsid w:val="0603301F"/>
    <w:rsid w:val="06064CF3"/>
    <w:rsid w:val="068F20F6"/>
    <w:rsid w:val="06F53823"/>
    <w:rsid w:val="07D57174"/>
    <w:rsid w:val="083E7612"/>
    <w:rsid w:val="091B576A"/>
    <w:rsid w:val="0C553A8D"/>
    <w:rsid w:val="0CF60482"/>
    <w:rsid w:val="0E440E7B"/>
    <w:rsid w:val="105748A5"/>
    <w:rsid w:val="11106F7B"/>
    <w:rsid w:val="11DA1F57"/>
    <w:rsid w:val="12457D94"/>
    <w:rsid w:val="130D010A"/>
    <w:rsid w:val="1380268A"/>
    <w:rsid w:val="13F72C77"/>
    <w:rsid w:val="144162BD"/>
    <w:rsid w:val="14A920DA"/>
    <w:rsid w:val="15CA04AA"/>
    <w:rsid w:val="16731B48"/>
    <w:rsid w:val="18924FAF"/>
    <w:rsid w:val="18B61A08"/>
    <w:rsid w:val="18CE331F"/>
    <w:rsid w:val="19575FD2"/>
    <w:rsid w:val="1986018D"/>
    <w:rsid w:val="19957E75"/>
    <w:rsid w:val="1A554870"/>
    <w:rsid w:val="1B2E1AAE"/>
    <w:rsid w:val="1B416B66"/>
    <w:rsid w:val="1B591091"/>
    <w:rsid w:val="1C3B5CE8"/>
    <w:rsid w:val="1E342DF7"/>
    <w:rsid w:val="1E4606F4"/>
    <w:rsid w:val="1F3612F2"/>
    <w:rsid w:val="1F9945A1"/>
    <w:rsid w:val="21E632F3"/>
    <w:rsid w:val="21ED78D6"/>
    <w:rsid w:val="23D35771"/>
    <w:rsid w:val="24AA654D"/>
    <w:rsid w:val="251A2755"/>
    <w:rsid w:val="25F0544D"/>
    <w:rsid w:val="260A76CB"/>
    <w:rsid w:val="261A7D71"/>
    <w:rsid w:val="26334E5B"/>
    <w:rsid w:val="26671012"/>
    <w:rsid w:val="275A4D3A"/>
    <w:rsid w:val="282D2D48"/>
    <w:rsid w:val="285B0102"/>
    <w:rsid w:val="28661BA4"/>
    <w:rsid w:val="2908589A"/>
    <w:rsid w:val="2A9067C5"/>
    <w:rsid w:val="2B5B79D6"/>
    <w:rsid w:val="2BB655B5"/>
    <w:rsid w:val="2C7006A4"/>
    <w:rsid w:val="2D641EC6"/>
    <w:rsid w:val="2DE7239A"/>
    <w:rsid w:val="2E5F5866"/>
    <w:rsid w:val="2E8379D0"/>
    <w:rsid w:val="2F6874EF"/>
    <w:rsid w:val="2FC05751"/>
    <w:rsid w:val="30732BB2"/>
    <w:rsid w:val="32005F50"/>
    <w:rsid w:val="322B4B74"/>
    <w:rsid w:val="32DB1233"/>
    <w:rsid w:val="352E1AEE"/>
    <w:rsid w:val="35925BF0"/>
    <w:rsid w:val="36826596"/>
    <w:rsid w:val="3AE53929"/>
    <w:rsid w:val="3CE367D6"/>
    <w:rsid w:val="3CF06D2D"/>
    <w:rsid w:val="3D9100B5"/>
    <w:rsid w:val="3E1437F5"/>
    <w:rsid w:val="3E54485A"/>
    <w:rsid w:val="3EED35FA"/>
    <w:rsid w:val="3FCD2E41"/>
    <w:rsid w:val="40066670"/>
    <w:rsid w:val="40095632"/>
    <w:rsid w:val="410A2366"/>
    <w:rsid w:val="419F5408"/>
    <w:rsid w:val="42552DB0"/>
    <w:rsid w:val="42560086"/>
    <w:rsid w:val="446623E2"/>
    <w:rsid w:val="44BB7E55"/>
    <w:rsid w:val="479873A7"/>
    <w:rsid w:val="47E66F9C"/>
    <w:rsid w:val="49B11164"/>
    <w:rsid w:val="49D46CB0"/>
    <w:rsid w:val="4A3414FD"/>
    <w:rsid w:val="4AF658F5"/>
    <w:rsid w:val="4B840115"/>
    <w:rsid w:val="4BE2772E"/>
    <w:rsid w:val="4C8A6D36"/>
    <w:rsid w:val="4E8C6D4A"/>
    <w:rsid w:val="4EB460B8"/>
    <w:rsid w:val="4F61351A"/>
    <w:rsid w:val="5028303A"/>
    <w:rsid w:val="515406D7"/>
    <w:rsid w:val="51EA52E1"/>
    <w:rsid w:val="52D7061B"/>
    <w:rsid w:val="53854C02"/>
    <w:rsid w:val="540639F1"/>
    <w:rsid w:val="544675D3"/>
    <w:rsid w:val="54A35BFD"/>
    <w:rsid w:val="54F07C92"/>
    <w:rsid w:val="5604091D"/>
    <w:rsid w:val="57B780A3"/>
    <w:rsid w:val="58036ADA"/>
    <w:rsid w:val="580A3786"/>
    <w:rsid w:val="592F43FC"/>
    <w:rsid w:val="5B462291"/>
    <w:rsid w:val="5B673E54"/>
    <w:rsid w:val="5B8A1EDF"/>
    <w:rsid w:val="5D1B4F80"/>
    <w:rsid w:val="5E373B58"/>
    <w:rsid w:val="5E897C12"/>
    <w:rsid w:val="5ECD1F75"/>
    <w:rsid w:val="5FFB2214"/>
    <w:rsid w:val="600C3BE4"/>
    <w:rsid w:val="60D85BBC"/>
    <w:rsid w:val="616E4406"/>
    <w:rsid w:val="62185387"/>
    <w:rsid w:val="64FD6FCF"/>
    <w:rsid w:val="65270D60"/>
    <w:rsid w:val="653F7006"/>
    <w:rsid w:val="654E15EE"/>
    <w:rsid w:val="66CE1899"/>
    <w:rsid w:val="67334BBF"/>
    <w:rsid w:val="67472418"/>
    <w:rsid w:val="67DC6491"/>
    <w:rsid w:val="694750C0"/>
    <w:rsid w:val="69FA5E67"/>
    <w:rsid w:val="6AC80B7F"/>
    <w:rsid w:val="6B14519F"/>
    <w:rsid w:val="6B2E6F6F"/>
    <w:rsid w:val="6BCF5694"/>
    <w:rsid w:val="6CB87F4B"/>
    <w:rsid w:val="6E3A7C00"/>
    <w:rsid w:val="6E5042A8"/>
    <w:rsid w:val="6ED24B85"/>
    <w:rsid w:val="6F65320A"/>
    <w:rsid w:val="70DC52D6"/>
    <w:rsid w:val="72D109EE"/>
    <w:rsid w:val="73821EE7"/>
    <w:rsid w:val="738A6CF4"/>
    <w:rsid w:val="75AE1917"/>
    <w:rsid w:val="767F2BC6"/>
    <w:rsid w:val="77785357"/>
    <w:rsid w:val="77E45A61"/>
    <w:rsid w:val="78346130"/>
    <w:rsid w:val="78386C5F"/>
    <w:rsid w:val="7A162EA9"/>
    <w:rsid w:val="7A8E5958"/>
    <w:rsid w:val="7BFB917E"/>
    <w:rsid w:val="7E0155BF"/>
    <w:rsid w:val="7FFB9A13"/>
    <w:rsid w:val="B6BC8FC4"/>
    <w:rsid w:val="BD532AF2"/>
    <w:rsid w:val="BFC510AC"/>
    <w:rsid w:val="CAFB676F"/>
    <w:rsid w:val="CFBFB6D5"/>
    <w:rsid w:val="D5D46689"/>
    <w:rsid w:val="F0EA5BEA"/>
    <w:rsid w:val="FD7F538E"/>
    <w:rsid w:val="FEDF0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tabs>
        <w:tab w:val="left" w:pos="1206"/>
      </w:tabs>
      <w:ind w:firstLine="420" w:firstLineChars="200"/>
    </w:pPr>
  </w:style>
  <w:style w:type="paragraph" w:styleId="3">
    <w:name w:val="Body Text Indent"/>
    <w:basedOn w:val="1"/>
    <w:autoRedefine/>
    <w:qFormat/>
    <w:uiPriority w:val="0"/>
    <w:pPr>
      <w:ind w:left="420"/>
    </w:pPr>
    <w:rPr>
      <w:rFonts w:ascii="宋体" w:hAnsi="宋体"/>
      <w:sz w:val="24"/>
    </w:rPr>
  </w:style>
  <w:style w:type="paragraph" w:styleId="4">
    <w:name w:val="annotation text"/>
    <w:basedOn w:val="1"/>
    <w:autoRedefine/>
    <w:qFormat/>
    <w:uiPriority w:val="0"/>
    <w:pPr>
      <w:jc w:val="left"/>
    </w:pPr>
  </w:style>
  <w:style w:type="paragraph" w:styleId="5">
    <w:name w:val="Body Text"/>
    <w:basedOn w:val="1"/>
    <w:autoRedefine/>
    <w:qFormat/>
    <w:uiPriority w:val="0"/>
    <w:pPr>
      <w:spacing w:after="120"/>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First Indent"/>
    <w:basedOn w:val="5"/>
    <w:autoRedefine/>
    <w:qFormat/>
    <w:uiPriority w:val="0"/>
    <w:pPr>
      <w:ind w:firstLine="420"/>
    </w:pPr>
    <w:rPr>
      <w:rFonts w:ascii="Times New Roman"/>
      <w:sz w:val="32"/>
    </w:rPr>
  </w:style>
  <w:style w:type="character" w:styleId="11">
    <w:name w:val="annotation reference"/>
    <w:basedOn w:val="10"/>
    <w:autoRedefine/>
    <w:unhideWhenUsed/>
    <w:qFormat/>
    <w:uiPriority w:val="99"/>
    <w:rPr>
      <w:sz w:val="21"/>
      <w:szCs w:val="21"/>
    </w:rPr>
  </w:style>
  <w:style w:type="paragraph" w:customStyle="1" w:styleId="12">
    <w:name w:val="列出段落1"/>
    <w:basedOn w:val="1"/>
    <w:autoRedefine/>
    <w:unhideWhenUsed/>
    <w:qFormat/>
    <w:uiPriority w:val="0"/>
    <w:pPr>
      <w:ind w:firstLine="420" w:firstLineChars="200"/>
    </w:pPr>
  </w:style>
  <w:style w:type="paragraph" w:customStyle="1" w:styleId="13">
    <w:name w:val="修订1"/>
    <w:autoRedefine/>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3964</Words>
  <Characters>4096</Characters>
  <Lines>5</Lines>
  <Paragraphs>1</Paragraphs>
  <TotalTime>52</TotalTime>
  <ScaleCrop>false</ScaleCrop>
  <LinksUpToDate>false</LinksUpToDate>
  <CharactersWithSpaces>4159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2023-11-10T06:11:00Z</dcterms:created>
  <dc:creator>A代-龙霜</dc:creator>
  <cp:lastModifiedBy>大头Monkey</cp:lastModifiedBy>
  <cp:lastPrinted>2024-01-13T01:03:00Z</cp:lastPrinted>
  <dcterms:modified xsi:type="dcterms:W3CDTF">2024-11-09T09:02:09Z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E3D972F939424128B6323142F2F2E976_13</vt:lpwstr>
  </property>
</Properties>
</file>