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4F3179">
      <w:pPr>
        <w:widowControl/>
        <w:spacing w:line="360" w:lineRule="auto"/>
        <w:rPr>
          <w:rFonts w:asciiTheme="minorEastAsia" w:hAnsiTheme="minorEastAsia" w:eastAsiaTheme="minorEastAsia" w:cstheme="minorEastAsia"/>
          <w:color w:val="auto"/>
          <w:sz w:val="44"/>
          <w:szCs w:val="44"/>
          <w:highlight w:val="none"/>
        </w:rPr>
      </w:pPr>
    </w:p>
    <w:p w14:paraId="3574BF9D">
      <w:pPr>
        <w:widowControl/>
        <w:spacing w:line="360" w:lineRule="auto"/>
        <w:rPr>
          <w:rFonts w:asciiTheme="minorEastAsia" w:hAnsiTheme="minorEastAsia" w:eastAsiaTheme="minorEastAsia" w:cstheme="minorEastAsia"/>
          <w:color w:val="auto"/>
          <w:sz w:val="44"/>
          <w:szCs w:val="44"/>
          <w:highlight w:val="none"/>
        </w:rPr>
      </w:pPr>
      <w:bookmarkStart w:id="0" w:name="_GoBack"/>
      <w:bookmarkEnd w:id="0"/>
    </w:p>
    <w:p w14:paraId="2D840CD0">
      <w:pPr>
        <w:pStyle w:val="65"/>
        <w:autoSpaceDN w:val="0"/>
        <w:jc w:val="center"/>
        <w:rPr>
          <w:rFonts w:asciiTheme="minorEastAsia" w:hAnsiTheme="minorEastAsia" w:eastAsiaTheme="minorEastAsia" w:cstheme="minorEastAsia"/>
          <w:b/>
          <w:color w:val="auto"/>
          <w:sz w:val="44"/>
          <w:szCs w:val="44"/>
          <w:highlight w:val="none"/>
        </w:rPr>
      </w:pPr>
      <w:r>
        <w:rPr>
          <w:rFonts w:hint="eastAsia" w:asciiTheme="minorEastAsia" w:hAnsiTheme="minorEastAsia" w:eastAsiaTheme="minorEastAsia" w:cstheme="minorEastAsia"/>
          <w:b/>
          <w:color w:val="auto"/>
          <w:sz w:val="44"/>
          <w:szCs w:val="44"/>
          <w:highlight w:val="none"/>
        </w:rPr>
        <w:t>开元壹号62#地块</w:t>
      </w:r>
    </w:p>
    <w:p w14:paraId="527639AB">
      <w:pPr>
        <w:pStyle w:val="65"/>
        <w:autoSpaceDN w:val="0"/>
        <w:jc w:val="center"/>
        <w:rPr>
          <w:rFonts w:asciiTheme="minorEastAsia" w:hAnsiTheme="minorEastAsia" w:eastAsiaTheme="minorEastAsia" w:cstheme="minorEastAsia"/>
          <w:b/>
          <w:color w:val="auto"/>
          <w:sz w:val="44"/>
          <w:szCs w:val="44"/>
          <w:highlight w:val="none"/>
        </w:rPr>
      </w:pPr>
      <w:r>
        <w:rPr>
          <w:rFonts w:hint="eastAsia" w:asciiTheme="minorEastAsia" w:hAnsiTheme="minorEastAsia" w:eastAsiaTheme="minorEastAsia" w:cstheme="minorEastAsia"/>
          <w:b/>
          <w:color w:val="auto"/>
          <w:sz w:val="44"/>
          <w:szCs w:val="44"/>
          <w:highlight w:val="none"/>
        </w:rPr>
        <w:t>50#公寓样板层公区装饰工程施工合同</w:t>
      </w:r>
    </w:p>
    <w:p w14:paraId="719151A1">
      <w:pPr>
        <w:autoSpaceDN w:val="0"/>
        <w:spacing w:line="500" w:lineRule="exact"/>
        <w:ind w:firstLine="2280" w:firstLineChars="539"/>
        <w:rPr>
          <w:rFonts w:asciiTheme="minorEastAsia" w:hAnsiTheme="minorEastAsia" w:eastAsiaTheme="minorEastAsia" w:cstheme="minorEastAsia"/>
          <w:b/>
          <w:color w:val="auto"/>
          <w:sz w:val="44"/>
          <w:szCs w:val="44"/>
          <w:highlight w:val="none"/>
        </w:rPr>
      </w:pPr>
    </w:p>
    <w:p w14:paraId="5A0FC4E4">
      <w:pPr>
        <w:autoSpaceDN w:val="0"/>
        <w:spacing w:line="500" w:lineRule="exact"/>
        <w:ind w:firstLine="1692" w:firstLineChars="400"/>
        <w:rPr>
          <w:rFonts w:asciiTheme="minorEastAsia" w:hAnsiTheme="minorEastAsia" w:eastAsiaTheme="minorEastAsia" w:cstheme="minorEastAsia"/>
          <w:b/>
          <w:color w:val="auto"/>
          <w:sz w:val="44"/>
          <w:szCs w:val="44"/>
          <w:highlight w:val="none"/>
        </w:rPr>
      </w:pPr>
    </w:p>
    <w:p w14:paraId="58DD3BCB">
      <w:pPr>
        <w:autoSpaceDN w:val="0"/>
        <w:spacing w:line="500" w:lineRule="exact"/>
        <w:ind w:firstLine="2027" w:firstLineChars="1050"/>
        <w:rPr>
          <w:rFonts w:asciiTheme="minorEastAsia" w:hAnsiTheme="minorEastAsia" w:eastAsiaTheme="minorEastAsia" w:cstheme="minorEastAsia"/>
          <w:b/>
          <w:color w:val="auto"/>
          <w:szCs w:val="21"/>
          <w:highlight w:val="none"/>
        </w:rPr>
      </w:pPr>
    </w:p>
    <w:p w14:paraId="3C0739D3">
      <w:pPr>
        <w:autoSpaceDN w:val="0"/>
        <w:spacing w:line="500" w:lineRule="exact"/>
        <w:ind w:firstLine="789" w:firstLineChars="300"/>
        <w:rPr>
          <w:rFonts w:asciiTheme="minorEastAsia" w:hAnsiTheme="minorEastAsia" w:eastAsiaTheme="minorEastAsia" w:cstheme="minorEastAsia"/>
          <w:b/>
          <w:color w:val="auto"/>
          <w:sz w:val="28"/>
          <w:szCs w:val="28"/>
          <w:highlight w:val="none"/>
        </w:rPr>
      </w:pPr>
    </w:p>
    <w:p w14:paraId="1B226148">
      <w:pPr>
        <w:autoSpaceDN w:val="0"/>
        <w:spacing w:line="500" w:lineRule="exact"/>
        <w:ind w:firstLine="789" w:firstLineChars="300"/>
        <w:rPr>
          <w:rFonts w:asciiTheme="minorEastAsia" w:hAnsiTheme="minorEastAsia" w:eastAsiaTheme="minorEastAsia" w:cstheme="minorEastAsia"/>
          <w:b/>
          <w:color w:val="auto"/>
          <w:sz w:val="28"/>
          <w:szCs w:val="28"/>
          <w:highlight w:val="none"/>
        </w:rPr>
      </w:pPr>
    </w:p>
    <w:p w14:paraId="1584B017">
      <w:pPr>
        <w:autoSpaceDN w:val="0"/>
        <w:spacing w:line="500" w:lineRule="exact"/>
        <w:ind w:firstLine="1652" w:firstLineChars="545"/>
        <w:rPr>
          <w:rFonts w:asciiTheme="minorEastAsia" w:hAnsiTheme="minorEastAsia" w:eastAsiaTheme="minorEastAsia" w:cstheme="minorEastAsia"/>
          <w:b/>
          <w:color w:val="auto"/>
          <w:sz w:val="32"/>
          <w:szCs w:val="32"/>
          <w:highlight w:val="none"/>
        </w:rPr>
      </w:pPr>
    </w:p>
    <w:p w14:paraId="03A24892">
      <w:pPr>
        <w:autoSpaceDN w:val="0"/>
        <w:spacing w:line="500" w:lineRule="exact"/>
        <w:ind w:firstLine="1652" w:firstLineChars="545"/>
        <w:rPr>
          <w:rFonts w:asciiTheme="minorEastAsia" w:hAnsiTheme="minorEastAsia" w:eastAsiaTheme="minorEastAsia" w:cstheme="minorEastAsia"/>
          <w:b/>
          <w:color w:val="auto"/>
          <w:sz w:val="32"/>
          <w:szCs w:val="32"/>
          <w:highlight w:val="none"/>
        </w:rPr>
      </w:pPr>
    </w:p>
    <w:p w14:paraId="10CCB3EF">
      <w:pPr>
        <w:autoSpaceDN w:val="0"/>
        <w:spacing w:line="500" w:lineRule="exact"/>
        <w:rPr>
          <w:rFonts w:asciiTheme="minorEastAsia" w:hAnsiTheme="minorEastAsia" w:eastAsiaTheme="minorEastAsia" w:cstheme="minorEastAsia"/>
          <w:b/>
          <w:color w:val="auto"/>
          <w:sz w:val="32"/>
          <w:szCs w:val="32"/>
          <w:highlight w:val="none"/>
        </w:rPr>
      </w:pPr>
    </w:p>
    <w:p w14:paraId="419CB755">
      <w:pPr>
        <w:autoSpaceDN w:val="0"/>
        <w:spacing w:line="500" w:lineRule="exact"/>
        <w:ind w:firstLine="1652" w:firstLineChars="545"/>
        <w:rPr>
          <w:rFonts w:asciiTheme="minorEastAsia" w:hAnsiTheme="minorEastAsia" w:eastAsiaTheme="minorEastAsia" w:cstheme="minorEastAsia"/>
          <w:b/>
          <w:color w:val="auto"/>
          <w:sz w:val="32"/>
          <w:szCs w:val="32"/>
          <w:highlight w:val="none"/>
        </w:rPr>
      </w:pPr>
    </w:p>
    <w:p w14:paraId="09504DD7">
      <w:pPr>
        <w:tabs>
          <w:tab w:val="left" w:pos="6720"/>
        </w:tabs>
        <w:autoSpaceDN w:val="0"/>
        <w:spacing w:line="500" w:lineRule="exact"/>
        <w:ind w:firstLine="2104" w:firstLineChars="800"/>
        <w:rPr>
          <w:rFonts w:hint="default"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rPr>
        <w:t>合同编号：KYYH.62-</w:t>
      </w:r>
      <w:r>
        <w:rPr>
          <w:rFonts w:hint="eastAsia" w:asciiTheme="minorEastAsia" w:hAnsiTheme="minorEastAsia" w:eastAsiaTheme="minorEastAsia" w:cstheme="minorEastAsia"/>
          <w:b/>
          <w:color w:val="auto"/>
          <w:sz w:val="28"/>
          <w:szCs w:val="28"/>
          <w:highlight w:val="none"/>
          <w:lang w:val="en-US" w:eastAsia="zh-CN"/>
        </w:rPr>
        <w:t>JA-194</w:t>
      </w:r>
    </w:p>
    <w:p w14:paraId="03E496D2">
      <w:pPr>
        <w:autoSpaceDN w:val="0"/>
        <w:spacing w:line="500" w:lineRule="exact"/>
        <w:ind w:firstLine="2104" w:firstLineChars="800"/>
        <w:rPr>
          <w:rFonts w:hint="default"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rPr>
        <w:t>成本科目：</w:t>
      </w:r>
      <w:r>
        <w:rPr>
          <w:rFonts w:hint="eastAsia" w:asciiTheme="minorEastAsia" w:hAnsiTheme="minorEastAsia" w:eastAsiaTheme="minorEastAsia" w:cstheme="minorEastAsia"/>
          <w:b/>
          <w:color w:val="auto"/>
          <w:sz w:val="28"/>
          <w:szCs w:val="28"/>
          <w:highlight w:val="none"/>
          <w:lang w:val="en-US" w:eastAsia="zh-CN"/>
        </w:rPr>
        <w:t>3.3.1</w:t>
      </w:r>
    </w:p>
    <w:p w14:paraId="291BF5A0">
      <w:pPr>
        <w:autoSpaceDN w:val="0"/>
        <w:spacing w:line="440" w:lineRule="exact"/>
        <w:ind w:firstLine="737" w:firstLineChars="280"/>
        <w:rPr>
          <w:rFonts w:asciiTheme="minorEastAsia" w:hAnsiTheme="minorEastAsia" w:eastAsiaTheme="minorEastAsia" w:cstheme="minorEastAsia"/>
          <w:b/>
          <w:color w:val="auto"/>
          <w:sz w:val="28"/>
          <w:szCs w:val="28"/>
          <w:highlight w:val="none"/>
        </w:rPr>
      </w:pPr>
    </w:p>
    <w:p w14:paraId="0FA5EDCD">
      <w:pPr>
        <w:tabs>
          <w:tab w:val="left" w:pos="384"/>
        </w:tabs>
        <w:autoSpaceDN w:val="0"/>
        <w:spacing w:line="440" w:lineRule="exact"/>
        <w:ind w:firstLine="737" w:firstLineChars="280"/>
        <w:rPr>
          <w:rFonts w:asciiTheme="minorEastAsia" w:hAnsiTheme="minorEastAsia" w:eastAsiaTheme="minorEastAsia" w:cstheme="minorEastAsia"/>
          <w:b/>
          <w:color w:val="auto"/>
          <w:sz w:val="28"/>
          <w:szCs w:val="28"/>
          <w:highlight w:val="none"/>
        </w:rPr>
      </w:pPr>
    </w:p>
    <w:p w14:paraId="35D6B556">
      <w:pPr>
        <w:autoSpaceDN w:val="0"/>
        <w:spacing w:line="440" w:lineRule="exact"/>
        <w:ind w:firstLine="737" w:firstLineChars="280"/>
        <w:rPr>
          <w:rFonts w:asciiTheme="minorEastAsia" w:hAnsiTheme="minorEastAsia" w:eastAsiaTheme="minorEastAsia" w:cstheme="minorEastAsia"/>
          <w:b/>
          <w:color w:val="auto"/>
          <w:sz w:val="28"/>
          <w:szCs w:val="28"/>
          <w:highlight w:val="none"/>
        </w:rPr>
      </w:pPr>
    </w:p>
    <w:p w14:paraId="39454992">
      <w:pPr>
        <w:autoSpaceDN w:val="0"/>
        <w:spacing w:line="440" w:lineRule="exact"/>
        <w:ind w:firstLine="737" w:firstLineChars="280"/>
        <w:rPr>
          <w:rFonts w:asciiTheme="minorEastAsia" w:hAnsiTheme="minorEastAsia" w:eastAsiaTheme="minorEastAsia" w:cstheme="minorEastAsia"/>
          <w:b/>
          <w:color w:val="auto"/>
          <w:sz w:val="28"/>
          <w:szCs w:val="28"/>
          <w:highlight w:val="none"/>
        </w:rPr>
      </w:pPr>
    </w:p>
    <w:p w14:paraId="7B4CC47D">
      <w:pPr>
        <w:autoSpaceDN w:val="0"/>
        <w:spacing w:line="440" w:lineRule="exact"/>
        <w:ind w:firstLine="737" w:firstLineChars="280"/>
        <w:rPr>
          <w:rFonts w:asciiTheme="minorEastAsia" w:hAnsiTheme="minorEastAsia" w:eastAsiaTheme="minorEastAsia" w:cstheme="minorEastAsia"/>
          <w:b/>
          <w:color w:val="auto"/>
          <w:sz w:val="28"/>
          <w:szCs w:val="28"/>
          <w:highlight w:val="none"/>
        </w:rPr>
      </w:pPr>
    </w:p>
    <w:p w14:paraId="5BD3FD32">
      <w:pPr>
        <w:autoSpaceDN w:val="0"/>
        <w:spacing w:line="440" w:lineRule="exact"/>
        <w:ind w:firstLine="737" w:firstLineChars="280"/>
        <w:rPr>
          <w:rFonts w:asciiTheme="minorEastAsia" w:hAnsiTheme="minorEastAsia" w:eastAsiaTheme="minorEastAsia" w:cstheme="minorEastAsia"/>
          <w:b/>
          <w:color w:val="auto"/>
          <w:sz w:val="28"/>
          <w:szCs w:val="28"/>
          <w:highlight w:val="none"/>
        </w:rPr>
      </w:pPr>
    </w:p>
    <w:p w14:paraId="0DD0F170">
      <w:pPr>
        <w:autoSpaceDN w:val="0"/>
        <w:spacing w:line="440" w:lineRule="exact"/>
        <w:ind w:firstLine="737" w:firstLineChars="280"/>
        <w:rPr>
          <w:rFonts w:asciiTheme="minorEastAsia" w:hAnsiTheme="minorEastAsia" w:eastAsiaTheme="minorEastAsia" w:cstheme="minorEastAsia"/>
          <w:b/>
          <w:color w:val="auto"/>
          <w:sz w:val="28"/>
          <w:szCs w:val="28"/>
          <w:highlight w:val="none"/>
        </w:rPr>
      </w:pPr>
    </w:p>
    <w:p w14:paraId="3D8BBCFD">
      <w:pPr>
        <w:autoSpaceDN w:val="0"/>
        <w:spacing w:line="440" w:lineRule="exact"/>
        <w:ind w:firstLine="1657" w:firstLineChars="630"/>
        <w:rPr>
          <w:rFonts w:asciiTheme="minorEastAsia" w:hAnsiTheme="minorEastAsia" w:eastAsiaTheme="minorEastAsia" w:cstheme="minorEastAsia"/>
          <w:b/>
          <w:color w:val="auto"/>
          <w:sz w:val="28"/>
          <w:szCs w:val="28"/>
          <w:highlight w:val="none"/>
          <w:u w:val="single"/>
        </w:rPr>
      </w:pPr>
      <w:r>
        <w:rPr>
          <w:rFonts w:hint="eastAsia" w:asciiTheme="minorEastAsia" w:hAnsiTheme="minorEastAsia" w:eastAsiaTheme="minorEastAsia" w:cstheme="minorEastAsia"/>
          <w:b/>
          <w:color w:val="auto"/>
          <w:sz w:val="28"/>
          <w:szCs w:val="28"/>
          <w:highlight w:val="none"/>
        </w:rPr>
        <w:t>发 包 人:</w:t>
      </w:r>
      <w:r>
        <w:rPr>
          <w:rFonts w:hint="eastAsia" w:asciiTheme="minorEastAsia" w:hAnsiTheme="minorEastAsia" w:eastAsiaTheme="minorEastAsia" w:cstheme="minorEastAsia"/>
          <w:b/>
          <w:color w:val="auto"/>
          <w:sz w:val="28"/>
          <w:szCs w:val="28"/>
          <w:highlight w:val="none"/>
          <w:u w:val="single"/>
        </w:rPr>
        <w:t>洛阳浩德鑫置地有限公司</w:t>
      </w:r>
    </w:p>
    <w:p w14:paraId="3DF28494">
      <w:pPr>
        <w:autoSpaceDN w:val="0"/>
        <w:spacing w:line="440" w:lineRule="exact"/>
        <w:ind w:firstLine="1578" w:firstLineChars="600"/>
        <w:rPr>
          <w:rFonts w:asciiTheme="minorEastAsia" w:hAnsiTheme="minorEastAsia" w:eastAsiaTheme="minorEastAsia" w:cstheme="minorEastAsia"/>
          <w:b/>
          <w:color w:val="auto"/>
          <w:sz w:val="28"/>
          <w:szCs w:val="28"/>
          <w:highlight w:val="none"/>
          <w:u w:val="single"/>
        </w:rPr>
      </w:pPr>
      <w:r>
        <w:rPr>
          <w:rFonts w:hint="eastAsia" w:asciiTheme="minorEastAsia" w:hAnsiTheme="minorEastAsia" w:eastAsiaTheme="minorEastAsia" w:cstheme="minorEastAsia"/>
          <w:b/>
          <w:color w:val="auto"/>
          <w:sz w:val="28"/>
          <w:szCs w:val="28"/>
          <w:highlight w:val="none"/>
        </w:rPr>
        <w:t>承</w:t>
      </w:r>
      <w:r>
        <w:rPr>
          <w:rFonts w:asciiTheme="minorEastAsia" w:hAnsiTheme="minorEastAsia" w:eastAsiaTheme="minorEastAsia" w:cstheme="minorEastAsia"/>
          <w:b/>
          <w:color w:val="auto"/>
          <w:sz w:val="28"/>
          <w:szCs w:val="28"/>
          <w:highlight w:val="none"/>
        </w:rPr>
        <w:t xml:space="preserve"> </w:t>
      </w:r>
      <w:r>
        <w:rPr>
          <w:rFonts w:hint="eastAsia" w:asciiTheme="minorEastAsia" w:hAnsiTheme="minorEastAsia" w:eastAsiaTheme="minorEastAsia" w:cstheme="minorEastAsia"/>
          <w:b/>
          <w:color w:val="auto"/>
          <w:sz w:val="28"/>
          <w:szCs w:val="28"/>
          <w:highlight w:val="none"/>
        </w:rPr>
        <w:t>包</w:t>
      </w:r>
      <w:r>
        <w:rPr>
          <w:rFonts w:asciiTheme="minorEastAsia" w:hAnsiTheme="minorEastAsia" w:eastAsiaTheme="minorEastAsia" w:cstheme="minorEastAsia"/>
          <w:b/>
          <w:color w:val="auto"/>
          <w:sz w:val="28"/>
          <w:szCs w:val="28"/>
          <w:highlight w:val="none"/>
        </w:rPr>
        <w:t xml:space="preserve"> </w:t>
      </w:r>
      <w:r>
        <w:rPr>
          <w:rFonts w:hint="eastAsia" w:asciiTheme="minorEastAsia" w:hAnsiTheme="minorEastAsia" w:eastAsiaTheme="minorEastAsia" w:cstheme="minorEastAsia"/>
          <w:b/>
          <w:color w:val="auto"/>
          <w:sz w:val="28"/>
          <w:szCs w:val="28"/>
          <w:highlight w:val="none"/>
        </w:rPr>
        <w:t>人</w:t>
      </w:r>
      <w:r>
        <w:rPr>
          <w:rFonts w:asciiTheme="minorEastAsia" w:hAnsiTheme="minorEastAsia" w:eastAsiaTheme="minorEastAsia" w:cstheme="minorEastAsia"/>
          <w:b/>
          <w:color w:val="auto"/>
          <w:sz w:val="28"/>
          <w:szCs w:val="28"/>
          <w:highlight w:val="none"/>
        </w:rPr>
        <w:t>:</w:t>
      </w:r>
      <w:r>
        <w:rPr>
          <w:rFonts w:hint="eastAsia" w:asciiTheme="minorEastAsia" w:hAnsiTheme="minorEastAsia" w:eastAsiaTheme="minorEastAsia" w:cstheme="minorEastAsia"/>
          <w:b/>
          <w:color w:val="auto"/>
          <w:sz w:val="28"/>
          <w:szCs w:val="28"/>
          <w:highlight w:val="none"/>
          <w:u w:val="single"/>
        </w:rPr>
        <w:t>河南泰康建筑工程有限公司</w:t>
      </w:r>
    </w:p>
    <w:p w14:paraId="5C4E74F5">
      <w:pPr>
        <w:autoSpaceDN w:val="0"/>
        <w:spacing w:line="440" w:lineRule="exact"/>
        <w:rPr>
          <w:rFonts w:asciiTheme="minorEastAsia" w:hAnsiTheme="minorEastAsia" w:eastAsiaTheme="minorEastAsia" w:cstheme="minorEastAsia"/>
          <w:b/>
          <w:color w:val="auto"/>
          <w:kern w:val="0"/>
          <w:sz w:val="28"/>
          <w:szCs w:val="28"/>
          <w:highlight w:val="none"/>
        </w:rPr>
        <w:sectPr>
          <w:footerReference r:id="rId6" w:type="first"/>
          <w:headerReference r:id="rId3" w:type="default"/>
          <w:footerReference r:id="rId4" w:type="default"/>
          <w:footerReference r:id="rId5" w:type="even"/>
          <w:pgSz w:w="11850" w:h="16783"/>
          <w:pgMar w:top="1440" w:right="1410" w:bottom="1440" w:left="1040" w:header="720" w:footer="720" w:gutter="0"/>
          <w:pgNumType w:fmt="decimal" w:start="1"/>
          <w:cols w:space="720" w:num="1"/>
          <w:titlePg/>
          <w:docGrid w:type="linesAndChars" w:linePitch="285" w:charSpace="-3486"/>
        </w:sectPr>
      </w:pPr>
      <w:r>
        <w:rPr>
          <w:rFonts w:hint="eastAsia" w:asciiTheme="minorEastAsia" w:hAnsiTheme="minorEastAsia" w:eastAsiaTheme="minorEastAsia" w:cstheme="minorEastAsia"/>
          <w:b/>
          <w:color w:val="auto"/>
          <w:sz w:val="28"/>
          <w:szCs w:val="28"/>
          <w:highlight w:val="none"/>
        </w:rPr>
        <w:t xml:space="preserve">            签订日期: </w:t>
      </w:r>
      <w:r>
        <w:rPr>
          <w:rFonts w:hint="eastAsia" w:asciiTheme="minorEastAsia" w:hAnsiTheme="minorEastAsia" w:eastAsiaTheme="minorEastAsia" w:cstheme="minorEastAsia"/>
          <w:b/>
          <w:color w:val="auto"/>
          <w:sz w:val="28"/>
          <w:szCs w:val="28"/>
          <w:highlight w:val="none"/>
          <w:u w:val="single"/>
        </w:rPr>
        <w:t>2024年</w:t>
      </w:r>
      <w:r>
        <w:rPr>
          <w:rFonts w:hint="eastAsia" w:asciiTheme="minorEastAsia" w:hAnsiTheme="minorEastAsia" w:eastAsiaTheme="minorEastAsia" w:cstheme="minorEastAsia"/>
          <w:b/>
          <w:color w:val="auto"/>
          <w:sz w:val="28"/>
          <w:szCs w:val="28"/>
          <w:highlight w:val="none"/>
          <w:u w:val="single"/>
          <w:lang w:val="en-US" w:eastAsia="zh-CN"/>
        </w:rPr>
        <w:t>11</w:t>
      </w:r>
      <w:r>
        <w:rPr>
          <w:rFonts w:hint="eastAsia" w:asciiTheme="minorEastAsia" w:hAnsiTheme="minorEastAsia" w:eastAsiaTheme="minorEastAsia" w:cstheme="minorEastAsia"/>
          <w:b/>
          <w:color w:val="auto"/>
          <w:sz w:val="28"/>
          <w:szCs w:val="28"/>
          <w:highlight w:val="none"/>
          <w:u w:val="single"/>
        </w:rPr>
        <w:t>月</w:t>
      </w:r>
      <w:r>
        <w:rPr>
          <w:rFonts w:hint="eastAsia" w:asciiTheme="minorEastAsia" w:hAnsiTheme="minorEastAsia" w:eastAsiaTheme="minorEastAsia" w:cstheme="minorEastAsia"/>
          <w:b/>
          <w:color w:val="auto"/>
          <w:sz w:val="28"/>
          <w:szCs w:val="28"/>
          <w:highlight w:val="none"/>
          <w:u w:val="single"/>
          <w:lang w:val="en-US" w:eastAsia="zh-CN"/>
        </w:rPr>
        <w:t>20</w:t>
      </w:r>
      <w:r>
        <w:rPr>
          <w:rFonts w:hint="eastAsia" w:asciiTheme="minorEastAsia" w:hAnsiTheme="minorEastAsia" w:eastAsiaTheme="minorEastAsia" w:cstheme="minorEastAsia"/>
          <w:b/>
          <w:color w:val="auto"/>
          <w:sz w:val="28"/>
          <w:szCs w:val="28"/>
          <w:highlight w:val="none"/>
          <w:u w:val="single"/>
        </w:rPr>
        <w:t xml:space="preserve">日 </w:t>
      </w:r>
    </w:p>
    <w:p w14:paraId="5E01CA7F">
      <w:pPr>
        <w:pStyle w:val="65"/>
        <w:autoSpaceDN w:val="0"/>
        <w:ind w:firstLine="909" w:firstLineChars="300"/>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开元壹号62#地块50#公寓样板层公区装饰工程</w:t>
      </w:r>
      <w:r>
        <w:rPr>
          <w:rFonts w:hint="eastAsia" w:asciiTheme="minorEastAsia" w:hAnsiTheme="minorEastAsia" w:eastAsiaTheme="minorEastAsia" w:cstheme="minorEastAsia"/>
          <w:b/>
          <w:bCs/>
          <w:vanish/>
          <w:color w:val="auto"/>
          <w:sz w:val="32"/>
          <w:szCs w:val="32"/>
          <w:highlight w:val="none"/>
        </w:rPr>
        <w:t>工合同周边围护措施不到位或考虑不周造成的损失由乙方自行承担</w:t>
      </w:r>
      <w:r>
        <w:rPr>
          <w:rFonts w:hint="eastAsia" w:asciiTheme="minorEastAsia" w:hAnsiTheme="minorEastAsia" w:eastAsiaTheme="minorEastAsia" w:cstheme="minorEastAsia"/>
          <w:b/>
          <w:bCs/>
          <w:color w:val="auto"/>
          <w:sz w:val="32"/>
          <w:szCs w:val="32"/>
          <w:highlight w:val="none"/>
        </w:rPr>
        <w:t>施工合同</w:t>
      </w:r>
    </w:p>
    <w:p w14:paraId="0AD2969A">
      <w:pPr>
        <w:tabs>
          <w:tab w:val="left" w:pos="1080"/>
        </w:tabs>
        <w:autoSpaceDN w:val="0"/>
        <w:snapToGrid w:val="0"/>
        <w:spacing w:line="500" w:lineRule="exact"/>
        <w:rPr>
          <w:rFonts w:asciiTheme="minorEastAsia" w:hAnsiTheme="minorEastAsia" w:eastAsiaTheme="minorEastAsia" w:cstheme="minorEastAsia"/>
          <w:b/>
          <w:bCs/>
          <w:color w:val="auto"/>
          <w:kern w:val="24"/>
          <w:sz w:val="24"/>
          <w:szCs w:val="24"/>
          <w:highlight w:val="none"/>
          <w:u w:val="single"/>
        </w:rPr>
      </w:pPr>
      <w:r>
        <w:rPr>
          <w:rFonts w:hint="eastAsia" w:asciiTheme="minorEastAsia" w:hAnsiTheme="minorEastAsia" w:eastAsiaTheme="minorEastAsia" w:cstheme="minorEastAsia"/>
          <w:b/>
          <w:bCs/>
          <w:color w:val="auto"/>
          <w:kern w:val="24"/>
          <w:sz w:val="24"/>
          <w:szCs w:val="24"/>
          <w:highlight w:val="none"/>
        </w:rPr>
        <w:t>发包人：</w:t>
      </w:r>
      <w:r>
        <w:rPr>
          <w:rFonts w:hint="eastAsia" w:asciiTheme="minorEastAsia" w:hAnsiTheme="minorEastAsia" w:eastAsiaTheme="minorEastAsia" w:cstheme="minorEastAsia"/>
          <w:b/>
          <w:bCs/>
          <w:color w:val="auto"/>
          <w:kern w:val="24"/>
          <w:sz w:val="24"/>
          <w:szCs w:val="24"/>
          <w:highlight w:val="none"/>
          <w:u w:val="single"/>
        </w:rPr>
        <w:t>洛阳浩德鑫置地有限公司（以下简称甲方）</w:t>
      </w:r>
    </w:p>
    <w:p w14:paraId="366453F0">
      <w:pPr>
        <w:tabs>
          <w:tab w:val="left" w:pos="1080"/>
        </w:tabs>
        <w:autoSpaceDN w:val="0"/>
        <w:snapToGrid w:val="0"/>
        <w:spacing w:line="500" w:lineRule="exact"/>
        <w:rPr>
          <w:rFonts w:asciiTheme="minorEastAsia" w:hAnsiTheme="minorEastAsia" w:eastAsiaTheme="minorEastAsia" w:cstheme="minorEastAsia"/>
          <w:b/>
          <w:bCs/>
          <w:color w:val="auto"/>
          <w:kern w:val="24"/>
          <w:sz w:val="24"/>
          <w:szCs w:val="24"/>
          <w:highlight w:val="none"/>
          <w:u w:val="single"/>
        </w:rPr>
      </w:pPr>
      <w:r>
        <w:rPr>
          <w:rFonts w:hint="eastAsia" w:asciiTheme="minorEastAsia" w:hAnsiTheme="minorEastAsia" w:eastAsiaTheme="minorEastAsia" w:cstheme="minorEastAsia"/>
          <w:b/>
          <w:bCs/>
          <w:color w:val="auto"/>
          <w:kern w:val="24"/>
          <w:sz w:val="24"/>
          <w:szCs w:val="24"/>
          <w:highlight w:val="none"/>
          <w:u w:val="single"/>
        </w:rPr>
        <w:t xml:space="preserve">统一社会信用代码：914103005542480325 </w:t>
      </w:r>
    </w:p>
    <w:p w14:paraId="4019A6E1">
      <w:pPr>
        <w:tabs>
          <w:tab w:val="left" w:pos="1080"/>
        </w:tabs>
        <w:autoSpaceDN w:val="0"/>
        <w:snapToGrid w:val="0"/>
        <w:spacing w:line="360" w:lineRule="auto"/>
        <w:rPr>
          <w:rFonts w:asciiTheme="minorEastAsia" w:hAnsiTheme="minorEastAsia" w:eastAsiaTheme="minorEastAsia" w:cstheme="minorEastAsia"/>
          <w:b/>
          <w:bCs/>
          <w:color w:val="auto"/>
          <w:kern w:val="24"/>
          <w:sz w:val="24"/>
          <w:szCs w:val="24"/>
          <w:highlight w:val="none"/>
          <w:u w:val="single"/>
        </w:rPr>
      </w:pPr>
      <w:r>
        <w:rPr>
          <w:rFonts w:hint="eastAsia" w:asciiTheme="minorEastAsia" w:hAnsiTheme="minorEastAsia" w:eastAsiaTheme="minorEastAsia" w:cstheme="minorEastAsia"/>
          <w:b/>
          <w:bCs/>
          <w:color w:val="auto"/>
          <w:kern w:val="24"/>
          <w:sz w:val="24"/>
          <w:szCs w:val="24"/>
          <w:highlight w:val="none"/>
        </w:rPr>
        <w:t>承包人：</w:t>
      </w:r>
      <w:r>
        <w:rPr>
          <w:rFonts w:hint="eastAsia" w:asciiTheme="minorEastAsia" w:hAnsiTheme="minorEastAsia" w:eastAsiaTheme="minorEastAsia" w:cstheme="minorEastAsia"/>
          <w:b/>
          <w:color w:val="auto"/>
          <w:sz w:val="24"/>
          <w:szCs w:val="24"/>
          <w:highlight w:val="none"/>
          <w:u w:val="single"/>
        </w:rPr>
        <w:t>河南泰康建筑工程有限公司</w:t>
      </w:r>
      <w:r>
        <w:rPr>
          <w:rFonts w:hint="eastAsia" w:asciiTheme="minorEastAsia" w:hAnsiTheme="minorEastAsia" w:eastAsiaTheme="minorEastAsia" w:cstheme="minorEastAsia"/>
          <w:b/>
          <w:bCs/>
          <w:color w:val="auto"/>
          <w:kern w:val="24"/>
          <w:sz w:val="24"/>
          <w:szCs w:val="24"/>
          <w:highlight w:val="none"/>
          <w:u w:val="single"/>
        </w:rPr>
        <w:t>（以下简称乙方）</w:t>
      </w:r>
    </w:p>
    <w:p w14:paraId="48FDB811">
      <w:pPr>
        <w:tabs>
          <w:tab w:val="left" w:pos="1080"/>
        </w:tabs>
        <w:autoSpaceDN w:val="0"/>
        <w:snapToGrid w:val="0"/>
        <w:spacing w:line="360" w:lineRule="auto"/>
        <w:rPr>
          <w:rFonts w:asciiTheme="minorEastAsia" w:hAnsiTheme="minorEastAsia" w:eastAsiaTheme="minorEastAsia" w:cstheme="minorEastAsia"/>
          <w:b/>
          <w:bCs/>
          <w:color w:val="auto"/>
          <w:kern w:val="24"/>
          <w:sz w:val="24"/>
          <w:szCs w:val="24"/>
          <w:highlight w:val="none"/>
          <w:u w:val="single"/>
        </w:rPr>
      </w:pPr>
      <w:r>
        <w:rPr>
          <w:rFonts w:hint="eastAsia" w:asciiTheme="minorEastAsia" w:hAnsiTheme="minorEastAsia" w:eastAsiaTheme="minorEastAsia" w:cstheme="minorEastAsia"/>
          <w:b/>
          <w:bCs/>
          <w:color w:val="auto"/>
          <w:kern w:val="24"/>
          <w:sz w:val="24"/>
          <w:szCs w:val="24"/>
          <w:highlight w:val="none"/>
          <w:u w:val="single"/>
        </w:rPr>
        <w:t>统一社会信用代码：</w:t>
      </w:r>
      <w:r>
        <w:rPr>
          <w:rFonts w:hint="eastAsia" w:asciiTheme="minorEastAsia" w:hAnsiTheme="minorEastAsia" w:eastAsiaTheme="minorEastAsia" w:cstheme="minorEastAsia"/>
          <w:b/>
          <w:bCs/>
          <w:color w:val="auto"/>
          <w:kern w:val="24"/>
          <w:sz w:val="24"/>
          <w:szCs w:val="24"/>
          <w:highlight w:val="none"/>
          <w:u w:val="single"/>
          <w:shd w:val="clear" w:color="auto" w:fill="auto"/>
        </w:rPr>
        <w:t>91410105576302124N</w:t>
      </w:r>
    </w:p>
    <w:p w14:paraId="5EB16475">
      <w:pPr>
        <w:tabs>
          <w:tab w:val="left" w:pos="1080"/>
        </w:tabs>
        <w:autoSpaceDN w:val="0"/>
        <w:adjustRightInd w:val="0"/>
        <w:snapToGrid w:val="0"/>
        <w:spacing w:line="360" w:lineRule="auto"/>
        <w:ind w:firstLine="446" w:firstLineChars="200"/>
        <w:rPr>
          <w:rFonts w:asciiTheme="minorEastAsia" w:hAnsiTheme="minorEastAsia" w:eastAsiaTheme="minorEastAsia" w:cstheme="minorEastAsia"/>
          <w:color w:val="auto"/>
          <w:kern w:val="24"/>
          <w:sz w:val="24"/>
          <w:szCs w:val="24"/>
          <w:highlight w:val="none"/>
        </w:rPr>
      </w:pPr>
      <w:r>
        <w:rPr>
          <w:rFonts w:hint="eastAsia" w:asciiTheme="minorEastAsia" w:hAnsiTheme="minorEastAsia" w:eastAsiaTheme="minorEastAsia" w:cstheme="minorEastAsia"/>
          <w:color w:val="auto"/>
          <w:kern w:val="24"/>
          <w:sz w:val="24"/>
          <w:szCs w:val="24"/>
          <w:highlight w:val="none"/>
        </w:rPr>
        <w:t>依照《中华人民共和国民法典》、《中华人民共和国建筑法》、</w:t>
      </w:r>
      <w:r>
        <w:rPr>
          <w:rFonts w:hint="eastAsia" w:asciiTheme="minorEastAsia" w:hAnsiTheme="minorEastAsia" w:eastAsiaTheme="minorEastAsia" w:cstheme="minorEastAsia"/>
          <w:color w:val="auto"/>
          <w:sz w:val="24"/>
          <w:szCs w:val="24"/>
          <w:highlight w:val="none"/>
        </w:rPr>
        <w:t>《建设工程质量管理条例》</w:t>
      </w:r>
      <w:r>
        <w:rPr>
          <w:rFonts w:hint="eastAsia" w:asciiTheme="minorEastAsia" w:hAnsiTheme="minorEastAsia" w:eastAsiaTheme="minorEastAsia" w:cstheme="minorEastAsia"/>
          <w:color w:val="auto"/>
          <w:kern w:val="24"/>
          <w:sz w:val="24"/>
          <w:szCs w:val="24"/>
          <w:highlight w:val="none"/>
        </w:rPr>
        <w:t>及其他有关法律、行政法规，遵循平等、自愿、公平和诚实信用的原则，双方经协商一致订立本合同。</w:t>
      </w:r>
    </w:p>
    <w:p w14:paraId="110FD9D9">
      <w:pPr>
        <w:pStyle w:val="7"/>
        <w:numPr>
          <w:ilvl w:val="4"/>
          <w:numId w:val="0"/>
        </w:numPr>
        <w:tabs>
          <w:tab w:val="left" w:pos="3600"/>
          <w:tab w:val="clear" w:pos="0"/>
        </w:tabs>
        <w:autoSpaceDN w:val="0"/>
        <w:snapToGrid w:val="0"/>
        <w:spacing w:before="0" w:after="0" w:line="360" w:lineRule="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第一条：工程概况</w:t>
      </w:r>
    </w:p>
    <w:p w14:paraId="21B13738">
      <w:pPr>
        <w:tabs>
          <w:tab w:val="left" w:pos="1080"/>
        </w:tabs>
        <w:autoSpaceDN w:val="0"/>
        <w:adjustRightInd w:val="0"/>
        <w:snapToGrid w:val="0"/>
        <w:spacing w:line="360" w:lineRule="auto"/>
        <w:ind w:firstLine="223" w:firstLineChars="1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1、工程名称：开元壹号62#地块50#公寓样板层公区装饰工程</w:t>
      </w:r>
    </w:p>
    <w:p w14:paraId="5E607156">
      <w:pPr>
        <w:autoSpaceDN w:val="0"/>
        <w:spacing w:line="360" w:lineRule="auto"/>
        <w:ind w:firstLine="223" w:firstLineChars="1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2、工程地点：洛阳市洛龙区开元大道与汇通街交汇处东南侧</w:t>
      </w:r>
    </w:p>
    <w:p w14:paraId="502C6C94">
      <w:pPr>
        <w:widowControl/>
        <w:spacing w:before="4" w:line="360" w:lineRule="auto"/>
        <w:ind w:firstLine="223" w:firstLineChars="1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3、工程内容：开元壹号62#地块50#公寓</w:t>
      </w:r>
      <w:r>
        <w:rPr>
          <w:rFonts w:hint="eastAsia" w:asciiTheme="minorEastAsia" w:hAnsiTheme="minorEastAsia" w:eastAsiaTheme="minorEastAsia" w:cstheme="minorEastAsia"/>
          <w:color w:val="auto"/>
          <w:sz w:val="24"/>
          <w:szCs w:val="24"/>
          <w:highlight w:val="none"/>
          <w:lang w:val="en-US" w:eastAsia="zh-CN"/>
        </w:rPr>
        <w:t>28楼</w:t>
      </w:r>
      <w:r>
        <w:rPr>
          <w:rFonts w:hint="eastAsia" w:asciiTheme="minorEastAsia" w:hAnsiTheme="minorEastAsia" w:eastAsiaTheme="minorEastAsia" w:cstheme="minorEastAsia"/>
          <w:color w:val="auto"/>
          <w:sz w:val="24"/>
          <w:szCs w:val="24"/>
          <w:highlight w:val="none"/>
        </w:rPr>
        <w:t>样板层公区装饰工程的全部工作内容。</w:t>
      </w:r>
    </w:p>
    <w:p w14:paraId="13275DA7">
      <w:pPr>
        <w:autoSpaceDN w:val="0"/>
        <w:spacing w:line="360" w:lineRule="auto"/>
        <w:jc w:val="left"/>
        <w:rPr>
          <w:rFonts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第二条：承包范围：</w:t>
      </w:r>
    </w:p>
    <w:p w14:paraId="4A2ECE3C">
      <w:pPr>
        <w:widowControl/>
        <w:spacing w:before="4" w:line="360" w:lineRule="auto"/>
        <w:ind w:firstLine="446" w:firstLineChars="200"/>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开元壹号62#地块50#公寓</w:t>
      </w:r>
      <w:r>
        <w:rPr>
          <w:rFonts w:hint="eastAsia" w:asciiTheme="minorEastAsia" w:hAnsiTheme="minorEastAsia" w:eastAsiaTheme="minorEastAsia" w:cstheme="minorEastAsia"/>
          <w:color w:val="auto"/>
          <w:sz w:val="24"/>
          <w:szCs w:val="24"/>
          <w:highlight w:val="none"/>
          <w:lang w:val="en-US" w:eastAsia="zh-CN"/>
        </w:rPr>
        <w:t>28楼</w:t>
      </w:r>
      <w:r>
        <w:rPr>
          <w:rFonts w:hint="eastAsia" w:asciiTheme="minorEastAsia" w:hAnsiTheme="minorEastAsia" w:eastAsiaTheme="minorEastAsia" w:cstheme="minorEastAsia"/>
          <w:color w:val="auto"/>
          <w:sz w:val="24"/>
          <w:szCs w:val="24"/>
          <w:highlight w:val="none"/>
        </w:rPr>
        <w:t>样板层公区装饰工程</w:t>
      </w:r>
      <w:r>
        <w:rPr>
          <w:rFonts w:hint="eastAsia" w:asciiTheme="minorEastAsia" w:hAnsiTheme="minorEastAsia" w:eastAsiaTheme="minorEastAsia" w:cstheme="minorEastAsia"/>
          <w:color w:val="auto"/>
          <w:sz w:val="24"/>
          <w:szCs w:val="24"/>
          <w:highlight w:val="none"/>
          <w:lang w:eastAsia="zh-CN"/>
        </w:rPr>
        <w:t>及后增加</w:t>
      </w:r>
      <w:r>
        <w:rPr>
          <w:rFonts w:hint="eastAsia" w:asciiTheme="minorEastAsia" w:hAnsiTheme="minorEastAsia" w:eastAsiaTheme="minorEastAsia" w:cstheme="minorEastAsia"/>
          <w:color w:val="auto"/>
          <w:sz w:val="24"/>
          <w:szCs w:val="24"/>
          <w:highlight w:val="none"/>
        </w:rPr>
        <w:t>的全部工作内容，且不限于图纸中未深化到位的交接点的处理等所有需二次深化的施工内容亦在此次承包范围内，</w:t>
      </w:r>
      <w:r>
        <w:rPr>
          <w:rFonts w:hint="eastAsia" w:asciiTheme="minorEastAsia" w:hAnsiTheme="minorEastAsia" w:eastAsiaTheme="minorEastAsia" w:cstheme="minorEastAsia"/>
          <w:color w:val="auto"/>
          <w:sz w:val="24"/>
          <w:szCs w:val="24"/>
          <w:highlight w:val="none"/>
          <w:lang w:val="en-US" w:eastAsia="zh-CN"/>
        </w:rPr>
        <w:t>图纸中</w:t>
      </w:r>
      <w:r>
        <w:rPr>
          <w:rFonts w:hint="eastAsia" w:asciiTheme="minorEastAsia" w:hAnsiTheme="minorEastAsia" w:eastAsiaTheme="minorEastAsia" w:cstheme="minorEastAsia"/>
          <w:color w:val="auto"/>
          <w:sz w:val="24"/>
          <w:szCs w:val="24"/>
          <w:highlight w:val="none"/>
        </w:rPr>
        <w:t>明确注明不在此次承包范围内的工程除外。</w:t>
      </w:r>
    </w:p>
    <w:p w14:paraId="1CFFAD37">
      <w:pPr>
        <w:autoSpaceDN w:val="0"/>
        <w:spacing w:line="360" w:lineRule="auto"/>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1、图纸中所包含的室内</w:t>
      </w:r>
      <w:r>
        <w:rPr>
          <w:rFonts w:hint="eastAsia" w:asciiTheme="minorEastAsia" w:hAnsiTheme="minorEastAsia" w:eastAsiaTheme="minorEastAsia" w:cstheme="minorEastAsia"/>
          <w:color w:val="auto"/>
          <w:sz w:val="24"/>
          <w:szCs w:val="24"/>
          <w:highlight w:val="none"/>
          <w:lang w:eastAsia="zh-CN"/>
        </w:rPr>
        <w:t>公</w:t>
      </w:r>
      <w:r>
        <w:rPr>
          <w:rFonts w:hint="eastAsia" w:asciiTheme="minorEastAsia" w:hAnsiTheme="minorEastAsia" w:eastAsiaTheme="minorEastAsia" w:cstheme="minorEastAsia"/>
          <w:color w:val="auto"/>
          <w:sz w:val="24"/>
          <w:szCs w:val="24"/>
          <w:highlight w:val="none"/>
        </w:rPr>
        <w:t>区装修工程：由乙方负责对施工图纸范围内所包含的灯具以及配电箱以后的电气穿线、开关插座进行供货、安装及调试；水路改造、安装工程及线路敷设、安装及调试等工程；</w:t>
      </w:r>
    </w:p>
    <w:p w14:paraId="498AB272">
      <w:pPr>
        <w:autoSpaceDN w:val="0"/>
        <w:spacing w:line="360" w:lineRule="auto"/>
        <w:jc w:val="left"/>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2、图纸中所包含的墙面、地面、天花的装饰工程，所有固定木作、油漆、涂料、</w:t>
      </w:r>
      <w:r>
        <w:rPr>
          <w:rFonts w:hint="eastAsia" w:asciiTheme="minorEastAsia" w:hAnsiTheme="minorEastAsia" w:eastAsiaTheme="minorEastAsia" w:cstheme="minorEastAsia"/>
          <w:color w:val="auto"/>
          <w:sz w:val="24"/>
          <w:szCs w:val="24"/>
          <w:highlight w:val="none"/>
          <w:lang w:eastAsia="zh-CN"/>
        </w:rPr>
        <w:t>门套</w:t>
      </w:r>
      <w:r>
        <w:rPr>
          <w:rFonts w:hint="eastAsia" w:asciiTheme="minorEastAsia" w:hAnsiTheme="minorEastAsia" w:eastAsiaTheme="minorEastAsia" w:cstheme="minorEastAsia"/>
          <w:color w:val="auto"/>
          <w:sz w:val="24"/>
          <w:szCs w:val="24"/>
          <w:highlight w:val="none"/>
        </w:rPr>
        <w:t>等工程；</w:t>
      </w:r>
    </w:p>
    <w:p w14:paraId="5A18681B">
      <w:pPr>
        <w:pStyle w:val="52"/>
        <w:spacing w:line="360" w:lineRule="auto"/>
        <w:ind w:firstLine="0" w:firstLineChars="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3、甲方另行增加的其他项目</w:t>
      </w:r>
      <w:r>
        <w:rPr>
          <w:rFonts w:hint="eastAsia" w:asciiTheme="minorEastAsia" w:hAnsiTheme="minorEastAsia" w:eastAsiaTheme="minorEastAsia" w:cstheme="minorEastAsia"/>
          <w:color w:val="auto"/>
          <w:sz w:val="24"/>
          <w:szCs w:val="24"/>
          <w:highlight w:val="none"/>
          <w:lang w:eastAsia="zh-CN"/>
        </w:rPr>
        <w:t>：消防、智能化、采暖的施工</w:t>
      </w:r>
      <w:r>
        <w:rPr>
          <w:rFonts w:hint="eastAsia" w:asciiTheme="minorEastAsia" w:hAnsiTheme="minorEastAsia" w:eastAsiaTheme="minorEastAsia" w:cstheme="minorEastAsia"/>
          <w:color w:val="auto"/>
          <w:sz w:val="24"/>
          <w:szCs w:val="24"/>
          <w:highlight w:val="none"/>
        </w:rPr>
        <w:t>；</w:t>
      </w:r>
    </w:p>
    <w:p w14:paraId="205A7CDB">
      <w:pPr>
        <w:widowControl/>
        <w:spacing w:before="4"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施工</w:t>
      </w:r>
      <w:r>
        <w:rPr>
          <w:rFonts w:hint="eastAsia" w:asciiTheme="minorEastAsia" w:hAnsiTheme="minorEastAsia" w:eastAsiaTheme="minorEastAsia" w:cstheme="minorEastAsia"/>
          <w:color w:val="auto"/>
          <w:sz w:val="24"/>
          <w:szCs w:val="24"/>
          <w:highlight w:val="none"/>
        </w:rPr>
        <w:t>范围为以上内容，但工程管理范围包含但不限于以上的内容</w:t>
      </w:r>
      <w:r>
        <w:rPr>
          <w:rFonts w:hint="eastAsia" w:asciiTheme="minorEastAsia" w:hAnsiTheme="minorEastAsia" w:eastAsiaTheme="minorEastAsia" w:cstheme="minorEastAsia"/>
          <w:color w:val="auto"/>
          <w:sz w:val="24"/>
          <w:szCs w:val="24"/>
          <w:highlight w:val="none"/>
          <w:lang w:eastAsia="zh-CN"/>
        </w:rPr>
        <w:t>；</w:t>
      </w:r>
    </w:p>
    <w:p w14:paraId="52F16CA9">
      <w:pPr>
        <w:widowControl/>
        <w:spacing w:before="4" w:line="360" w:lineRule="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eastAsia="zh-CN"/>
        </w:rPr>
        <w:t>全部合同清单</w:t>
      </w:r>
      <w:r>
        <w:rPr>
          <w:rFonts w:hint="eastAsia" w:asciiTheme="minorEastAsia" w:hAnsiTheme="minorEastAsia" w:eastAsiaTheme="minorEastAsia" w:cstheme="minorEastAsia"/>
          <w:color w:val="auto"/>
          <w:sz w:val="24"/>
          <w:szCs w:val="24"/>
          <w:highlight w:val="none"/>
        </w:rPr>
        <w:t>详见甲乙双方确认的清单</w:t>
      </w:r>
      <w:r>
        <w:rPr>
          <w:rFonts w:hint="eastAsia" w:asciiTheme="minorEastAsia" w:hAnsiTheme="minorEastAsia" w:eastAsiaTheme="minorEastAsia" w:cstheme="minorEastAsia"/>
          <w:b w:val="0"/>
          <w:bCs w:val="0"/>
          <w:color w:val="auto"/>
          <w:spacing w:val="0"/>
          <w:sz w:val="24"/>
          <w:szCs w:val="24"/>
          <w:highlight w:val="none"/>
        </w:rPr>
        <w:t>附件七</w:t>
      </w:r>
      <w:r>
        <w:rPr>
          <w:rFonts w:hint="eastAsia" w:asciiTheme="minorEastAsia" w:hAnsiTheme="minorEastAsia" w:eastAsiaTheme="minorEastAsia" w:cstheme="minorEastAsia"/>
          <w:color w:val="auto"/>
          <w:sz w:val="24"/>
          <w:szCs w:val="24"/>
          <w:highlight w:val="none"/>
        </w:rPr>
        <w:t>。</w:t>
      </w:r>
    </w:p>
    <w:p w14:paraId="001C65D7">
      <w:pPr>
        <w:pStyle w:val="7"/>
        <w:numPr>
          <w:ilvl w:val="4"/>
          <w:numId w:val="0"/>
        </w:numPr>
        <w:tabs>
          <w:tab w:val="left" w:pos="3600"/>
          <w:tab w:val="clear" w:pos="0"/>
        </w:tabs>
        <w:autoSpaceDN w:val="0"/>
        <w:snapToGrid w:val="0"/>
        <w:spacing w:before="0" w:after="0" w:line="360" w:lineRule="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第三条：承包方式</w:t>
      </w:r>
    </w:p>
    <w:p w14:paraId="06CB4534">
      <w:pPr>
        <w:spacing w:line="360" w:lineRule="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1、合同承包方式：全费用固定单价包干。</w:t>
      </w:r>
    </w:p>
    <w:p w14:paraId="7A7E0F55">
      <w:pPr>
        <w:pStyle w:val="52"/>
        <w:wordWrap w:val="0"/>
        <w:topLinePunct/>
        <w:autoSpaceDE w:val="0"/>
        <w:spacing w:line="360" w:lineRule="auto"/>
        <w:ind w:firstLine="223" w:firstLineChars="1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2、含税</w:t>
      </w:r>
      <w:r>
        <w:rPr>
          <w:rFonts w:hint="eastAsia" w:asciiTheme="minorEastAsia" w:hAnsiTheme="minorEastAsia" w:eastAsiaTheme="minorEastAsia" w:cstheme="minorEastAsia"/>
          <w:color w:val="auto"/>
          <w:sz w:val="24"/>
          <w:szCs w:val="24"/>
          <w:highlight w:val="none"/>
          <w:lang w:val="en-US" w:eastAsia="zh-CN"/>
        </w:rPr>
        <w:t>全费用</w:t>
      </w:r>
      <w:r>
        <w:rPr>
          <w:rFonts w:hint="eastAsia" w:asciiTheme="minorEastAsia" w:hAnsiTheme="minorEastAsia" w:eastAsiaTheme="minorEastAsia" w:cstheme="minorEastAsia"/>
          <w:color w:val="auto"/>
          <w:sz w:val="24"/>
          <w:szCs w:val="24"/>
          <w:highlight w:val="none"/>
        </w:rPr>
        <w:t>固定单价包括但不限于人工费、材料费（包括材料损耗、材料加工费、材料检验试验费、国外及本地仓储、运输）、设备费、机械使用费、施工水电费、规费、管理费、措施费、利润、税金、农民工工伤保险费、建筑施工人身意外伤害保险、办理验收直至取得验收合格证明文件费用、保修费用，以及政策性文件规定的各项应有费用及招标文件明示或暗示的所有一切风险、责任和义务的费用。其中，措施费包含但不限于组织措施费、二次搬运费、检测费、夜间施工费、环境保护、文明施工（含扬尘治理，含施工现场为达到环保主管部门要求所需要的各项措施费用）、安全施工、临时设施等，技术措施费、垂直运输费、成品保护费、现场勘察费、垃圾外运处置费、移交、交叉施工降效费及配合费、设备材料的安全保管等其他费用。</w:t>
      </w:r>
    </w:p>
    <w:p w14:paraId="4DED28F5">
      <w:pPr>
        <w:spacing w:line="360" w:lineRule="auto"/>
        <w:ind w:firstLine="446"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3、各分项工程施工图或报价清单中没有说明但在施工过程中为完成各分项工程必须完成的所有工作，视为已经包含在各分项工程固定综合单价中</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若乙方拒绝施工或实际未施工的，甲方有权扣除相应工程款，具体金额双方协商，无法协商一致按照甲方确认的金额为准</w:t>
      </w:r>
      <w:r>
        <w:rPr>
          <w:rFonts w:hint="eastAsia" w:asciiTheme="minorEastAsia" w:hAnsiTheme="minorEastAsia" w:eastAsiaTheme="minorEastAsia" w:cstheme="minorEastAsia"/>
          <w:color w:val="auto"/>
          <w:sz w:val="24"/>
          <w:szCs w:val="24"/>
          <w:highlight w:val="none"/>
        </w:rPr>
        <w:t>。各分项工程固定综合单价结算时不做任何调整。</w:t>
      </w:r>
    </w:p>
    <w:p w14:paraId="09E494BE">
      <w:pPr>
        <w:spacing w:line="360" w:lineRule="auto"/>
        <w:ind w:firstLine="446"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交叉施工等因素。</w:t>
      </w:r>
    </w:p>
    <w:p w14:paraId="68AE3A72">
      <w:pPr>
        <w:spacing w:line="360" w:lineRule="auto"/>
        <w:ind w:firstLine="446"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各分项工程固定综合单价已充分考虑上述因素并考虑在价格中。各分项工程固定综合单价视为由工程开工至完成竣工验收并符合交付使用标准的一切费用，甲方将不会就现场状况做出任何变更签证或增加工程款（由于甲方改变工程范围或工作量的设计变更</w:t>
      </w:r>
      <w:r>
        <w:rPr>
          <w:rFonts w:hint="eastAsia" w:asciiTheme="minorEastAsia" w:hAnsiTheme="minorEastAsia" w:eastAsiaTheme="minorEastAsia" w:cstheme="minorEastAsia"/>
          <w:color w:val="auto"/>
          <w:sz w:val="24"/>
          <w:szCs w:val="24"/>
          <w:highlight w:val="none"/>
          <w:lang w:val="en-US" w:eastAsia="zh-CN"/>
        </w:rPr>
        <w:t>或双方另有约定的</w:t>
      </w:r>
      <w:r>
        <w:rPr>
          <w:rFonts w:hint="eastAsia" w:asciiTheme="minorEastAsia" w:hAnsiTheme="minorEastAsia" w:eastAsiaTheme="minorEastAsia" w:cstheme="minorEastAsia"/>
          <w:color w:val="auto"/>
          <w:sz w:val="24"/>
          <w:szCs w:val="24"/>
          <w:highlight w:val="none"/>
        </w:rPr>
        <w:t>除外）。乙方为完成本合同规定的工作所需施工组织中的所有费用均已包含在各分项工程固定综合单价内，不再另外计取。</w:t>
      </w:r>
    </w:p>
    <w:p w14:paraId="7D7B7A42">
      <w:pPr>
        <w:autoSpaceDN w:val="0"/>
        <w:spacing w:line="360" w:lineRule="auto"/>
        <w:ind w:firstLine="446" w:firstLineChars="200"/>
        <w:jc w:val="left"/>
        <w:rPr>
          <w:rFonts w:asciiTheme="minorEastAsia" w:hAnsiTheme="minorEastAsia" w:eastAsiaTheme="minorEastAsia" w:cstheme="minorEastAsia"/>
          <w:color w:val="auto"/>
          <w:sz w:val="24"/>
          <w:szCs w:val="24"/>
          <w:highlight w:val="none"/>
        </w:rPr>
      </w:pPr>
      <w:r>
        <w:rPr>
          <w:rFonts w:asciiTheme="minorEastAsia" w:hAnsiTheme="minorEastAsia" w:eastAsiaTheme="minorEastAsia" w:cstheme="minorEastAsia"/>
          <w:color w:val="auto"/>
          <w:sz w:val="24"/>
          <w:szCs w:val="24"/>
          <w:highlight w:val="none"/>
        </w:rPr>
        <w:t>6、施工过程中经甲方认可的实际施工方案仅作为甲方对乙方技术方案的肯定，不作为计价依据，甲方不接受乙方重新组价或者调价的要求。</w:t>
      </w:r>
    </w:p>
    <w:p w14:paraId="47EAC1A2">
      <w:pPr>
        <w:autoSpaceDN w:val="0"/>
        <w:spacing w:line="360" w:lineRule="auto"/>
        <w:ind w:firstLine="446" w:firstLineChars="200"/>
        <w:jc w:val="left"/>
        <w:rPr>
          <w:rFonts w:asciiTheme="minorEastAsia" w:hAnsiTheme="minorEastAsia" w:eastAsiaTheme="minorEastAsia" w:cstheme="minorEastAsia"/>
          <w:color w:val="auto"/>
          <w:sz w:val="24"/>
          <w:szCs w:val="24"/>
          <w:highlight w:val="none"/>
        </w:rPr>
      </w:pPr>
      <w:r>
        <w:rPr>
          <w:rFonts w:asciiTheme="minorEastAsia" w:hAnsiTheme="minorEastAsia" w:eastAsiaTheme="minorEastAsia" w:cstheme="minorEastAsia"/>
          <w:color w:val="auto"/>
          <w:sz w:val="24"/>
          <w:szCs w:val="24"/>
          <w:highlight w:val="none"/>
        </w:rPr>
        <w:t>7、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w:t>
      </w:r>
      <w:r>
        <w:rPr>
          <w:rFonts w:hint="eastAsia" w:asciiTheme="minorEastAsia" w:hAnsiTheme="minorEastAsia" w:eastAsiaTheme="minorEastAsia" w:cstheme="minorEastAsia"/>
          <w:color w:val="auto"/>
          <w:sz w:val="24"/>
          <w:szCs w:val="24"/>
          <w:highlight w:val="none"/>
        </w:rPr>
        <w:t>（包括因深化点位对原有墙体的拆改及修补），不再另计，乙方的报价必须考虑深化后的施工图纸基层做法，不因施工过程中对图纸的深化、做法的不同而增加基层施工的费用。</w:t>
      </w:r>
    </w:p>
    <w:p w14:paraId="361EB346">
      <w:pPr>
        <w:wordWrap w:val="0"/>
        <w:topLinePunct/>
        <w:autoSpaceDE w:val="0"/>
        <w:autoSpaceDN w:val="0"/>
        <w:spacing w:line="360" w:lineRule="auto"/>
        <w:ind w:firstLine="446" w:firstLineChars="200"/>
        <w:jc w:val="left"/>
        <w:rPr>
          <w:rFonts w:asciiTheme="minorEastAsia" w:hAnsiTheme="minorEastAsia" w:eastAsiaTheme="minorEastAsia" w:cstheme="minorEastAsia"/>
          <w:b w:val="0"/>
          <w:bCs w:val="0"/>
          <w:color w:val="auto"/>
          <w:sz w:val="24"/>
          <w:szCs w:val="24"/>
          <w:highlight w:val="none"/>
        </w:rPr>
      </w:pPr>
      <w:r>
        <w:rPr>
          <w:rFonts w:asciiTheme="minorEastAsia" w:hAnsiTheme="minorEastAsia" w:eastAsiaTheme="minorEastAsia" w:cstheme="minorEastAsia"/>
          <w:b w:val="0"/>
          <w:bCs w:val="0"/>
          <w:color w:val="auto"/>
          <w:sz w:val="24"/>
          <w:szCs w:val="24"/>
          <w:highlight w:val="none"/>
        </w:rPr>
        <w:t>8、</w:t>
      </w:r>
      <w:r>
        <w:rPr>
          <w:rFonts w:hint="eastAsia" w:asciiTheme="minorEastAsia" w:hAnsiTheme="minorEastAsia" w:eastAsiaTheme="minorEastAsia" w:cstheme="minorEastAsia"/>
          <w:b w:val="0"/>
          <w:bCs w:val="0"/>
          <w:color w:val="auto"/>
          <w:sz w:val="24"/>
          <w:szCs w:val="24"/>
          <w:highlight w:val="none"/>
        </w:rPr>
        <w:t>备注：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14:paraId="43DCA62F">
      <w:pPr>
        <w:wordWrap w:val="0"/>
        <w:topLinePunct/>
        <w:autoSpaceDE w:val="0"/>
        <w:spacing w:line="360" w:lineRule="auto"/>
        <w:rPr>
          <w:rFonts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四、工期要求</w:t>
      </w:r>
    </w:p>
    <w:p w14:paraId="6509F9FE">
      <w:pPr>
        <w:wordWrap w:val="0"/>
        <w:topLinePunct/>
        <w:autoSpaceDE w:val="0"/>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1、本施工工期为 30日历天，进场时间暂定于2024年11 月</w:t>
      </w:r>
      <w:r>
        <w:rPr>
          <w:rFonts w:hint="eastAsia" w:asciiTheme="minorEastAsia" w:hAnsiTheme="minorEastAsia" w:eastAsiaTheme="minorEastAsia" w:cstheme="minorEastAsia"/>
          <w:color w:val="auto"/>
          <w:sz w:val="24"/>
          <w:szCs w:val="24"/>
          <w:highlight w:val="none"/>
          <w:lang w:eastAsia="zh-CN"/>
        </w:rPr>
        <w:t>1</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rPr>
        <w:t>日 ，具体以甲方发出的书面通知为准，乙方承诺满足甲方的工期要求并不要求工期赔偿/补偿。</w:t>
      </w:r>
    </w:p>
    <w:p w14:paraId="0B09A279">
      <w:pPr>
        <w:wordWrap w:val="0"/>
        <w:topLinePunct/>
        <w:autoSpaceDE w:val="0"/>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2、施工过程中如遇甲方责任或需明确允许工期顺延的各种情况所延误的工期，经甲、乙双方签证认可后予以调整，并在此基础上确定完工日期。 </w:t>
      </w:r>
    </w:p>
    <w:p w14:paraId="572DACDE">
      <w:pPr>
        <w:wordWrap w:val="0"/>
        <w:topLinePunct/>
        <w:autoSpaceDE w:val="0"/>
        <w:spacing w:line="360" w:lineRule="auto"/>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rPr>
        <w:t>五、合同价格</w:t>
      </w:r>
    </w:p>
    <w:p w14:paraId="7036A98E">
      <w:pPr>
        <w:pStyle w:val="68"/>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1、合同含税暂定总价为¥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956771.15</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元（大写人民币</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玖拾伍万陆仟柒佰柒拾壹元壹角伍分</w:t>
      </w:r>
      <w:r>
        <w:rPr>
          <w:rFonts w:hint="eastAsia" w:asciiTheme="minorEastAsia" w:hAnsiTheme="minorEastAsia" w:eastAsiaTheme="minorEastAsia" w:cstheme="minorEastAsia"/>
          <w:color w:val="auto"/>
          <w:sz w:val="24"/>
          <w:szCs w:val="24"/>
          <w:highlight w:val="none"/>
        </w:rPr>
        <w:t xml:space="preserve">（以下简称“合同总价”）。其中不含税金额为¥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877771.7</w:t>
      </w:r>
      <w:r>
        <w:rPr>
          <w:rFonts w:hint="eastAsia" w:asciiTheme="minorEastAsia" w:hAnsiTheme="minorEastAsia" w:eastAsiaTheme="minorEastAsia" w:cstheme="minorEastAsia"/>
          <w:color w:val="auto"/>
          <w:sz w:val="24"/>
          <w:szCs w:val="24"/>
          <w:highlight w:val="none"/>
          <w:u w:val="single"/>
        </w:rPr>
        <w:t>元</w:t>
      </w:r>
      <w:r>
        <w:rPr>
          <w:rFonts w:hint="eastAsia" w:asciiTheme="minorEastAsia" w:hAnsiTheme="minorEastAsia" w:eastAsiaTheme="minorEastAsia" w:cstheme="minorEastAsia"/>
          <w:color w:val="auto"/>
          <w:sz w:val="24"/>
          <w:szCs w:val="24"/>
          <w:highlight w:val="none"/>
        </w:rPr>
        <w:t>（大写人民币</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捌拾柒万柒仟柒佰柒拾壹元柒角</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），增值税税金为¥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78999.45</w:t>
      </w:r>
      <w:r>
        <w:rPr>
          <w:rFonts w:hint="eastAsia" w:asciiTheme="minorEastAsia" w:hAnsiTheme="minorEastAsia" w:eastAsiaTheme="minorEastAsia" w:cstheme="minorEastAsia"/>
          <w:color w:val="auto"/>
          <w:sz w:val="24"/>
          <w:szCs w:val="24"/>
          <w:highlight w:val="none"/>
        </w:rPr>
        <w:t>元（大写人民币</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柒万捌仟玖佰玖拾玖元肆角伍分</w:t>
      </w:r>
      <w:r>
        <w:rPr>
          <w:rFonts w:hint="eastAsia" w:asciiTheme="minorEastAsia" w:hAnsiTheme="minorEastAsia" w:eastAsiaTheme="minorEastAsia" w:cstheme="minorEastAsia"/>
          <w:color w:val="auto"/>
          <w:sz w:val="24"/>
          <w:szCs w:val="24"/>
          <w:highlight w:val="none"/>
        </w:rPr>
        <w:t>），税率</w:t>
      </w:r>
      <w:r>
        <w:rPr>
          <w:rFonts w:hint="eastAsia" w:asciiTheme="minorEastAsia" w:hAnsiTheme="minorEastAsia" w:eastAsiaTheme="minorEastAsia" w:cstheme="minorEastAsia"/>
          <w:color w:val="auto"/>
          <w:sz w:val="24"/>
          <w:szCs w:val="24"/>
          <w:highlight w:val="none"/>
          <w:u w:val="single"/>
        </w:rPr>
        <w:t xml:space="preserve"> 9 </w:t>
      </w:r>
      <w:r>
        <w:rPr>
          <w:rFonts w:hint="eastAsia" w:asciiTheme="minorEastAsia" w:hAnsiTheme="minorEastAsia" w:eastAsiaTheme="minorEastAsia" w:cstheme="minorEastAsia"/>
          <w:color w:val="auto"/>
          <w:sz w:val="24"/>
          <w:szCs w:val="24"/>
          <w:highlight w:val="none"/>
        </w:rPr>
        <w:t>%。详见附件《价格清单》。</w:t>
      </w:r>
    </w:p>
    <w:p w14:paraId="3CE29DB4">
      <w:pPr>
        <w:pStyle w:val="68"/>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2、增值税税率说明： </w:t>
      </w:r>
    </w:p>
    <w:p w14:paraId="6240AEA1">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2.1、合同价增值税税率按</w:t>
      </w:r>
      <w:r>
        <w:rPr>
          <w:rFonts w:hint="eastAsia" w:asciiTheme="minorEastAsia" w:hAnsiTheme="minorEastAsia" w:eastAsiaTheme="minorEastAsia" w:cstheme="minorEastAsia"/>
          <w:color w:val="auto"/>
          <w:sz w:val="24"/>
          <w:szCs w:val="24"/>
          <w:highlight w:val="none"/>
          <w:u w:val="single"/>
        </w:rPr>
        <w:t xml:space="preserve"> 9 </w:t>
      </w:r>
      <w:r>
        <w:rPr>
          <w:rFonts w:hint="eastAsia" w:asciiTheme="minorEastAsia" w:hAnsiTheme="minorEastAsia" w:eastAsiaTheme="minorEastAsia" w:cstheme="minorEastAsia"/>
          <w:color w:val="auto"/>
          <w:sz w:val="24"/>
          <w:szCs w:val="24"/>
          <w:highlight w:val="none"/>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14:paraId="1E5716C4">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2.2、如因乙方纳税资格变更引起增值税税率变化，风险由乙方自行承担（税率增加的，甲方仍按原税率支付税金；税率减小的，甲方按减小后的税率支付税金）。</w:t>
      </w:r>
    </w:p>
    <w:p w14:paraId="5FA5242E">
      <w:pPr>
        <w:numPr>
          <w:ilvl w:val="0"/>
          <w:numId w:val="0"/>
        </w:numPr>
        <w:autoSpaceDN w:val="0"/>
        <w:adjustRightInd w:val="0"/>
        <w:snapToGrid w:val="0"/>
        <w:spacing w:line="360" w:lineRule="auto"/>
        <w:ind w:left="13" w:leftChars="7" w:firstLine="171" w:firstLineChars="77"/>
        <w:rPr>
          <w:rFonts w:hint="eastAsia" w:asciiTheme="minorEastAsia" w:hAnsiTheme="minorEastAsia" w:eastAsiaTheme="minorEastAsia" w:cstheme="minorEastAsia"/>
          <w:b/>
          <w:bCs/>
          <w:color w:val="auto"/>
          <w:sz w:val="24"/>
          <w:szCs w:val="24"/>
          <w:highlight w:val="none"/>
          <w:shd w:val="clear" w:color="auto" w:fill="auto"/>
        </w:rPr>
      </w:pPr>
      <w:r>
        <w:rPr>
          <w:rFonts w:hint="eastAsia" w:asciiTheme="minorEastAsia" w:hAnsiTheme="minorEastAsia" w:eastAsiaTheme="minorEastAsia" w:cstheme="minorEastAsia"/>
          <w:b/>
          <w:bCs/>
          <w:color w:val="auto"/>
          <w:sz w:val="24"/>
          <w:szCs w:val="24"/>
          <w:highlight w:val="none"/>
        </w:rPr>
        <w:t>六、付款方式</w:t>
      </w:r>
    </w:p>
    <w:p w14:paraId="4E132D52">
      <w:pPr>
        <w:numPr>
          <w:ilvl w:val="0"/>
          <w:numId w:val="2"/>
        </w:num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shd w:val="clear" w:color="auto" w:fill="FFFFFF"/>
          <w:lang w:val="en-US" w:eastAsia="zh-CN"/>
        </w:rPr>
        <w:t>28层</w:t>
      </w:r>
      <w:r>
        <w:rPr>
          <w:rFonts w:hint="eastAsia" w:asciiTheme="minorEastAsia" w:hAnsiTheme="minorEastAsia" w:eastAsiaTheme="minorEastAsia" w:cstheme="minorEastAsia"/>
          <w:color w:val="auto"/>
          <w:sz w:val="24"/>
          <w:szCs w:val="24"/>
          <w:highlight w:val="none"/>
          <w:shd w:val="clear" w:color="auto" w:fill="FFFFFF"/>
        </w:rPr>
        <w:t>吊顶、墙面施工（除最终构造面层及灯具、面板安装外），地面铺装完成后，并经甲方及监理确认后，甲方支付乙方已完工程造价的</w:t>
      </w:r>
      <w:r>
        <w:rPr>
          <w:rFonts w:hint="eastAsia" w:asciiTheme="minorEastAsia" w:hAnsiTheme="minorEastAsia" w:eastAsiaTheme="minorEastAsia" w:cstheme="minorEastAsia"/>
          <w:color w:val="auto"/>
          <w:sz w:val="24"/>
          <w:szCs w:val="24"/>
          <w:highlight w:val="none"/>
          <w:shd w:val="clear" w:color="auto" w:fill="FFFFFF"/>
          <w:lang w:val="en-US" w:eastAsia="zh-CN"/>
        </w:rPr>
        <w:t>7</w:t>
      </w:r>
      <w:r>
        <w:rPr>
          <w:rFonts w:hint="eastAsia" w:asciiTheme="minorEastAsia" w:hAnsiTheme="minorEastAsia" w:eastAsiaTheme="minorEastAsia" w:cstheme="minorEastAsia"/>
          <w:color w:val="auto"/>
          <w:sz w:val="24"/>
          <w:szCs w:val="24"/>
          <w:highlight w:val="none"/>
          <w:shd w:val="clear" w:color="auto" w:fill="FFFFFF"/>
        </w:rPr>
        <w:t>0％</w:t>
      </w:r>
      <w:r>
        <w:rPr>
          <w:rFonts w:hint="eastAsia" w:asciiTheme="minorEastAsia" w:hAnsiTheme="minorEastAsia" w:eastAsiaTheme="minorEastAsia" w:cstheme="minorEastAsia"/>
          <w:color w:val="auto"/>
          <w:sz w:val="24"/>
          <w:szCs w:val="24"/>
          <w:highlight w:val="none"/>
        </w:rPr>
        <w:t>；</w:t>
      </w:r>
    </w:p>
    <w:p w14:paraId="625906F8">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shd w:val="clear" w:color="auto" w:fill="FFFFFF"/>
        </w:rPr>
        <w:t>大堂区域吊顶、墙面施工完成（除最终构造面层及灯具、面板安装外），地面铺装完成后，并经甲方及监理确认后，甲方支付乙方已完工程造价的70％</w:t>
      </w:r>
      <w:r>
        <w:rPr>
          <w:rFonts w:hint="eastAsia" w:asciiTheme="minorEastAsia" w:hAnsiTheme="minorEastAsia" w:eastAsiaTheme="minorEastAsia" w:cstheme="minorEastAsia"/>
          <w:color w:val="auto"/>
          <w:sz w:val="24"/>
          <w:szCs w:val="24"/>
          <w:highlight w:val="none"/>
        </w:rPr>
        <w:t>；</w:t>
      </w:r>
    </w:p>
    <w:p w14:paraId="45B8DE6C">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shd w:val="clear" w:color="auto" w:fill="FFFFFF"/>
        </w:rPr>
        <w:t>乙方完成承包范围内所有工程并经甲方及监理验收合格后，甲方支付</w:t>
      </w:r>
      <w:r>
        <w:rPr>
          <w:rFonts w:hint="eastAsia" w:asciiTheme="minorEastAsia" w:hAnsiTheme="minorEastAsia" w:eastAsiaTheme="minorEastAsia" w:cstheme="minorEastAsia"/>
          <w:color w:val="auto"/>
          <w:sz w:val="24"/>
          <w:szCs w:val="24"/>
          <w:highlight w:val="none"/>
          <w:shd w:val="clear" w:color="auto" w:fill="FFFFFF"/>
          <w:lang w:val="en-US" w:eastAsia="zh-CN"/>
        </w:rPr>
        <w:t>至</w:t>
      </w:r>
      <w:r>
        <w:rPr>
          <w:rFonts w:hint="eastAsia" w:asciiTheme="minorEastAsia" w:hAnsiTheme="minorEastAsia" w:eastAsiaTheme="minorEastAsia" w:cstheme="minorEastAsia"/>
          <w:color w:val="auto"/>
          <w:sz w:val="24"/>
          <w:szCs w:val="24"/>
          <w:highlight w:val="none"/>
          <w:shd w:val="clear" w:color="auto" w:fill="FFFFFF"/>
        </w:rPr>
        <w:t>已完工程造价的80％</w:t>
      </w:r>
      <w:r>
        <w:rPr>
          <w:rFonts w:hint="eastAsia" w:asciiTheme="minorEastAsia" w:hAnsiTheme="minorEastAsia" w:eastAsiaTheme="minorEastAsia" w:cstheme="minorEastAsia"/>
          <w:color w:val="auto"/>
          <w:sz w:val="24"/>
          <w:szCs w:val="24"/>
          <w:highlight w:val="none"/>
        </w:rPr>
        <w:t>；</w:t>
      </w:r>
    </w:p>
    <w:p w14:paraId="331BBAA6">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w:t>
      </w:r>
      <w:r>
        <w:rPr>
          <w:rFonts w:hint="eastAsia" w:asciiTheme="minorEastAsia" w:hAnsiTheme="minorEastAsia" w:eastAsiaTheme="minorEastAsia" w:cstheme="minorEastAsia"/>
          <w:color w:val="auto"/>
          <w:sz w:val="24"/>
          <w:szCs w:val="24"/>
          <w:highlight w:val="none"/>
          <w:shd w:val="clear" w:color="auto" w:fill="FFFFFF"/>
        </w:rPr>
        <w:t>工程竣工验收并配合甲方办理结算</w:t>
      </w:r>
      <w:r>
        <w:rPr>
          <w:rFonts w:hint="eastAsia" w:asciiTheme="minorEastAsia" w:hAnsiTheme="minorEastAsia" w:eastAsiaTheme="minorEastAsia" w:cstheme="minorEastAsia"/>
          <w:color w:val="auto"/>
          <w:sz w:val="24"/>
          <w:szCs w:val="24"/>
          <w:highlight w:val="none"/>
          <w:shd w:val="clear" w:color="auto" w:fill="FFFFFF"/>
          <w:lang w:val="en-US" w:eastAsia="zh-CN"/>
        </w:rPr>
        <w:t>完成（双方签订结算协议）</w:t>
      </w:r>
      <w:r>
        <w:rPr>
          <w:rFonts w:hint="eastAsia" w:asciiTheme="minorEastAsia" w:hAnsiTheme="minorEastAsia" w:eastAsiaTheme="minorEastAsia" w:cstheme="minorEastAsia"/>
          <w:color w:val="auto"/>
          <w:sz w:val="24"/>
          <w:szCs w:val="24"/>
          <w:highlight w:val="none"/>
          <w:shd w:val="clear" w:color="auto" w:fill="FFFFFF"/>
        </w:rPr>
        <w:t>后30天内，甲方向乙方支付至结算</w:t>
      </w:r>
      <w:r>
        <w:rPr>
          <w:rFonts w:hint="eastAsia" w:asciiTheme="minorEastAsia" w:hAnsiTheme="minorEastAsia" w:eastAsiaTheme="minorEastAsia" w:cstheme="minorEastAsia"/>
          <w:color w:val="auto"/>
          <w:sz w:val="24"/>
          <w:szCs w:val="24"/>
          <w:highlight w:val="none"/>
          <w:shd w:val="clear" w:color="auto" w:fill="FFFFFF"/>
          <w:lang w:val="en-US" w:eastAsia="zh-CN"/>
        </w:rPr>
        <w:t>金额</w:t>
      </w:r>
      <w:r>
        <w:rPr>
          <w:rFonts w:hint="eastAsia" w:asciiTheme="minorEastAsia" w:hAnsiTheme="minorEastAsia" w:eastAsiaTheme="minorEastAsia" w:cstheme="minorEastAsia"/>
          <w:color w:val="auto"/>
          <w:sz w:val="24"/>
          <w:szCs w:val="24"/>
          <w:highlight w:val="none"/>
          <w:shd w:val="clear" w:color="auto" w:fill="FFFFFF"/>
        </w:rPr>
        <w:t>的9</w:t>
      </w:r>
      <w:r>
        <w:rPr>
          <w:rFonts w:hint="eastAsia" w:asciiTheme="minorEastAsia" w:hAnsiTheme="minorEastAsia" w:eastAsiaTheme="minorEastAsia" w:cstheme="minorEastAsia"/>
          <w:color w:val="auto"/>
          <w:sz w:val="24"/>
          <w:szCs w:val="24"/>
          <w:highlight w:val="none"/>
          <w:shd w:val="clear" w:color="auto" w:fill="FFFFFF"/>
          <w:lang w:val="en-US" w:eastAsia="zh-CN"/>
        </w:rPr>
        <w:t>7</w:t>
      </w:r>
      <w:r>
        <w:rPr>
          <w:rFonts w:hint="eastAsia" w:asciiTheme="minorEastAsia" w:hAnsiTheme="minorEastAsia" w:eastAsiaTheme="minorEastAsia" w:cstheme="minorEastAsia"/>
          <w:color w:val="auto"/>
          <w:sz w:val="24"/>
          <w:szCs w:val="24"/>
          <w:highlight w:val="none"/>
          <w:shd w:val="clear" w:color="auto" w:fill="FFFFFF"/>
        </w:rPr>
        <w:t>%。结算</w:t>
      </w:r>
      <w:r>
        <w:rPr>
          <w:rFonts w:hint="eastAsia" w:asciiTheme="minorEastAsia" w:hAnsiTheme="minorEastAsia" w:eastAsiaTheme="minorEastAsia" w:cstheme="minorEastAsia"/>
          <w:color w:val="auto"/>
          <w:sz w:val="24"/>
          <w:szCs w:val="24"/>
          <w:highlight w:val="none"/>
          <w:shd w:val="clear" w:color="auto" w:fill="FFFFFF"/>
          <w:lang w:val="en-US" w:eastAsia="zh-CN"/>
        </w:rPr>
        <w:t>金额</w:t>
      </w:r>
      <w:r>
        <w:rPr>
          <w:rFonts w:hint="eastAsia" w:asciiTheme="minorEastAsia" w:hAnsiTheme="minorEastAsia" w:eastAsiaTheme="minorEastAsia" w:cstheme="minorEastAsia"/>
          <w:color w:val="auto"/>
          <w:sz w:val="24"/>
          <w:szCs w:val="24"/>
          <w:highlight w:val="none"/>
          <w:shd w:val="clear" w:color="auto" w:fill="FFFFFF"/>
        </w:rPr>
        <w:t>的</w:t>
      </w:r>
      <w:r>
        <w:rPr>
          <w:rFonts w:hint="eastAsia" w:asciiTheme="minorEastAsia" w:hAnsiTheme="minorEastAsia" w:eastAsiaTheme="minorEastAsia" w:cstheme="minorEastAsia"/>
          <w:color w:val="auto"/>
          <w:sz w:val="24"/>
          <w:szCs w:val="24"/>
          <w:highlight w:val="none"/>
          <w:shd w:val="clear" w:color="auto" w:fill="FFFFFF"/>
          <w:lang w:val="en-US" w:eastAsia="zh-CN"/>
        </w:rPr>
        <w:t>3</w:t>
      </w:r>
      <w:r>
        <w:rPr>
          <w:rFonts w:hint="eastAsia" w:asciiTheme="minorEastAsia" w:hAnsiTheme="minorEastAsia" w:eastAsiaTheme="minorEastAsia" w:cstheme="minorEastAsia"/>
          <w:color w:val="auto"/>
          <w:sz w:val="24"/>
          <w:szCs w:val="24"/>
          <w:highlight w:val="none"/>
          <w:shd w:val="clear" w:color="auto" w:fill="FFFFFF"/>
        </w:rPr>
        <w:t>%</w:t>
      </w:r>
      <w:r>
        <w:rPr>
          <w:rFonts w:hint="eastAsia" w:asciiTheme="minorEastAsia" w:hAnsiTheme="minorEastAsia" w:eastAsiaTheme="minorEastAsia" w:cstheme="minorEastAsia"/>
          <w:color w:val="auto"/>
          <w:sz w:val="24"/>
          <w:szCs w:val="24"/>
          <w:highlight w:val="none"/>
          <w:shd w:val="clear" w:color="auto" w:fill="FFFFFF"/>
          <w:lang w:val="en-US" w:eastAsia="zh-CN"/>
        </w:rPr>
        <w:t>留</w:t>
      </w:r>
      <w:r>
        <w:rPr>
          <w:rFonts w:hint="eastAsia" w:asciiTheme="minorEastAsia" w:hAnsiTheme="minorEastAsia" w:eastAsiaTheme="minorEastAsia" w:cstheme="minorEastAsia"/>
          <w:color w:val="auto"/>
          <w:sz w:val="24"/>
          <w:szCs w:val="24"/>
          <w:highlight w:val="none"/>
          <w:shd w:val="clear" w:color="auto" w:fill="FFFFFF"/>
        </w:rPr>
        <w:t>作质保金，质保期两年</w:t>
      </w:r>
      <w:r>
        <w:rPr>
          <w:rFonts w:hint="eastAsia" w:asciiTheme="minorEastAsia" w:hAnsiTheme="minorEastAsia" w:eastAsiaTheme="minorEastAsia" w:cstheme="minorEastAsia"/>
          <w:color w:val="auto"/>
          <w:sz w:val="24"/>
          <w:szCs w:val="24"/>
          <w:highlight w:val="none"/>
          <w:shd w:val="clear" w:color="auto" w:fill="FFFFFF"/>
          <w:lang w:eastAsia="zh-CN"/>
        </w:rPr>
        <w:t>，</w:t>
      </w:r>
      <w:r>
        <w:rPr>
          <w:rFonts w:hint="eastAsia" w:asciiTheme="minorEastAsia" w:hAnsiTheme="minorEastAsia" w:eastAsiaTheme="minorEastAsia" w:cstheme="minorEastAsia"/>
          <w:color w:val="auto"/>
          <w:sz w:val="24"/>
          <w:szCs w:val="24"/>
          <w:highlight w:val="none"/>
          <w:shd w:val="clear" w:color="auto" w:fill="FFFFFF"/>
          <w:lang w:val="en-US" w:eastAsia="zh-CN"/>
        </w:rPr>
        <w:t>自</w:t>
      </w:r>
      <w:r>
        <w:rPr>
          <w:rFonts w:hint="eastAsia" w:asciiTheme="minorEastAsia" w:hAnsiTheme="minorEastAsia" w:eastAsiaTheme="minorEastAsia" w:cstheme="minorEastAsia"/>
          <w:color w:val="auto"/>
          <w:sz w:val="24"/>
          <w:szCs w:val="24"/>
          <w:highlight w:val="none"/>
          <w:shd w:val="clear" w:color="auto" w:fill="FFFFFF"/>
        </w:rPr>
        <w:t>工程全部验收合格之日起计算</w:t>
      </w:r>
      <w:r>
        <w:rPr>
          <w:rFonts w:hint="eastAsia" w:asciiTheme="minorEastAsia" w:hAnsiTheme="minorEastAsia" w:eastAsiaTheme="minorEastAsia" w:cstheme="minorEastAsia"/>
          <w:color w:val="auto"/>
          <w:sz w:val="24"/>
          <w:szCs w:val="24"/>
          <w:highlight w:val="none"/>
          <w:shd w:val="clear" w:color="auto" w:fill="FFFFFF"/>
          <w:lang w:eastAsia="zh-CN"/>
        </w:rPr>
        <w:t>；</w:t>
      </w:r>
      <w:r>
        <w:rPr>
          <w:rFonts w:hint="eastAsia" w:asciiTheme="minorEastAsia" w:hAnsiTheme="minorEastAsia" w:eastAsiaTheme="minorEastAsia" w:cstheme="minorEastAsia"/>
          <w:color w:val="auto"/>
          <w:sz w:val="24"/>
          <w:szCs w:val="24"/>
          <w:highlight w:val="none"/>
          <w:shd w:val="clear" w:color="auto" w:fill="FFFFFF"/>
        </w:rPr>
        <w:t>质保期满</w:t>
      </w:r>
      <w:r>
        <w:rPr>
          <w:rFonts w:hint="eastAsia" w:asciiTheme="minorEastAsia" w:hAnsiTheme="minorEastAsia" w:eastAsiaTheme="minorEastAsia" w:cstheme="minorEastAsia"/>
          <w:color w:val="auto"/>
          <w:sz w:val="24"/>
          <w:szCs w:val="24"/>
          <w:highlight w:val="none"/>
          <w:shd w:val="clear" w:color="auto" w:fill="FFFFFF"/>
          <w:lang w:val="en-US" w:eastAsia="zh-CN"/>
        </w:rPr>
        <w:t>且</w:t>
      </w:r>
      <w:r>
        <w:rPr>
          <w:rFonts w:hint="eastAsia" w:asciiTheme="minorEastAsia" w:hAnsiTheme="minorEastAsia" w:eastAsiaTheme="minorEastAsia" w:cstheme="minorEastAsia"/>
          <w:color w:val="auto"/>
          <w:sz w:val="24"/>
          <w:szCs w:val="24"/>
          <w:highlight w:val="none"/>
          <w:shd w:val="clear" w:color="auto" w:fill="FFFFFF"/>
        </w:rPr>
        <w:t>经查无质量问题</w:t>
      </w:r>
      <w:r>
        <w:rPr>
          <w:rFonts w:hint="eastAsia" w:asciiTheme="minorEastAsia" w:hAnsiTheme="minorEastAsia" w:eastAsiaTheme="minorEastAsia" w:cstheme="minorEastAsia"/>
          <w:color w:val="auto"/>
          <w:sz w:val="24"/>
          <w:szCs w:val="24"/>
          <w:highlight w:val="none"/>
          <w:shd w:val="clear" w:color="auto" w:fill="FFFFFF"/>
          <w:lang w:val="en-US" w:eastAsia="zh-CN"/>
        </w:rPr>
        <w:t>后</w:t>
      </w:r>
      <w:r>
        <w:rPr>
          <w:rFonts w:hint="eastAsia" w:asciiTheme="minorEastAsia" w:hAnsiTheme="minorEastAsia" w:eastAsiaTheme="minorEastAsia" w:cstheme="minorEastAsia"/>
          <w:color w:val="auto"/>
          <w:sz w:val="24"/>
          <w:szCs w:val="24"/>
          <w:highlight w:val="none"/>
          <w:shd w:val="clear" w:color="auto" w:fill="FFFFFF"/>
        </w:rPr>
        <w:t>，扣除应由乙方承担的费用后一次性无息付清相应剩余质保金</w:t>
      </w:r>
      <w:r>
        <w:rPr>
          <w:rFonts w:hint="eastAsia" w:asciiTheme="minorEastAsia" w:hAnsiTheme="minorEastAsia" w:eastAsiaTheme="minorEastAsia" w:cstheme="minorEastAsia"/>
          <w:color w:val="auto"/>
          <w:sz w:val="24"/>
          <w:szCs w:val="24"/>
          <w:highlight w:val="none"/>
          <w:shd w:val="clear" w:color="auto" w:fill="FFFFFF"/>
          <w:lang w:eastAsia="zh-CN"/>
        </w:rPr>
        <w:t>（</w:t>
      </w:r>
      <w:r>
        <w:rPr>
          <w:rFonts w:hint="eastAsia" w:asciiTheme="minorEastAsia" w:hAnsiTheme="minorEastAsia" w:eastAsiaTheme="minorEastAsia" w:cstheme="minorEastAsia"/>
          <w:color w:val="auto"/>
          <w:sz w:val="24"/>
          <w:szCs w:val="24"/>
          <w:highlight w:val="none"/>
          <w:shd w:val="clear" w:color="auto" w:fill="FFFFFF"/>
          <w:lang w:val="en-US" w:eastAsia="zh-CN"/>
        </w:rPr>
        <w:t>若有</w:t>
      </w:r>
      <w:r>
        <w:rPr>
          <w:rFonts w:hint="eastAsia" w:asciiTheme="minorEastAsia" w:hAnsiTheme="minorEastAsia" w:eastAsiaTheme="minorEastAsia" w:cstheme="minorEastAsia"/>
          <w:color w:val="auto"/>
          <w:sz w:val="24"/>
          <w:szCs w:val="24"/>
          <w:highlight w:val="none"/>
          <w:shd w:val="clear" w:color="auto" w:fill="FFFFFF"/>
          <w:lang w:eastAsia="zh-CN"/>
        </w:rPr>
        <w:t>）</w:t>
      </w:r>
      <w:r>
        <w:rPr>
          <w:rFonts w:hint="eastAsia" w:asciiTheme="minorEastAsia" w:hAnsiTheme="minorEastAsia" w:eastAsiaTheme="minorEastAsia" w:cstheme="minorEastAsia"/>
          <w:color w:val="auto"/>
          <w:sz w:val="24"/>
          <w:szCs w:val="24"/>
          <w:highlight w:val="none"/>
        </w:rPr>
        <w:t>。</w:t>
      </w:r>
    </w:p>
    <w:p w14:paraId="0306111A">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5、每次付款前，乙方应按甲方要求出具合法有效的增值税专用发票，否则甲方有权延迟付款。当甲方向乙方累计支付款项至本合同结算值的9</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tab/>
      </w:r>
    </w:p>
    <w:p w14:paraId="4A9093B4">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14:paraId="2B895CA5">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7、对发票不合规的约定：</w:t>
      </w:r>
    </w:p>
    <w:p w14:paraId="7E03C9B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7.1、乙方提供的发票为增值税专用发票的，因乙方迟延送达、开具错误等原因导致其提供的增值税专用发票没有通过税务部门认证，造成甲方不能抵扣的，甲方有权拒绝接收。</w:t>
      </w:r>
    </w:p>
    <w:p w14:paraId="4CCA8B58">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7.2、乙方开具虚假、作废等无效发票或者违反国家法律法规开具、提供发票的，乙方应自行承担相应法律责任，赔偿由此给甲方造成的全部损失并应向甲方支付合同总价20%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14:paraId="706F9C2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8、其他税务风险的合同约定：</w:t>
      </w:r>
    </w:p>
    <w:p w14:paraId="0FCD9218">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8.1、如果甲方丢失增值税专用发票联和抵扣联，乙方应向甲方提供专用发票记账联复印件，并加盖乙方发票专用章。</w:t>
      </w:r>
    </w:p>
    <w:p w14:paraId="1415EE0B">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8.2、如果获得开具的汇总专用发票，则乙方应提供其防伪税控系统开具的《销售货物或者提供应税劳务清单》，并加盖发票专用章。</w:t>
      </w:r>
    </w:p>
    <w:p w14:paraId="44651C1D">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真实发生且合理合规的设计变更、现场签证事项，在按甲方制度审批完成后的次月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14:paraId="62AEBEC9">
      <w:pPr>
        <w:pStyle w:val="2"/>
        <w:keepNext w:val="0"/>
        <w:keepLines w:val="0"/>
        <w:numPr>
          <w:ilvl w:val="0"/>
          <w:numId w:val="0"/>
        </w:numPr>
        <w:rPr>
          <w:rFonts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七、甲方现场移交标准</w:t>
      </w:r>
    </w:p>
    <w:p w14:paraId="6C94041B">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1、本工程移交界面为工地现状条件，且乙方已充分踏勘现场，对工地现状条件下施工所需的措施费等相关费用已综合考虑在固定</w:t>
      </w:r>
      <w:r>
        <w:rPr>
          <w:rFonts w:hint="eastAsia" w:asciiTheme="minorEastAsia" w:hAnsiTheme="minorEastAsia" w:eastAsiaTheme="minorEastAsia" w:cstheme="minorEastAsia"/>
          <w:color w:val="auto"/>
          <w:sz w:val="24"/>
          <w:szCs w:val="24"/>
          <w:highlight w:val="none"/>
          <w:lang w:eastAsia="zh-CN"/>
        </w:rPr>
        <w:t>综合单</w:t>
      </w:r>
      <w:r>
        <w:rPr>
          <w:rFonts w:hint="eastAsia" w:asciiTheme="minorEastAsia" w:hAnsiTheme="minorEastAsia" w:eastAsiaTheme="minorEastAsia" w:cstheme="minorEastAsia"/>
          <w:color w:val="auto"/>
          <w:sz w:val="24"/>
          <w:szCs w:val="24"/>
          <w:highlight w:val="none"/>
        </w:rPr>
        <w:t>价内。</w:t>
      </w:r>
    </w:p>
    <w:p w14:paraId="670AF9E2">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2、甲方只负责告知施工现场堆放材料的场地，乙方自行解决施工及管理人员住宿办公场所，由此产生的费用由乙方自行承担。</w:t>
      </w:r>
    </w:p>
    <w:p w14:paraId="265CDF73">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3、甲方告知水源电源接驳点，接驳工作及接驳费用、施工过程中产生的水电费用由乙方承担。</w:t>
      </w:r>
    </w:p>
    <w:p w14:paraId="239BC47B">
      <w:pPr>
        <w:pStyle w:val="2"/>
        <w:numPr>
          <w:ilvl w:val="0"/>
          <w:numId w:val="0"/>
        </w:numPr>
        <w:rPr>
          <w:rFonts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八、材料供应要求：</w:t>
      </w:r>
    </w:p>
    <w:p w14:paraId="554727C3">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由乙方自行选择供货商进行采购的材料：由乙方采购前按照甲方确认的设计图纸及定标封样要求注明的颜色、质量、质感、规格、品牌等送实物样品（所有饰面材料）供甲方确认，经甲方、监理书面确认后，作为施工实物样板封存甲方，并由乙方按甲方确认的施工实物样板自行采购。</w:t>
      </w:r>
    </w:p>
    <w:p w14:paraId="12AFAFA0">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2、在施工时材料在进场前必须先经甲方书面认可后方能进场，否则甲方有权清退相关材料，由此产生的费用由乙方承担。甲方有权自主决定是否改为甲供材料，乙方对此不能有任何异议； </w:t>
      </w:r>
    </w:p>
    <w:p w14:paraId="44F38E21">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、本工程所有材料及设备均由乙方采购，乙方必须保证所采用的材料符合国家和地方现行规范标准，符合本合同要求的材料品牌、规格、质量标准及其他技术要求。</w:t>
      </w:r>
    </w:p>
    <w:p w14:paraId="1EADEC8D">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、乙方使用的材料设备如不符合合同约定要求，甲方或监理单位有权要求乙方负责更换、拆除并重新采购，由此产生的责任及损失由乙方承担。因材料不合格造成费用等损失均由乙方承担。</w:t>
      </w:r>
    </w:p>
    <w:p w14:paraId="1559CFBC">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乙方在购置设备及材料前必须经甲方、监理书面认可后方可采购。乙方采购的设备、材料等在进场前要先向甲方和监理方填报《材料、设备进场报验单》，经甲方和监理验收合格并书面签字认可后方能进场。材料进场验收要求详见《中浩德控股集团有限公司工程材料/设备进场验收管理制度V1.0 》。未经甲方和监理工程师检查认可的设备、材料不得进场；已进场但自检或甲方检验不合格的设备、材料应清退出场，由此造成的责任及损失由乙方负责。甲方的认可及/或签证并不视为对乙方供应设备及材料的质量合格的认可，也不因此免除乙方对设备及材料的质量瑕疵担保的责任。</w:t>
      </w:r>
    </w:p>
    <w:p w14:paraId="2B30153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甲方对施工过程中的工程质量问题实行零容忍，若乙方采购的材料设备不符合合同约定的品牌、厂家、产地、材质、工艺、规格、型号等标准或者存在“假冒伪劣”等情形（包含提供虚假或者过期无效的合格证、检测报告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5倍金额另行向甲方支付惩罚性赔偿（该惩罚性赔偿不足伍万元的，按伍万元计）。</w:t>
      </w:r>
    </w:p>
    <w:p w14:paraId="56A4A7DA">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、主要材料品牌约定详见附件《材料品牌表》中约定的品牌，定制材料以现场封样确认的品牌为准。</w:t>
      </w:r>
    </w:p>
    <w:p w14:paraId="7CCFDDC7">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、乙方确保随货提供的检测报告、合格证的真实性，否则，乙方应对所供产品符合合同约定承担证明责任。</w:t>
      </w:r>
    </w:p>
    <w:p w14:paraId="4FC7DE07">
      <w:pPr>
        <w:pStyle w:val="52"/>
        <w:tabs>
          <w:tab w:val="left" w:pos="0"/>
        </w:tabs>
        <w:wordWrap w:val="0"/>
        <w:topLinePunct/>
        <w:autoSpaceDE w:val="0"/>
        <w:spacing w:line="360" w:lineRule="auto"/>
        <w:ind w:firstLine="388"/>
        <w:rPr>
          <w:rFonts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九、工程质量要求</w:t>
      </w:r>
    </w:p>
    <w:p w14:paraId="02C83637">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1、施工质量标准：合格。全部工程（包括材料、工艺等）应符合按合同约定、设计图纸及现行的国家相关行业及工程所在地的技术规范及质量验收评定标准，具体评定标准及奖罚条例如下：</w:t>
      </w:r>
    </w:p>
    <w:p w14:paraId="5D8728A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1.1、按照有关验收规范和国家标准执行，工程质量为合格。</w:t>
      </w:r>
    </w:p>
    <w:p w14:paraId="2FC21D3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1.2、不合格工程不予验收和结算，且乙方应赔偿甲方因此遭受的一切损失。</w:t>
      </w:r>
    </w:p>
    <w:p w14:paraId="62C1EDA3">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2、工程质量控制要求：所有装修装饰工程必须达到设计图纸和国家现行施工规范的技术要求。工程质量达不到要求的应予以免费返工，直到达到要求为止，若由此而造成的损失和工程逾期的，由乙方负责。</w:t>
      </w:r>
    </w:p>
    <w:p w14:paraId="7B42245F">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3、工程质量必须符合设计图纸及相应设计文件的要求，验收标准执行现行国家质量验收及施工规范和地方行政管理部门制定的规范文件。</w:t>
      </w:r>
    </w:p>
    <w:p w14:paraId="08CA0F62">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4、工程材料与设备应符合国家质量标准和环保标准，按照设计图纸及施工规范、验收规范组织进货，且应“三证”齐全。材料进场后，甲方有权按规定分批号进行抽检，复检合格经甲方认可后方可使用，抽检产生的费用由乙方承担（若有）。   </w:t>
      </w:r>
    </w:p>
    <w:p w14:paraId="4AE66AB6">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5、乙方在施工现场组织施工时应做好现场成品保护工作，禁止私自拆除或破坏现有成品。如必须拆除或改变需书面报请甲方同意。成品保护需满足附件六《成品保护标准》中对应的要求。</w:t>
      </w:r>
    </w:p>
    <w:p w14:paraId="2268FEE0">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6、如果发生以下情形，甲方有权要求整改，情节严重的甲方有权解除合同，由此造成的损失乙方承担：</w:t>
      </w:r>
    </w:p>
    <w:p w14:paraId="6E94CB94">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6.1、不按合同约定的要求施工；</w:t>
      </w:r>
    </w:p>
    <w:p w14:paraId="196F17C3">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6.2、违反正常施工程序、施工工艺进行野蛮施工；</w:t>
      </w:r>
    </w:p>
    <w:p w14:paraId="46BA97FA">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6.3、施工质量、安全、环保等达不到有关要求；</w:t>
      </w:r>
    </w:p>
    <w:p w14:paraId="5B70D231">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6.4、施工材料不符合本合同规定的品牌或材质的。</w:t>
      </w:r>
    </w:p>
    <w:p w14:paraId="056AFE1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7、施工厂区每项工序需做到工完料清。</w:t>
      </w:r>
    </w:p>
    <w:p w14:paraId="243A3B2C">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技术标准：材料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较高的标准为准。</w:t>
      </w:r>
    </w:p>
    <w:p w14:paraId="19D2827B">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9、国家现行的有关规范、法规及行业标准；</w:t>
      </w:r>
    </w:p>
    <w:p w14:paraId="07A2C638">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10、应采用的主要设计、施工、检验、评定标准。</w:t>
      </w:r>
    </w:p>
    <w:p w14:paraId="59A41110">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(1)《建筑工程施工质量验收统一标准》GB50300-2013</w:t>
      </w:r>
    </w:p>
    <w:p w14:paraId="48358E0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(2)《建筑工程质量验收规范》GB50210-2018</w:t>
      </w:r>
    </w:p>
    <w:p w14:paraId="551D7EE8">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(3)与本工程有关的技术规范和验收标准</w:t>
      </w:r>
    </w:p>
    <w:p w14:paraId="4F796A83">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(3.1)《建筑工程施工质量验收统一标准》GB50300-2013</w:t>
      </w:r>
    </w:p>
    <w:p w14:paraId="41992FB5">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(3.2)《建筑工程质量验收规范》GB50210-2018</w:t>
      </w:r>
    </w:p>
    <w:p w14:paraId="4FDD9B08">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(3.3) 《住宅装饰装修工程施工规范》GB50327-2001 </w:t>
      </w:r>
    </w:p>
    <w:p w14:paraId="4B52C428">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11、其他施工及验收规范、质量检验评定标准：</w:t>
      </w:r>
    </w:p>
    <w:p w14:paraId="1B70D73F">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(1)《砌体工程施工质量验收规范》GB50203--2019</w:t>
      </w:r>
    </w:p>
    <w:p w14:paraId="14C46D74">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(2)《混凝土工程施工质量验收规范》GB50204—2015</w:t>
      </w:r>
    </w:p>
    <w:p w14:paraId="1434228A">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（3）《建筑电气工程施工质量验收规范》GB50303—2015</w:t>
      </w:r>
    </w:p>
    <w:p w14:paraId="6A37FD9B">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（4）《河南省工程建设标准设计》12YJ</w:t>
      </w:r>
    </w:p>
    <w:p w14:paraId="4DFF364C">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（5）《建筑施工安全检查标准》JGJ59-2011</w:t>
      </w:r>
    </w:p>
    <w:p w14:paraId="038F6B41">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（6）《施工现场临时用电安全技术规范》JGJ46-2005</w:t>
      </w:r>
    </w:p>
    <w:p w14:paraId="0685CC26">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（7）《建筑涂饰工程施工及验收规程》JGJ/T29-2003</w:t>
      </w:r>
    </w:p>
    <w:p w14:paraId="1F5440C6">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（8）《建筑装饰装修工程质量验收规范》GB50210-2018</w:t>
      </w:r>
    </w:p>
    <w:p w14:paraId="4FFC8E2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（9）《安全防范工程技术规范》GB50348-2018</w:t>
      </w:r>
    </w:p>
    <w:p w14:paraId="5337D9EA">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（10）《综合布线系统工程验收规范》 GBT 50312-2016</w:t>
      </w:r>
    </w:p>
    <w:p w14:paraId="7DD082C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（11）《建筑给水排水及采暖工程施工质量验收规范》GB50242-2002</w:t>
      </w:r>
    </w:p>
    <w:p w14:paraId="3DB4F306">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（12）《综合布线系统工程验收规范》 GBT 50312-2016</w:t>
      </w:r>
    </w:p>
    <w:p w14:paraId="5DAA4F92">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（13）工程质量同时需满足《中浩德地产集团工程精细化手册1.0工艺标准》中对应的要求。</w:t>
      </w:r>
    </w:p>
    <w:p w14:paraId="3B8369D0">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12、施工及选用设备和材料时按最近的国际或国内标准执行，并提供采用的国际或国内标准、规范和所应用的最新版本的有关技术依据资料。</w:t>
      </w:r>
    </w:p>
    <w:p w14:paraId="78629BD3">
      <w:pPr>
        <w:tabs>
          <w:tab w:val="left" w:pos="0"/>
        </w:tabs>
        <w:wordWrap w:val="0"/>
        <w:topLinePunct/>
        <w:autoSpaceDE w:val="0"/>
        <w:spacing w:line="360" w:lineRule="auto"/>
        <w:rPr>
          <w:rFonts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十、现场安全文明施工及管理要求</w:t>
      </w:r>
    </w:p>
    <w:p w14:paraId="7C320DFC">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乙方负责施工现场的安全管理工作，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14:paraId="1498A514">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2、乙方及乙方施工人员在现场包括但不限于因用水、用电、高空作业、使用机器发生伤亡事故的，其经济责任、法律责任和其他民事责任均由乙方负责。</w:t>
      </w:r>
    </w:p>
    <w:p w14:paraId="628C7EA9">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3、乙方及乙方派驻施工现场的现场代表须向甲方签订安全责任书，对工程质量、安全作出相应承诺和确定目标值。若上述目标不能达到，应向甲方支付违约金2000元并向甲方给予经济补偿和承担相应的法律责任。</w:t>
      </w:r>
    </w:p>
    <w:p w14:paraId="466FA7A1">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4、施工现场用电器具应有接地、接零装置和线路布置规范化，安全防护措施到位。乙方自身职工、与甲方有关的第三方人员在现场发生伤亡事故，其经济责任、法律责任和其他民事责任均由乙方负责。</w:t>
      </w:r>
    </w:p>
    <w:p w14:paraId="0DC0A1ED">
      <w:pPr>
        <w:pStyle w:val="18"/>
        <w:spacing w:line="360" w:lineRule="auto"/>
        <w:ind w:firstLine="446"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kern w:val="2"/>
          <w:sz w:val="24"/>
          <w:szCs w:val="24"/>
          <w:highlight w:val="none"/>
        </w:rPr>
        <w:t>乙方应加强对现场施工人员的教育。施工现场严禁酗酒、打架斗殴、赌博和其他违法违章现象，每发现一次，乙方按2000元/次向甲方支付违约金，乙方任何人员不得以任何理由出现围堵售楼部、公司、政府部门等现象，每发现一次，乙方向甲方支付违约金10万元，乙方在施工期间，合同约定项目经理必须一周在现场不低于五个工作日，如需离开现场,需征得甲方或监理同意,甲方、监理随时对乙方项目经理在岗履职情况进行考评，如每发现1次项目经理无故不在岗，乙方向甲方支付违约金5000元。</w:t>
      </w:r>
    </w:p>
    <w:p w14:paraId="6678E33B">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14:paraId="77BAFA7F">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7、乙方需遵守甲方、监理及总承包单位的相关安全规程制度及现场管理办法，否则按相关制度进行处罚。</w:t>
      </w:r>
    </w:p>
    <w:p w14:paraId="257B0A5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8、乙方在施工中要服从甲方及监理人员的统一指挥，做好防尘防噪措施，各项措施和管理达到洛阳市文明建设的有关规定。现场施工实行工完场清制度，垃圾及时清运出场。</w:t>
      </w:r>
    </w:p>
    <w:p w14:paraId="0F3D657A">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9、乙方应保证施工现场的卫生标准、噪声标准等指标满足国家、地方的有关规定。施工中因乙方违反规定造成的损失和发生的费用（若主管部门罚款）均由乙方承担。</w:t>
      </w:r>
    </w:p>
    <w:p w14:paraId="3184DF8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10、施工过程中如发生扰民或民扰，由乙方与甲方协调解决，费用乙方承担。</w:t>
      </w:r>
    </w:p>
    <w:p w14:paraId="34C43072">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11、安全文明施工标准应符合《浩德地产安全文明措施标准化手册2022版》的相关要求。</w:t>
      </w:r>
    </w:p>
    <w:p w14:paraId="070026AD">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12、现场安全文明施工、进度及质量等未尽事宜参照《62地块项目现场管理制度》执行。</w:t>
      </w:r>
    </w:p>
    <w:p w14:paraId="1DE2D8D8">
      <w:pPr>
        <w:pStyle w:val="2"/>
        <w:keepNext w:val="0"/>
        <w:keepLines w:val="0"/>
        <w:numPr>
          <w:ilvl w:val="0"/>
          <w:numId w:val="0"/>
        </w:numPr>
        <w:rPr>
          <w:rFonts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十一、验收及移交</w:t>
      </w:r>
    </w:p>
    <w:p w14:paraId="0C2AEFDB">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工程验收：按照国家标准设计要求装饰装修工程质量标准和甲方的要求进行验收。如工程质量达不到约定条件，乙方应按甲方和监理的要求返工、修改，并承担因此导致返工、修改的费用及逾期完工的违约责任。</w:t>
      </w:r>
    </w:p>
    <w:p w14:paraId="007703F5">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1.1、甲方</w:t>
      </w:r>
      <w:r>
        <w:rPr>
          <w:rFonts w:hint="eastAsia" w:asciiTheme="minorEastAsia" w:hAnsiTheme="minorEastAsia" w:eastAsiaTheme="minorEastAsia" w:cstheme="minorEastAsia"/>
          <w:color w:val="auto"/>
          <w:sz w:val="24"/>
          <w:szCs w:val="24"/>
          <w:highlight w:val="none"/>
          <w:lang w:val="en-US" w:eastAsia="zh-CN"/>
        </w:rPr>
        <w:t>有权</w:t>
      </w:r>
      <w:r>
        <w:rPr>
          <w:rFonts w:hint="eastAsia" w:asciiTheme="minorEastAsia" w:hAnsiTheme="minorEastAsia" w:eastAsiaTheme="minorEastAsia" w:cstheme="minorEastAsia"/>
          <w:color w:val="auto"/>
          <w:sz w:val="24"/>
          <w:szCs w:val="24"/>
          <w:highlight w:val="none"/>
        </w:rPr>
        <w:t>委托任何设计单位、政府有关质量监督部门或其他单位对施工质量进行检查及对工程质量进行监督，乙方应予积极配合。</w:t>
      </w:r>
    </w:p>
    <w:p w14:paraId="2FCCD276">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1.2、甲方有权利随时对本合同范围内产品的生产过程及到场产品进行检查，乙方应予以积极配合，如甲方认定产品的用料、工艺及产品质量不合格，乙方应立即按照合同质量要求重新生产，且工期不予顺延。</w:t>
      </w:r>
    </w:p>
    <w:p w14:paraId="2AF896B2">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1.3、本工程的质量监督验收单位为：甲方、监理方。</w:t>
      </w:r>
    </w:p>
    <w:p w14:paraId="38A438F8">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1.4、工程验收必须以合同约定的质量要求、材料品牌、规格、型号、施工图纸及有关变更的书面文件、国家颁布的施工及验收规范和质量检验标准为依据。乙方施工有防火要求的门窗必须满足施工图设计要求，乙方要负责消防验收通过。</w:t>
      </w:r>
    </w:p>
    <w:p w14:paraId="634ABFBF">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1.5、隐蔽工程由乙方书面通知甲方、监理，由甲方 、监理相关工程技术人员到现场检查验收，经验收合格后并履行隐蔽工程签证手续，乙方可将该部位隐蔽。未经甲方监理验收私自进行隐蔽，甲方有权要求进行破坏性检查，同时乙方承担2000元/次的违约。</w:t>
      </w:r>
    </w:p>
    <w:p w14:paraId="379AA150">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14:paraId="5B53E12B">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1.7、验收中如发现不合格需返工或修补的部分，乙方应及时进行整改并在规定期限内完成。由此发生的费用及产生的逾期完工责任由乙方承担；</w:t>
      </w:r>
    </w:p>
    <w:p w14:paraId="1F9977C1">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竣工工程验收以国家规定的施工验收规范质量检验标准为依据，在进行竣工验收时，乙方应向甲方提供增减工程变更的有关手续和中间交工验收纪录、隐蔽验收工程纪录、所有材料及设备合格证书产地证明等有关材料、所有安装工程的竣工图纸；</w:t>
      </w:r>
    </w:p>
    <w:p w14:paraId="2D7686F9">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1.9、工程验收合格后5个工作日内，乙方负责按工程竣工资料归档要求，提交满足相关建筑工程质量监督部门对技术资料的要求的竣工资料，把有关资料送交甲方。</w:t>
      </w:r>
    </w:p>
    <w:p w14:paraId="30952E2F">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1.10、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14:paraId="36259222">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1.11、办理竣工验收、合格证、检测费用等由乙方自行承担。</w:t>
      </w:r>
    </w:p>
    <w:p w14:paraId="1AF5BA49">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2、工程的移交：</w:t>
      </w:r>
    </w:p>
    <w:p w14:paraId="7E30A7CA">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2.1、交房前精装修所有范围内（含精装甲分包、甲供材）所有安保责任均由乙方承担，出现物品丢失，由乙方按照购买同种类及同品质产品的重购价进行赔偿。</w:t>
      </w:r>
    </w:p>
    <w:p w14:paraId="4B3052C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2.2、本工程竣工验收合格之日起3日内由双方负责人共同洽谈交接事宜并办理移交手续。工程自移交第二日起，全部由甲方负责管理。</w:t>
      </w:r>
    </w:p>
    <w:p w14:paraId="6A82EDDC">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2.3、乙方应在竣工验收合格之日起2日内撤出全部施工人员、机械设备和剩余材料，并将所有承包及管理范围内的工程清理干净，如乙方不能及时拆除或清理，甲方有权另派人拆除并清理，由此所发生的全部费用由乙方承担，甲方有权从应付未付款项中扣除。乙方遗留的物品视为乙方放弃所有权，甲方有权自行处置。若出售或处理乙方遗留的物品，由此支出的费用由乙方承担，甲方出售乙方遗留物品所得款项在扣除必要费用后可返还乙方。</w:t>
      </w:r>
    </w:p>
    <w:p w14:paraId="0D060150">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2.4、工程在未移交甲方之前，乙方承担成品保护、维护及管理责任；如甲方提前使用，因使用损坏发生的修理费用由甲方承担。</w:t>
      </w:r>
    </w:p>
    <w:p w14:paraId="56302A08">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2.5、工程竣工并达到合同验收要求后，乙方不得因自身的经济纠纷或其他任何原因（含甲方延期付款等）而拒绝交付工程；如乙方拒绝移交工程的，自应当移交工程之日起，乙方每日需向甲方按照合同总价5‰承担违约责任，甲方有权从应付未付款项中扣除，应付未付款项不足以抵扣的，乙方应当补足。</w:t>
      </w:r>
    </w:p>
    <w:p w14:paraId="7A25B4FB">
      <w:pPr>
        <w:tabs>
          <w:tab w:val="left" w:pos="0"/>
        </w:tabs>
        <w:wordWrap w:val="0"/>
        <w:topLinePunct/>
        <w:autoSpaceDE w:val="0"/>
        <w:spacing w:line="360" w:lineRule="auto"/>
        <w:rPr>
          <w:rFonts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十二、工程变更、签证</w:t>
      </w:r>
    </w:p>
    <w:p w14:paraId="5A20F5BB">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1、乙方应严格按照经甲方审核签认的施工图纸施工，不得随意变更；若确需变更，应按程序报甲方书面同意后，方可变更施工，否则造成的一切后果及责任均由乙方负责。</w:t>
      </w:r>
    </w:p>
    <w:p w14:paraId="1D464E4A">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2、施工过程中，若甲方需要增减项目或变更项目应提前以书面形式通知乙方，乙方承诺满足甲方的需求</w:t>
      </w:r>
      <w:r>
        <w:rPr>
          <w:rFonts w:hint="eastAsia" w:asciiTheme="minorEastAsia" w:hAnsiTheme="minorEastAsia" w:eastAsiaTheme="minorEastAsia" w:cstheme="minorEastAsia"/>
          <w:color w:val="auto"/>
          <w:kern w:val="0"/>
          <w:sz w:val="24"/>
          <w:szCs w:val="24"/>
          <w:highlight w:val="none"/>
        </w:rPr>
        <w:t>，并不因此要求赔偿/补偿。</w:t>
      </w:r>
    </w:p>
    <w:p w14:paraId="569DBA1F">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w:t>
      </w:r>
      <w:r>
        <w:rPr>
          <w:rFonts w:hint="eastAsia" w:asciiTheme="minorEastAsia" w:hAnsiTheme="minorEastAsia" w:eastAsiaTheme="minorEastAsia" w:cstheme="minorEastAsia"/>
          <w:color w:val="auto"/>
          <w:sz w:val="24"/>
          <w:szCs w:val="24"/>
          <w:highlight w:val="none"/>
          <w:lang w:eastAsia="zh-CN"/>
        </w:rPr>
        <w:t>确认价格</w:t>
      </w:r>
      <w:r>
        <w:rPr>
          <w:rFonts w:hint="eastAsia" w:asciiTheme="minorEastAsia" w:hAnsiTheme="minorEastAsia" w:eastAsiaTheme="minorEastAsia" w:cstheme="minorEastAsia"/>
          <w:color w:val="auto"/>
          <w:sz w:val="24"/>
          <w:szCs w:val="24"/>
          <w:highlight w:val="none"/>
        </w:rPr>
        <w:t>计入结算；若在施工过程中未由甲方认价的，结算时按照甲方认为可行的单价计入结算，乙方不得有任何异议。</w:t>
      </w:r>
    </w:p>
    <w:p w14:paraId="4A334145">
      <w:pPr>
        <w:pStyle w:val="17"/>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设计变更与现场签证必须进行一单一算、一月一清。为了保证甲方成本管理部、项目工程部及乙方三方资料的完整性和一致性，每月5日之前，应按“一月一清”的原则，对上月所有甲方发出的设计变更单和收到的工程签证单进行核对和清理，并签字确认。对于乙方在结算时提出的、月结月清中未登记的设计变更和现场签证，甲方有权不接收、不计算、不结算和不支付费用。</w:t>
      </w:r>
    </w:p>
    <w:p w14:paraId="6AF68486">
      <w:pPr>
        <w:pStyle w:val="17"/>
        <w:wordWrap w:val="0"/>
        <w:topLinePunct/>
        <w:autoSpaceDE w:val="0"/>
        <w:rPr>
          <w:rFonts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十三、结算方式</w:t>
      </w:r>
    </w:p>
    <w:p w14:paraId="4FB18D7D">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1、结算依据：甲方审核签认的施工设计方案、甲方认可的变更签证、施工合同、补充协议、招标、投标文件等。</w:t>
      </w:r>
    </w:p>
    <w:p w14:paraId="59646740">
      <w:pPr>
        <w:spacing w:line="360" w:lineRule="auto"/>
        <w:ind w:firstLine="446"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结算时依据图纸和现场实际情况，结算总价＝各分项固定综合单价×施工完成并验收合格的工程量－其他应扣费用（含违约金）。若变更签证有与后附工程量清单项目相同或相近的，则采用其相同或相近的单价；如后附工程量清单项目中没有相同或相近的，则由甲方认价后按照认价计入结算，其价格另行协商，并在结算时执行，结算后并入结算总价；否则按照甲方单方认定价格执行，计入结算总价。</w:t>
      </w:r>
    </w:p>
    <w:p w14:paraId="79974774">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工程全部完工，验收合格且出具合格验收意见文件后30日内乙方提交装订成册完整的工程竣工结算资料两套，逾期提交或提交资料不合格，由此产生未能及时结算的责任由乙方承担。若乙方在上述时间内不提交结算资料，甲方有权单独进行结算，乙方</w:t>
      </w:r>
      <w:r>
        <w:rPr>
          <w:rFonts w:hint="eastAsia" w:asciiTheme="minorEastAsia" w:hAnsiTheme="minorEastAsia" w:eastAsiaTheme="minorEastAsia" w:cstheme="minorEastAsia"/>
          <w:color w:val="auto"/>
          <w:sz w:val="24"/>
          <w:szCs w:val="24"/>
          <w:highlight w:val="none"/>
          <w:lang w:val="en-US" w:eastAsia="zh-CN"/>
        </w:rPr>
        <w:t>对甲方的单方结算结果无异议</w:t>
      </w:r>
      <w:r>
        <w:rPr>
          <w:rFonts w:hint="eastAsia" w:asciiTheme="minorEastAsia" w:hAnsiTheme="minorEastAsia" w:eastAsiaTheme="minorEastAsia" w:cstheme="minorEastAsia"/>
          <w:color w:val="auto"/>
          <w:sz w:val="24"/>
          <w:szCs w:val="24"/>
          <w:highlight w:val="none"/>
        </w:rPr>
        <w:t>；若提交资料不完整（遗漏或后补资料）视为放弃；放弃部分甲方只计算变更减少部分，不再计算变更增加部分，乙方不得提出异议，由此产生的未能及时结算的责任由乙方自己承担。甲方成本部门收到乙方提交合格的结算资料后90个工作日内审查完毕并通知乙方，乙方接到结算审查通知后10个工作日内确认或提出异议，逾期视为已认可甲方审查意见。</w:t>
      </w:r>
    </w:p>
    <w:p w14:paraId="6DB1BDF0">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4、乙方报送结算书应诚实准确，若最终审减额（报送金额—结算金额）超过结算金额的5%，则需要乙方向甲方支付超出5%部分的费用的3%作为违约金，且违约金在结算金额中一次性扣除。</w:t>
      </w:r>
    </w:p>
    <w:p w14:paraId="0AAF5C64">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5、办理竣工验收、合格证、检测费用等由乙方自行承担。</w:t>
      </w:r>
    </w:p>
    <w:p w14:paraId="2C628F6F">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6、若甲方需在本合同约定的承包范围以外委托乙方完成其他工作，应以正式书面形式将具体工作范围、价款、完成时间、付款方式等主要内容通知乙方。若无正式书面委托，甲方不予结算。</w:t>
      </w:r>
    </w:p>
    <w:p w14:paraId="11FE03FC">
      <w:pPr>
        <w:pStyle w:val="2"/>
        <w:keepNext w:val="0"/>
        <w:keepLines w:val="0"/>
        <w:numPr>
          <w:ilvl w:val="0"/>
          <w:numId w:val="0"/>
        </w:numPr>
        <w:spacing w:line="360" w:lineRule="auto"/>
        <w:rPr>
          <w:rFonts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十四、质保期</w:t>
      </w:r>
    </w:p>
    <w:p w14:paraId="7DEE5290">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1、本工程的质保期为2年，自工程全部施工完成，经甲方、监理及相关部门验收合格之日起开始计算。</w:t>
      </w:r>
    </w:p>
    <w:p w14:paraId="25FE9D00">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2、质保期内若有施工质量问题、用量问题等，乙方必须在接到通知后的 24 个小时内派员维修并在24 小时内完成修复，因质量问题引起的损坏，乙方免收一切费用；对于质保范围外的维修，乙方承诺仅向甲方收取更换的材料、部件的成本费。若乙方在收到通知后不及时派员维修，甲方、物业管理公司</w:t>
      </w:r>
      <w:r>
        <w:rPr>
          <w:rFonts w:hint="eastAsia" w:asciiTheme="minorEastAsia" w:hAnsiTheme="minorEastAsia" w:eastAsiaTheme="minorEastAsia" w:cstheme="minorEastAsia"/>
          <w:color w:val="auto"/>
          <w:sz w:val="24"/>
          <w:szCs w:val="24"/>
          <w:highlight w:val="none"/>
          <w:lang w:val="en-US" w:eastAsia="zh-CN"/>
        </w:rPr>
        <w:t>有权（非义务）</w:t>
      </w:r>
      <w:r>
        <w:rPr>
          <w:rFonts w:hint="eastAsia" w:asciiTheme="minorEastAsia" w:hAnsiTheme="minorEastAsia" w:eastAsiaTheme="minorEastAsia" w:cstheme="minorEastAsia"/>
          <w:color w:val="auto"/>
          <w:sz w:val="24"/>
          <w:szCs w:val="24"/>
          <w:highlight w:val="none"/>
        </w:rPr>
        <w:t>另请人员</w:t>
      </w:r>
      <w:r>
        <w:rPr>
          <w:rFonts w:hint="eastAsia" w:asciiTheme="minorEastAsia" w:hAnsiTheme="minorEastAsia" w:eastAsiaTheme="minorEastAsia" w:cstheme="minorEastAsia"/>
          <w:color w:val="auto"/>
          <w:sz w:val="24"/>
          <w:szCs w:val="24"/>
          <w:highlight w:val="none"/>
          <w:lang w:val="en-US" w:eastAsia="zh-CN"/>
        </w:rPr>
        <w:t>或自行</w:t>
      </w:r>
      <w:r>
        <w:rPr>
          <w:rFonts w:hint="eastAsia" w:asciiTheme="minorEastAsia" w:hAnsiTheme="minorEastAsia" w:eastAsiaTheme="minorEastAsia" w:cstheme="minorEastAsia"/>
          <w:color w:val="auto"/>
          <w:sz w:val="24"/>
          <w:szCs w:val="24"/>
          <w:highlight w:val="none"/>
        </w:rPr>
        <w:t>修理，费用在质保金中扣除，如质保金不足以支付的，甲方有权向乙方追偿。因质量问题给甲方或第三方造成损失的，乙方承担全部赔偿责任。</w:t>
      </w:r>
    </w:p>
    <w:p w14:paraId="4290BB48">
      <w:pPr>
        <w:pStyle w:val="17"/>
        <w:tabs>
          <w:tab w:val="left" w:pos="0"/>
        </w:tabs>
        <w:wordWrap w:val="0"/>
        <w:topLinePunct/>
        <w:autoSpaceDE w:val="0"/>
        <w:rPr>
          <w:rFonts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bCs/>
          <w:color w:val="auto"/>
          <w:szCs w:val="24"/>
          <w:highlight w:val="none"/>
        </w:rPr>
        <w:t>十五、双方责任与义务</w:t>
      </w:r>
    </w:p>
    <w:p w14:paraId="286F761C">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1、甲方的责任与义务</w:t>
      </w:r>
    </w:p>
    <w:p w14:paraId="0D5F04F1">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1.1、遵守法律、法规和规章，甲方应在其实施本合同的全部工作中遵守与本合同有关的法律、法规和规章，并应承担由于其自身违反上述法律、法规和规章的责任。</w:t>
      </w:r>
    </w:p>
    <w:p w14:paraId="40D46FF0">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1.2、甲方委派</w:t>
      </w:r>
      <w:r>
        <w:rPr>
          <w:rFonts w:hint="eastAsia" w:asciiTheme="minorEastAsia" w:hAnsiTheme="minorEastAsia" w:eastAsiaTheme="minorEastAsia" w:cstheme="minorEastAsia"/>
          <w:color w:val="auto"/>
          <w:sz w:val="24"/>
          <w:szCs w:val="24"/>
          <w:highlight w:val="none"/>
          <w:u w:val="single"/>
        </w:rPr>
        <w:t>吕宏超</w:t>
      </w:r>
      <w:r>
        <w:rPr>
          <w:rFonts w:hint="eastAsia" w:asciiTheme="minorEastAsia" w:hAnsiTheme="minorEastAsia" w:eastAsiaTheme="minorEastAsia" w:cstheme="minorEastAsia"/>
          <w:color w:val="auto"/>
          <w:sz w:val="24"/>
          <w:szCs w:val="24"/>
          <w:highlight w:val="none"/>
        </w:rPr>
        <w:t>为现场代表，电话</w:t>
      </w:r>
      <w:r>
        <w:rPr>
          <w:rFonts w:hint="eastAsia" w:asciiTheme="minorEastAsia" w:hAnsiTheme="minorEastAsia" w:eastAsiaTheme="minorEastAsia" w:cstheme="minorEastAsia"/>
          <w:color w:val="auto"/>
          <w:sz w:val="24"/>
          <w:szCs w:val="24"/>
          <w:highlight w:val="none"/>
          <w:u w:val="single"/>
        </w:rPr>
        <w:t>18638893034</w:t>
      </w:r>
      <w:r>
        <w:rPr>
          <w:rFonts w:hint="eastAsia" w:asciiTheme="minorEastAsia" w:hAnsiTheme="minorEastAsia" w:eastAsiaTheme="minorEastAsia" w:cstheme="minorEastAsia"/>
          <w:color w:val="auto"/>
          <w:sz w:val="24"/>
          <w:szCs w:val="24"/>
          <w:highlight w:val="none"/>
        </w:rPr>
        <w:t xml:space="preserve"> ，监督、检查产品、工程的质量，协调工作中发生的有关事宜，并参与产品、工程的初验、验收和签证工作。如现场代表变更则需及时通知乙方。</w:t>
      </w:r>
    </w:p>
    <w:p w14:paraId="78DFC8C1">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1.3、甲方应提供乙方所需工程建筑图、说明书、建筑平面图、变更图及有关技术文件等作为乙方产品设计和施工的有效依据。</w:t>
      </w:r>
    </w:p>
    <w:p w14:paraId="74FB09D7">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1.4、甲方协调乙方与土建单位施工配合问题，并督促工程进度。</w:t>
      </w:r>
    </w:p>
    <w:p w14:paraId="57783BC1">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1.5、签订合同时，甲方向乙方提供建筑施工图、变更通知及相关材料1套。</w:t>
      </w:r>
    </w:p>
    <w:p w14:paraId="06A0F7C7">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1.6、甲方应及时按合同要求给乙方拨付工程款、组织工程竣工验收并按合同规定办理竣工结算。</w:t>
      </w:r>
    </w:p>
    <w:p w14:paraId="15DAB0E3">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1.7、进场材料及施工成品、半成品达不到标准要求的，甲方有权责令乙方调换。</w:t>
      </w:r>
    </w:p>
    <w:p w14:paraId="2C760742">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1.8、为乙方协调水源、电源接驳点。</w:t>
      </w:r>
    </w:p>
    <w:p w14:paraId="33110CC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 乙方责任与义务</w:t>
      </w:r>
    </w:p>
    <w:p w14:paraId="64861FF1">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2.1、遵守法律、法规和规章，乙方应在其负责的各项工作中遵守与本合同工程有关的法律、法规和规章，并保证甲方免于承担由于乙方违反上述法律、法规和规章的任何责任。</w:t>
      </w:r>
    </w:p>
    <w:p w14:paraId="703B2737">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2.2、乙方委派</w:t>
      </w:r>
      <w:r>
        <w:rPr>
          <w:rFonts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rPr>
        <w:t>索兴杰</w:t>
      </w:r>
      <w:r>
        <w:rPr>
          <w:rFonts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为现场代表，电话</w:t>
      </w:r>
      <w:r>
        <w:rPr>
          <w:rFonts w:asciiTheme="minorEastAsia" w:hAnsiTheme="minorEastAsia" w:eastAsiaTheme="minorEastAsia" w:cstheme="minorEastAsia"/>
          <w:color w:val="auto"/>
          <w:sz w:val="24"/>
          <w:szCs w:val="24"/>
          <w:highlight w:val="none"/>
          <w:u w:val="single"/>
        </w:rPr>
        <w:t xml:space="preserve"> 18339205862</w:t>
      </w:r>
      <w:r>
        <w:rPr>
          <w:rFonts w:asciiTheme="minorEastAsia" w:hAnsiTheme="minorEastAsia" w:eastAsiaTheme="minorEastAsia" w:cstheme="minorEastAsia"/>
          <w:color w:val="auto"/>
          <w:sz w:val="24"/>
          <w:szCs w:val="24"/>
          <w:highlight w:val="none"/>
          <w:u w:val="none"/>
        </w:rPr>
        <w:t xml:space="preserve"> </w:t>
      </w:r>
      <w:r>
        <w:rPr>
          <w:rFonts w:hint="eastAsia" w:asciiTheme="minorEastAsia" w:hAnsiTheme="minorEastAsia" w:eastAsiaTheme="minorEastAsia" w:cstheme="minorEastAsia"/>
          <w:color w:val="auto"/>
          <w:sz w:val="24"/>
          <w:szCs w:val="24"/>
          <w:highlight w:val="none"/>
        </w:rPr>
        <w:t>，并须持有与工程项目相适应的资格证书，负责施工期间的施工质量、安全问题，协调工作中发生的有关事宜。如现场代表变更则需经甲方同意。</w:t>
      </w:r>
    </w:p>
    <w:p w14:paraId="56746ACF">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2.3、乙方应服从甲方、监理单位、总承包单位的管理，密切配合总承包单位施工，遵守工地的有关规定；严格实行工序开工前向监理报验制度。</w:t>
      </w:r>
    </w:p>
    <w:p w14:paraId="2A4BC2E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2.4、乙方需无条件配合其它二次单位（软装、智能化等）做好预留预埋工作。</w:t>
      </w:r>
    </w:p>
    <w:p w14:paraId="17077E9B">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2.5、乙方不得将该工程转包或分包，否则甲方不支付乙方所发生的任何费用。</w:t>
      </w:r>
    </w:p>
    <w:p w14:paraId="59FAFC3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2.6、按照施工安全规范的要求，采取相应的安全施工防护措施，对验收合格</w:t>
      </w:r>
      <w:r>
        <w:rPr>
          <w:rFonts w:hint="eastAsia" w:asciiTheme="minorEastAsia" w:hAnsiTheme="minorEastAsia" w:eastAsiaTheme="minorEastAsia" w:cstheme="minorEastAsia"/>
          <w:color w:val="auto"/>
          <w:sz w:val="24"/>
          <w:szCs w:val="24"/>
          <w:highlight w:val="none"/>
          <w:lang w:val="en-US" w:eastAsia="zh-CN"/>
        </w:rPr>
        <w:t>移交甲方</w:t>
      </w:r>
      <w:r>
        <w:rPr>
          <w:rFonts w:hint="eastAsia" w:asciiTheme="minorEastAsia" w:hAnsiTheme="minorEastAsia" w:eastAsiaTheme="minorEastAsia" w:cstheme="minorEastAsia"/>
          <w:color w:val="auto"/>
          <w:sz w:val="24"/>
          <w:szCs w:val="24"/>
          <w:highlight w:val="none"/>
        </w:rPr>
        <w:t>前的安全负全责，发生安全事故与甲方及总承包单位无关，一切责任由乙方承担，甲方因此承担责任的，乙方应负责赔偿；做到文明施工，工完料清、场清；乙方做好半成品保护工作。</w:t>
      </w:r>
    </w:p>
    <w:p w14:paraId="7E7F0714">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2.7、做好各项质量自检记录，参加竣工验收，编制工程结算。</w:t>
      </w:r>
    </w:p>
    <w:p w14:paraId="721AE5D3">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2.8、遵守国家或地方政府及有关部门对施工现场管理规定；服从甲方的有关指令，积极配合甲方进度安排。</w:t>
      </w:r>
    </w:p>
    <w:p w14:paraId="701BA435">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2.9、依据规范要求，负责组织工程验收及检测，验收及检测费由乙方自理。</w:t>
      </w:r>
    </w:p>
    <w:p w14:paraId="5A12ECB4">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2.10、根据施工验收规范及甲方要求，及时向甲方和总承包单位提供该分项技术资料。</w:t>
      </w:r>
    </w:p>
    <w:p w14:paraId="5DED19B4">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2.11、甲方告知水源电源接驳点，但是具体接驳工作及产生的水电费由乙方自行承担。乙方在施工中用水、用电耗直接向总承包单位缴纳（具体的计量计价方式由乙方和总承包单位自行协商确定）。</w:t>
      </w:r>
    </w:p>
    <w:p w14:paraId="517BDAA5">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2.12、周边关系由乙方进行协调，包括协调的责任及相关费用。</w:t>
      </w:r>
    </w:p>
    <w:p w14:paraId="45515311">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2.13、乙方负责电梯门洞及电梯控制箱周边的封堵。</w:t>
      </w:r>
    </w:p>
    <w:p w14:paraId="3760FE54">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2.14、乙方负责完工后异味去除、保洁、垃圾清理、成品保护等收尾工作。</w:t>
      </w:r>
    </w:p>
    <w:p w14:paraId="6B6F80B5">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2.15、乙方承诺本项目不因其他项目的合作（付款）影响本项目的施工，否则自愿承担10万元违约金。</w:t>
      </w:r>
    </w:p>
    <w:p w14:paraId="1A6F8E22">
      <w:pPr>
        <w:pStyle w:val="17"/>
        <w:tabs>
          <w:tab w:val="left" w:pos="0"/>
        </w:tabs>
        <w:wordWrap w:val="0"/>
        <w:topLinePunct/>
        <w:autoSpaceDE w:val="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十六、违约责任</w:t>
      </w:r>
    </w:p>
    <w:p w14:paraId="3F920BEE">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1、除不可抗力外，甲乙双方应严格遵守本合同的条款，否则，违约方须承担违约责任。</w:t>
      </w:r>
    </w:p>
    <w:p w14:paraId="5B946080">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2、乙方逾期进场、完工的或单独楼栋、总体工程未能按本合同约定工期进场、完工的，视为乙方违约，每逾期一天，按2000元/天向甲方支付违约金，同时因施工逾期引起的相关损失由乙方承担。</w:t>
      </w:r>
    </w:p>
    <w:p w14:paraId="0958BA95">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3、乙方存在其他任何逾期违约行为但未达到甲方行使单方解除条件的，每逾期一日，按2000元/日向甲方支付违约金，本合同另有约定时除外。</w:t>
      </w:r>
    </w:p>
    <w:p w14:paraId="494047FB">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4、乙方存在其他违约行为但未达到甲方行使单方解除条件的，每存在一项/次违约行为，乙方应按2000元/次（项）向甲方支付违约金，本合同另有约定的除外。</w:t>
      </w:r>
    </w:p>
    <w:p w14:paraId="2CD4BFF3">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5、乙方提供产品的品牌、规格、型号等与本合同约定不符的，视为乙方违约，甲方有权拒绝验收，乙方应在5日内无偿更换。</w:t>
      </w:r>
    </w:p>
    <w:p w14:paraId="0DD80CDD">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14:paraId="12F1AFDD">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8、乙方违约导致甲方解除合同的，乙方所有人员必须在3日内撤离施工现场，甲方已支付的预付款（如有）需在3日内退还至甲方，由此造成的所有损失均由乙方负责。</w:t>
      </w:r>
    </w:p>
    <w:p w14:paraId="09EBEF48">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9、乙方应向甲方支付的违约金等，甲方有权直接在甲方应付未付款中扣除，违约金不足以弥补甲方损失的，甲方可继续向乙方追偿。</w:t>
      </w:r>
    </w:p>
    <w:p w14:paraId="0D97FDD3">
      <w:pPr>
        <w:pStyle w:val="17"/>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10、合同约定应由乙方完成的工作内容（包括但不限于：承包范围内防火门施工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14:paraId="623CE543">
      <w:pPr>
        <w:pStyle w:val="17"/>
        <w:tabs>
          <w:tab w:val="left" w:pos="0"/>
        </w:tabs>
        <w:wordWrap w:val="0"/>
        <w:topLinePunct/>
        <w:rPr>
          <w:rFonts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十七、不可抗力</w:t>
      </w:r>
    </w:p>
    <w:p w14:paraId="1134EFCB">
      <w:pPr>
        <w:pStyle w:val="17"/>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1、不可抗力指因战争、动乱、瘟疫、空中飞行物坠落或其他非双方责任造成的爆炸、火灾以及9级以上的台风、7级及7级以上的地震等。（以当地行业主管部门的公告为准 ）。</w:t>
      </w:r>
    </w:p>
    <w:p w14:paraId="2023CCA2">
      <w:pPr>
        <w:pStyle w:val="17"/>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14:paraId="1736A7A1">
      <w:pPr>
        <w:pStyle w:val="17"/>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3、费用承担：</w:t>
      </w:r>
    </w:p>
    <w:p w14:paraId="18F570F2">
      <w:pPr>
        <w:pStyle w:val="17"/>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3.1、人员伤亡由所属单位负责，并承担相应费用；</w:t>
      </w:r>
    </w:p>
    <w:p w14:paraId="344F6419">
      <w:pPr>
        <w:pStyle w:val="17"/>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3.2、造成乙方工程设备、机械的损失等损失由乙方承担；</w:t>
      </w:r>
    </w:p>
    <w:p w14:paraId="2EA31406">
      <w:pPr>
        <w:pStyle w:val="17"/>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3.3、所需清理修复工作的责任与费用的承担，双方另行商定。</w:t>
      </w:r>
    </w:p>
    <w:p w14:paraId="7BB4F364">
      <w:pPr>
        <w:pStyle w:val="17"/>
        <w:tabs>
          <w:tab w:val="left" w:pos="0"/>
        </w:tabs>
        <w:wordWrap w:val="0"/>
        <w:topLinePunct/>
        <w:autoSpaceDE w:val="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十八、送达条款</w:t>
      </w:r>
    </w:p>
    <w:p w14:paraId="037B2FF0">
      <w:pPr>
        <w:wordWrap w:val="0"/>
        <w:topLinePunct/>
        <w:autoSpaceDE w:val="0"/>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甲乙双方明确送达信息如下：</w:t>
      </w:r>
    </w:p>
    <w:p w14:paraId="1C0EC13C">
      <w:pPr>
        <w:wordWrap w:val="0"/>
        <w:topLinePunct/>
        <w:autoSpaceDE w:val="0"/>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1、甲方确认的送达信息为：</w:t>
      </w:r>
    </w:p>
    <w:p w14:paraId="1A6164D1">
      <w:pPr>
        <w:tabs>
          <w:tab w:val="left" w:pos="1276"/>
        </w:tabs>
        <w:wordWrap w:val="0"/>
        <w:topLinePunct/>
        <w:autoSpaceDE w:val="0"/>
        <w:spacing w:line="360" w:lineRule="auto"/>
        <w:ind w:left="386" w:left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送达地址：</w:t>
      </w:r>
      <w:r>
        <w:rPr>
          <w:rFonts w:hint="eastAsia" w:asciiTheme="minorEastAsia" w:hAnsiTheme="minorEastAsia" w:eastAsiaTheme="minorEastAsia" w:cstheme="minorEastAsia"/>
          <w:color w:val="auto"/>
          <w:sz w:val="24"/>
          <w:szCs w:val="24"/>
          <w:highlight w:val="none"/>
          <w:u w:val="single"/>
        </w:rPr>
        <w:t xml:space="preserve">洛阳市洛龙区关林西路8号中浩德控股集团有限公司1楼 </w:t>
      </w:r>
      <w:r>
        <w:rPr>
          <w:rFonts w:hint="eastAsia" w:asciiTheme="minorEastAsia" w:hAnsiTheme="minorEastAsia" w:eastAsiaTheme="minorEastAsia" w:cstheme="minorEastAsia"/>
          <w:color w:val="auto"/>
          <w:sz w:val="24"/>
          <w:szCs w:val="24"/>
          <w:highlight w:val="none"/>
        </w:rPr>
        <w:t xml:space="preserve">。 </w:t>
      </w:r>
    </w:p>
    <w:p w14:paraId="7FA0E4F3">
      <w:pPr>
        <w:tabs>
          <w:tab w:val="left" w:pos="1276"/>
        </w:tabs>
        <w:wordWrap w:val="0"/>
        <w:topLinePunct/>
        <w:autoSpaceDE w:val="0"/>
        <w:spacing w:line="360" w:lineRule="auto"/>
        <w:ind w:left="386" w:left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联系人：</w:t>
      </w:r>
      <w:r>
        <w:rPr>
          <w:rFonts w:hint="eastAsia" w:asciiTheme="minorEastAsia" w:hAnsiTheme="minorEastAsia" w:eastAsiaTheme="minorEastAsia" w:cstheme="minorEastAsia"/>
          <w:color w:val="auto"/>
          <w:sz w:val="24"/>
          <w:szCs w:val="24"/>
          <w:highlight w:val="none"/>
          <w:u w:val="single"/>
        </w:rPr>
        <w:t>成本管理部</w:t>
      </w:r>
      <w:r>
        <w:rPr>
          <w:rFonts w:hint="eastAsia" w:asciiTheme="minorEastAsia" w:hAnsiTheme="minorEastAsia" w:eastAsiaTheme="minorEastAsia" w:cstheme="minorEastAsia"/>
          <w:color w:val="auto"/>
          <w:sz w:val="24"/>
          <w:szCs w:val="24"/>
          <w:highlight w:val="none"/>
        </w:rPr>
        <w:t>；联系固话：</w:t>
      </w:r>
      <w:r>
        <w:rPr>
          <w:rFonts w:hint="eastAsia" w:asciiTheme="minorEastAsia" w:hAnsiTheme="minorEastAsia" w:eastAsiaTheme="minorEastAsia" w:cstheme="minorEastAsia"/>
          <w:color w:val="auto"/>
          <w:sz w:val="24"/>
          <w:szCs w:val="24"/>
          <w:highlight w:val="none"/>
          <w:u w:val="single"/>
        </w:rPr>
        <w:t>0379-60667770</w:t>
      </w:r>
      <w:r>
        <w:rPr>
          <w:rFonts w:hint="eastAsia" w:asciiTheme="minorEastAsia" w:hAnsiTheme="minorEastAsia" w:eastAsiaTheme="minorEastAsia" w:cstheme="minorEastAsia"/>
          <w:color w:val="auto"/>
          <w:sz w:val="24"/>
          <w:szCs w:val="24"/>
          <w:highlight w:val="none"/>
        </w:rPr>
        <w:t>；联系手机 ：</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 xml:space="preserve">。  </w:t>
      </w:r>
    </w:p>
    <w:p w14:paraId="622361E7">
      <w:pPr>
        <w:tabs>
          <w:tab w:val="left" w:pos="1276"/>
        </w:tabs>
        <w:wordWrap w:val="0"/>
        <w:topLinePunct/>
        <w:autoSpaceDE w:val="0"/>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2、乙方确认的送达信息为：</w:t>
      </w:r>
    </w:p>
    <w:p w14:paraId="16910692">
      <w:pPr>
        <w:spacing w:line="360" w:lineRule="auto"/>
        <w:ind w:firstLine="435" w:firstLineChars="195"/>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送达地址：</w:t>
      </w:r>
      <w:r>
        <w:rPr>
          <w:rFonts w:hint="eastAsia" w:asciiTheme="minorEastAsia" w:hAnsiTheme="minorEastAsia" w:eastAsiaTheme="minorEastAsia" w:cstheme="minorEastAsia"/>
          <w:color w:val="auto"/>
          <w:sz w:val="24"/>
          <w:szCs w:val="24"/>
          <w:highlight w:val="none"/>
          <w:u w:val="single"/>
          <w:shd w:val="clear" w:color="auto" w:fill="auto"/>
        </w:rPr>
        <w:t>郑州市金水区卫生路11号附1号院办公楼</w:t>
      </w:r>
      <w:r>
        <w:rPr>
          <w:rFonts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57603942">
      <w:pPr>
        <w:pStyle w:val="17"/>
        <w:wordWrap w:val="0"/>
        <w:topLinePunct/>
        <w:autoSpaceDE w:val="0"/>
        <w:ind w:left="386" w:leftChars="20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联系人：</w:t>
      </w:r>
      <w:r>
        <w:rPr>
          <w:rFonts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rPr>
        <w:t>余静</w:t>
      </w:r>
      <w:r>
        <w:rPr>
          <w:rFonts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；联系固话：</w:t>
      </w:r>
      <w:r>
        <w:rPr>
          <w:rFonts w:hint="eastAsia" w:asciiTheme="minorEastAsia" w:hAnsiTheme="minorEastAsia" w:eastAsiaTheme="minorEastAsia" w:cstheme="minorEastAsia"/>
          <w:color w:val="auto"/>
          <w:sz w:val="24"/>
          <w:szCs w:val="24"/>
          <w:highlight w:val="none"/>
          <w:u w:val="single"/>
        </w:rPr>
        <w:t>0371-53370119</w:t>
      </w:r>
      <w:r>
        <w:rPr>
          <w:rFonts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；联系手机</w:t>
      </w:r>
      <w:r>
        <w:rPr>
          <w:rFonts w:asciiTheme="minorEastAsia" w:hAnsiTheme="minorEastAsia" w:eastAsiaTheme="minorEastAsia" w:cstheme="minorEastAsia"/>
          <w:color w:val="auto"/>
          <w:szCs w:val="24"/>
          <w:highlight w:val="none"/>
        </w:rPr>
        <w:t xml:space="preserve"> ： </w:t>
      </w:r>
      <w:r>
        <w:rPr>
          <w:rFonts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rPr>
        <w:t>/</w:t>
      </w:r>
      <w:r>
        <w:rPr>
          <w:rFonts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w:t>
      </w:r>
    </w:p>
    <w:p w14:paraId="6B20B756">
      <w:pPr>
        <w:spacing w:line="360" w:lineRule="auto"/>
        <w:ind w:firstLine="435" w:firstLineChars="195"/>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双方在此共同确认，上述送达信息将作为双方在合同项下邮寄往来通知、函件等任何文件资料及法院送达法律文书的唯一有效送达地址及联系信息。任何一方变更送达信息，应当提前10日书面通知对方，否则视为未变更。任何一方按照上述送达信息向对方邮寄任何文件资料，自邮件发出后的第3日视为已经有效送达对方并产生相应的法律后果，不论该邮件是否已经由对方实际签收。</w:t>
      </w:r>
    </w:p>
    <w:p w14:paraId="54C5922E">
      <w:pPr>
        <w:pStyle w:val="17"/>
        <w:wordWrap w:val="0"/>
        <w:topLinePunct/>
        <w:autoSpaceDE w:val="0"/>
        <w:rPr>
          <w:rFonts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十九、合同解约条款</w:t>
      </w:r>
    </w:p>
    <w:p w14:paraId="5C420EB9">
      <w:pPr>
        <w:tabs>
          <w:tab w:val="left" w:pos="900"/>
        </w:tabs>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乙方存在如下任一情况的，甲方有权要求乙方按照合同总价的20%支付违约金（本合同另有约定时除外），且有权解除本合同，解除通知到达乙方之日生效，该违约金不足以弥补甲方损失，乙方还应继续承担赔偿责任。</w:t>
      </w:r>
    </w:p>
    <w:p w14:paraId="1CCCB656">
      <w:pPr>
        <w:tabs>
          <w:tab w:val="left" w:pos="900"/>
        </w:tabs>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1.1、本工程不能通过验收的；</w:t>
      </w:r>
    </w:p>
    <w:p w14:paraId="2CDC3F9C">
      <w:pPr>
        <w:tabs>
          <w:tab w:val="left" w:pos="900"/>
        </w:tabs>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1.2、乙方未能按时进场施工的，在甲方发出书面通知后的5日内仍未进场施工的；</w:t>
      </w:r>
    </w:p>
    <w:p w14:paraId="5EEF4045">
      <w:pPr>
        <w:tabs>
          <w:tab w:val="left" w:pos="900"/>
        </w:tabs>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1.3、乙方在施工过程中非因不可抗力或甲方原因造成连续停工7日以上或累计达7日的；</w:t>
      </w:r>
    </w:p>
    <w:p w14:paraId="54B2F5A5">
      <w:pPr>
        <w:tabs>
          <w:tab w:val="left" w:pos="900"/>
        </w:tabs>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1.4、乙方逾期竣工、向甲方提交竣工结算书及完整的竣工结算资料、核对工程价款或其他逾期行为达7日及以上的；</w:t>
      </w:r>
    </w:p>
    <w:p w14:paraId="48F6C408">
      <w:pPr>
        <w:tabs>
          <w:tab w:val="left" w:pos="900"/>
        </w:tabs>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1.5、乙方人员在施工区内出现打架斗殴行为至警察出警、立案、相关行为人受到行政处罚或刑事处罚的；</w:t>
      </w:r>
    </w:p>
    <w:p w14:paraId="3A0B86D1">
      <w:pPr>
        <w:tabs>
          <w:tab w:val="left" w:pos="900"/>
        </w:tabs>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1.6、乙方擅自把工程分包或转包给其他任何单位的；</w:t>
      </w:r>
    </w:p>
    <w:p w14:paraId="2730B2D4">
      <w:pPr>
        <w:tabs>
          <w:tab w:val="left" w:pos="900"/>
        </w:tabs>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1.7、乙方与甲方工作人员串通、虚构事实或使用其他方式虚报工程量的；</w:t>
      </w:r>
    </w:p>
    <w:p w14:paraId="52B560AA">
      <w:pPr>
        <w:tabs>
          <w:tab w:val="left" w:pos="900"/>
        </w:tabs>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1.8、甲方或监理方对同一施工问题连续下发三次整改通知书后乙方无作为或整改问题未在整改通知书要求的期限内解决；</w:t>
      </w:r>
    </w:p>
    <w:p w14:paraId="00BAC95F">
      <w:pPr>
        <w:tabs>
          <w:tab w:val="left" w:pos="900"/>
        </w:tabs>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1.9、乙方购置不符合合同约定的品牌、厂家、产地、材质、工艺、规格、型号等标准的产品或者假冒伪劣产品用于本工程；</w:t>
      </w:r>
    </w:p>
    <w:p w14:paraId="619EEDDA">
      <w:pPr>
        <w:tabs>
          <w:tab w:val="left" w:pos="900"/>
        </w:tabs>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1.10、乙方存在其他违约行为，经甲方书面通知之日7日内仍未纠正的。</w:t>
      </w:r>
    </w:p>
    <w:p w14:paraId="6EC347EC">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14:paraId="793E95A1">
      <w:pPr>
        <w:spacing w:line="360" w:lineRule="auto"/>
        <w:ind w:firstLine="446"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3、如合同解约甲方有权委托其他公司进行施工。</w:t>
      </w:r>
    </w:p>
    <w:p w14:paraId="68B8A97A">
      <w:pPr>
        <w:pStyle w:val="17"/>
        <w:wordWrap w:val="0"/>
        <w:topLinePunct/>
        <w:autoSpaceDE w:val="0"/>
        <w:rPr>
          <w:rFonts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二十、争议的解决</w:t>
      </w:r>
    </w:p>
    <w:p w14:paraId="294BD831">
      <w:pPr>
        <w:wordWrap w:val="0"/>
        <w:topLinePunct/>
        <w:autoSpaceDE w:val="0"/>
        <w:spacing w:line="360" w:lineRule="auto"/>
        <w:ind w:firstLine="478" w:firstLineChars="200"/>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本合同履行过程中发生争议或纠纷的，由当事人双方协商解决。协商不成时，双方同意向合同签约地人民法院提起诉讼。</w:t>
      </w:r>
    </w:p>
    <w:p w14:paraId="7C537C85">
      <w:pPr>
        <w:pStyle w:val="17"/>
        <w:wordWrap w:val="0"/>
        <w:topLinePunct/>
        <w:autoSpaceDE w:val="0"/>
        <w:rPr>
          <w:rFonts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二十一、其他</w:t>
      </w:r>
    </w:p>
    <w:p w14:paraId="73B0B49C">
      <w:pPr>
        <w:wordWrap w:val="0"/>
        <w:topLinePunct/>
        <w:autoSpaceDE w:val="0"/>
        <w:spacing w:line="360" w:lineRule="auto"/>
        <w:ind w:firstLine="478" w:firstLineChars="200"/>
        <w:rPr>
          <w:rFonts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rPr>
        <w:t>1、本合同未尽事宜双方协商解决或另签补充协议，补充协议与本合同具有同等法律效力。</w:t>
      </w:r>
    </w:p>
    <w:p w14:paraId="023DD434">
      <w:pPr>
        <w:wordWrap w:val="0"/>
        <w:topLinePunct/>
        <w:autoSpaceDE w:val="0"/>
        <w:spacing w:line="360" w:lineRule="auto"/>
        <w:ind w:firstLine="478" w:firstLineChars="200"/>
        <w:rPr>
          <w:rFonts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rPr>
        <w:t>2、本合同一式柒份，甲方伍份，乙方贰份，均具有同等法律效力。</w:t>
      </w:r>
    </w:p>
    <w:p w14:paraId="4C82B431">
      <w:pPr>
        <w:wordWrap w:val="0"/>
        <w:topLinePunct/>
        <w:autoSpaceDE w:val="0"/>
        <w:spacing w:line="360" w:lineRule="auto"/>
        <w:ind w:firstLine="478" w:firstLineChars="200"/>
        <w:rPr>
          <w:rFonts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rPr>
        <w:t>3、本合同及其补充协议自双方盖章之日起生效。</w:t>
      </w:r>
    </w:p>
    <w:p w14:paraId="654FDE14">
      <w:pPr>
        <w:pStyle w:val="17"/>
        <w:wordWrap w:val="0"/>
        <w:topLinePunct/>
        <w:autoSpaceDE w:val="0"/>
        <w:ind w:firstLine="478" w:firstLineChars="200"/>
        <w:rPr>
          <w:rFonts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rPr>
        <w:t>4、合同签订地点：洛阳市洛龙区。</w:t>
      </w:r>
    </w:p>
    <w:p w14:paraId="78F5DFBF">
      <w:pPr>
        <w:pStyle w:val="17"/>
        <w:wordWrap w:val="0"/>
        <w:topLinePunct/>
        <w:autoSpaceDE w:val="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十二、合同附件</w:t>
      </w:r>
    </w:p>
    <w:p w14:paraId="32B5F1DC">
      <w:pPr>
        <w:spacing w:line="360" w:lineRule="auto"/>
        <w:ind w:firstLine="478" w:firstLineChars="200"/>
        <w:rPr>
          <w:rFonts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rPr>
        <w:t>1、合同附件一、《廉政合作协议》</w:t>
      </w:r>
    </w:p>
    <w:p w14:paraId="3E77C2A8">
      <w:pPr>
        <w:spacing w:line="360" w:lineRule="auto"/>
        <w:ind w:firstLine="478" w:firstLineChars="200"/>
        <w:rPr>
          <w:rFonts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rPr>
        <w:t>2、合同附件二、《乙方派驻本工程人员名单表》</w:t>
      </w:r>
    </w:p>
    <w:p w14:paraId="46F42BC0">
      <w:pPr>
        <w:spacing w:line="360" w:lineRule="auto"/>
        <w:ind w:firstLine="478" w:firstLineChars="200"/>
        <w:rPr>
          <w:rFonts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rPr>
        <w:t>3、合同附件三、《材料品牌表》</w:t>
      </w:r>
    </w:p>
    <w:p w14:paraId="332403B2">
      <w:pPr>
        <w:ind w:firstLine="478" w:firstLineChars="200"/>
        <w:rPr>
          <w:rFonts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rPr>
        <w:t>4、合同附件四、《装修工程外观验收标准》</w:t>
      </w:r>
    </w:p>
    <w:p w14:paraId="12506F12">
      <w:pPr>
        <w:spacing w:line="360" w:lineRule="auto"/>
        <w:ind w:firstLine="478" w:firstLineChars="200"/>
        <w:rPr>
          <w:rFonts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rPr>
        <w:t>5、合同附件五、《工程完工清洁移交标准》</w:t>
      </w:r>
    </w:p>
    <w:p w14:paraId="346988F6">
      <w:pPr>
        <w:spacing w:line="360" w:lineRule="auto"/>
        <w:ind w:firstLine="478" w:firstLineChars="200"/>
        <w:rPr>
          <w:rFonts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rPr>
        <w:t>6、合同附件六、《成品保护标准》</w:t>
      </w:r>
    </w:p>
    <w:p w14:paraId="63CDD0DF">
      <w:pPr>
        <w:spacing w:line="360" w:lineRule="auto"/>
        <w:ind w:firstLine="478" w:firstLineChars="200"/>
        <w:rPr>
          <w:rFonts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rPr>
        <w:t>7、合同附件七、《价格清单》</w:t>
      </w:r>
    </w:p>
    <w:p w14:paraId="106691B8">
      <w:pPr>
        <w:topLinePunct/>
        <w:autoSpaceDE w:val="0"/>
        <w:spacing w:line="360" w:lineRule="auto"/>
        <w:ind w:firstLine="446"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甲方：（盖章）                          乙方：（盖章）  </w:t>
      </w:r>
    </w:p>
    <w:p w14:paraId="3F06111E">
      <w:pPr>
        <w:topLinePunct/>
        <w:autoSpaceDE w:val="0"/>
        <w:spacing w:line="360" w:lineRule="auto"/>
        <w:ind w:firstLine="446"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洛阳浩德鑫置地有限公司                 河南泰康建筑工程有限公司</w:t>
      </w:r>
    </w:p>
    <w:p w14:paraId="2C223D1E">
      <w:pPr>
        <w:topLinePunct/>
        <w:autoSpaceDE w:val="0"/>
        <w:spacing w:line="360" w:lineRule="auto"/>
        <w:ind w:firstLine="446"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法定代表人：                            法定代表人：</w:t>
      </w:r>
    </w:p>
    <w:p w14:paraId="24732225">
      <w:pPr>
        <w:topLinePunct/>
        <w:autoSpaceDE w:val="0"/>
        <w:spacing w:line="360" w:lineRule="auto"/>
        <w:ind w:firstLine="446"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委托代理人：                            委托代理人：</w:t>
      </w:r>
    </w:p>
    <w:p w14:paraId="49606D6B">
      <w:pPr>
        <w:topLinePunct/>
        <w:autoSpaceDE w:val="0"/>
        <w:spacing w:line="360" w:lineRule="auto"/>
        <w:ind w:firstLine="446"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纳税人识别号：914103005542480325       纳税人识别号：91410105576302124N</w:t>
      </w:r>
    </w:p>
    <w:p w14:paraId="1490BE1A">
      <w:pPr>
        <w:spacing w:line="360" w:lineRule="auto"/>
        <w:ind w:firstLine="446"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开户行：洛阳农商行李楼支行</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xml:space="preserve">        开户行：上海浦东发展银行郑州分行健康路支行 </w:t>
      </w:r>
    </w:p>
    <w:p w14:paraId="5446414F">
      <w:pPr>
        <w:topLinePunct/>
        <w:autoSpaceDE w:val="0"/>
        <w:spacing w:line="360" w:lineRule="auto"/>
        <w:ind w:firstLine="446"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账号：67006011700000110</w:t>
      </w: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lang w:val="en-US" w:eastAsia="zh-CN"/>
        </w:rPr>
        <w:t xml:space="preserve">   </w:t>
      </w:r>
      <w:r>
        <w:rPr>
          <w:rFonts w:hint="eastAsia" w:asciiTheme="minorEastAsia" w:hAnsiTheme="minorEastAsia" w:eastAsiaTheme="minorEastAsia" w:cstheme="minorEastAsia"/>
          <w:bCs/>
          <w:color w:val="auto"/>
          <w:sz w:val="24"/>
          <w:szCs w:val="24"/>
          <w:highlight w:val="none"/>
        </w:rPr>
        <w:t>账号：  76040155100000829</w:t>
      </w:r>
    </w:p>
    <w:p w14:paraId="682597FA">
      <w:pPr>
        <w:topLinePunct/>
        <w:autoSpaceDE w:val="0"/>
        <w:ind w:firstLine="446"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签订日期：</w:t>
      </w:r>
      <w:r>
        <w:rPr>
          <w:rFonts w:hint="eastAsia" w:asciiTheme="minorEastAsia" w:hAnsiTheme="minorEastAsia" w:eastAsiaTheme="minorEastAsia" w:cstheme="minorEastAsia"/>
          <w:bCs/>
          <w:color w:val="auto"/>
          <w:sz w:val="24"/>
          <w:szCs w:val="24"/>
          <w:highlight w:val="none"/>
          <w:u w:val="single"/>
        </w:rPr>
        <w:t>2024</w:t>
      </w:r>
      <w:r>
        <w:rPr>
          <w:rFonts w:hint="eastAsia" w:asciiTheme="minorEastAsia" w:hAnsiTheme="minorEastAsia" w:eastAsiaTheme="minorEastAsia" w:cstheme="minorEastAsia"/>
          <w:bCs/>
          <w:color w:val="auto"/>
          <w:sz w:val="24"/>
          <w:szCs w:val="24"/>
          <w:highlight w:val="none"/>
        </w:rPr>
        <w:t>年</w:t>
      </w:r>
      <w:r>
        <w:rPr>
          <w:rFonts w:hint="eastAsia" w:asciiTheme="minorEastAsia" w:hAnsiTheme="minorEastAsia" w:eastAsiaTheme="minorEastAsia" w:cstheme="minorEastAsia"/>
          <w:bCs/>
          <w:color w:val="auto"/>
          <w:sz w:val="24"/>
          <w:szCs w:val="24"/>
          <w:highlight w:val="none"/>
          <w:u w:val="single"/>
          <w:lang w:val="en-US" w:eastAsia="zh-CN"/>
        </w:rPr>
        <w:t>11</w:t>
      </w:r>
      <w:r>
        <w:rPr>
          <w:rFonts w:hint="eastAsia" w:asciiTheme="minorEastAsia" w:hAnsiTheme="minorEastAsia" w:eastAsiaTheme="minorEastAsia" w:cstheme="minorEastAsia"/>
          <w:bCs/>
          <w:color w:val="auto"/>
          <w:sz w:val="24"/>
          <w:szCs w:val="24"/>
          <w:highlight w:val="none"/>
        </w:rPr>
        <w:t>月</w:t>
      </w:r>
      <w:r>
        <w:rPr>
          <w:rFonts w:hint="eastAsia" w:asciiTheme="minorEastAsia" w:hAnsiTheme="minorEastAsia" w:eastAsiaTheme="minorEastAsia" w:cstheme="minorEastAsia"/>
          <w:bCs/>
          <w:color w:val="auto"/>
          <w:sz w:val="24"/>
          <w:szCs w:val="24"/>
          <w:highlight w:val="none"/>
          <w:u w:val="single"/>
          <w:lang w:val="en-US" w:eastAsia="zh-CN"/>
        </w:rPr>
        <w:t>10</w:t>
      </w:r>
      <w:r>
        <w:rPr>
          <w:rFonts w:hint="eastAsia" w:asciiTheme="minorEastAsia" w:hAnsiTheme="minorEastAsia" w:eastAsiaTheme="minorEastAsia" w:cstheme="minorEastAsia"/>
          <w:bCs/>
          <w:color w:val="auto"/>
          <w:sz w:val="24"/>
          <w:szCs w:val="24"/>
          <w:highlight w:val="none"/>
        </w:rPr>
        <w:t>日           签订日期：</w:t>
      </w:r>
      <w:r>
        <w:rPr>
          <w:rFonts w:hint="eastAsia" w:asciiTheme="minorEastAsia" w:hAnsiTheme="minorEastAsia" w:eastAsiaTheme="minorEastAsia" w:cstheme="minorEastAsia"/>
          <w:bCs/>
          <w:color w:val="auto"/>
          <w:sz w:val="24"/>
          <w:szCs w:val="24"/>
          <w:highlight w:val="none"/>
          <w:u w:val="single"/>
        </w:rPr>
        <w:t>2024</w:t>
      </w:r>
      <w:r>
        <w:rPr>
          <w:rFonts w:hint="eastAsia" w:asciiTheme="minorEastAsia" w:hAnsiTheme="minorEastAsia" w:eastAsiaTheme="minorEastAsia" w:cstheme="minorEastAsia"/>
          <w:bCs/>
          <w:color w:val="auto"/>
          <w:sz w:val="24"/>
          <w:szCs w:val="24"/>
          <w:highlight w:val="none"/>
        </w:rPr>
        <w:t>年</w:t>
      </w:r>
      <w:r>
        <w:rPr>
          <w:rFonts w:hint="eastAsia" w:asciiTheme="minorEastAsia" w:hAnsiTheme="minorEastAsia" w:eastAsiaTheme="minorEastAsia" w:cstheme="minorEastAsia"/>
          <w:bCs/>
          <w:color w:val="auto"/>
          <w:sz w:val="24"/>
          <w:szCs w:val="24"/>
          <w:highlight w:val="none"/>
          <w:u w:val="single"/>
          <w:lang w:val="en-US" w:eastAsia="zh-CN"/>
        </w:rPr>
        <w:t>11</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月</w:t>
      </w:r>
      <w:r>
        <w:rPr>
          <w:rFonts w:hint="eastAsia" w:asciiTheme="minorEastAsia" w:hAnsiTheme="minorEastAsia" w:eastAsiaTheme="minorEastAsia" w:cstheme="minorEastAsia"/>
          <w:bCs/>
          <w:color w:val="auto"/>
          <w:sz w:val="24"/>
          <w:szCs w:val="24"/>
          <w:highlight w:val="none"/>
          <w:u w:val="single"/>
          <w:lang w:val="en-US" w:eastAsia="zh-CN"/>
        </w:rPr>
        <w:t>10</w:t>
      </w:r>
      <w:r>
        <w:rPr>
          <w:rFonts w:hint="eastAsia" w:asciiTheme="minorEastAsia" w:hAnsiTheme="minorEastAsia" w:eastAsiaTheme="minorEastAsia" w:cstheme="minorEastAsia"/>
          <w:bCs/>
          <w:color w:val="auto"/>
          <w:sz w:val="24"/>
          <w:szCs w:val="24"/>
          <w:highlight w:val="none"/>
        </w:rPr>
        <w:t xml:space="preserve"> 日</w:t>
      </w:r>
    </w:p>
    <w:p w14:paraId="4AFDA853">
      <w:pPr>
        <w:widowControl/>
        <w:tabs>
          <w:tab w:val="left" w:pos="0"/>
          <w:tab w:val="left" w:pos="900"/>
          <w:tab w:val="left" w:pos="1440"/>
        </w:tabs>
        <w:autoSpaceDN w:val="0"/>
        <w:adjustRightInd w:val="0"/>
        <w:snapToGrid w:val="0"/>
        <w:spacing w:line="360" w:lineRule="auto"/>
        <w:ind w:left="405" w:leftChars="210"/>
        <w:jc w:val="left"/>
        <w:rPr>
          <w:rFonts w:asciiTheme="minorEastAsia" w:hAnsiTheme="minorEastAsia" w:eastAsiaTheme="minorEastAsia" w:cstheme="minorEastAsia"/>
          <w:color w:val="auto"/>
          <w:kern w:val="0"/>
          <w:sz w:val="24"/>
          <w:szCs w:val="24"/>
          <w:highlight w:val="none"/>
        </w:rPr>
        <w:sectPr>
          <w:pgSz w:w="11906" w:h="16838"/>
          <w:pgMar w:top="1440" w:right="1349" w:bottom="1440" w:left="1349" w:header="720" w:footer="720" w:gutter="0"/>
          <w:pgNumType w:fmt="decimal"/>
          <w:cols w:space="0" w:num="1"/>
          <w:docGrid w:type="linesAndChars" w:linePitch="285" w:charSpace="-3486"/>
        </w:sectPr>
      </w:pPr>
    </w:p>
    <w:p w14:paraId="3ACEEEE6">
      <w:pPr>
        <w:tabs>
          <w:tab w:val="left" w:pos="4465"/>
        </w:tabs>
        <w:spacing w:line="360" w:lineRule="auto"/>
        <w:rPr>
          <w:rFonts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附件一、廉政合作协议</w:t>
      </w:r>
    </w:p>
    <w:p w14:paraId="15A6E5AC">
      <w:pPr>
        <w:spacing w:line="360" w:lineRule="auto"/>
        <w:ind w:firstLine="292" w:firstLineChars="91"/>
        <w:jc w:val="center"/>
        <w:rPr>
          <w:rFonts w:asciiTheme="minorEastAsia" w:hAnsiTheme="minorEastAsia" w:eastAsiaTheme="minorEastAsia" w:cstheme="minorEastAsia"/>
          <w:b/>
          <w:bCs/>
          <w:color w:val="auto"/>
          <w:sz w:val="32"/>
          <w:szCs w:val="32"/>
          <w:highlight w:val="none"/>
          <w:lang w:val="zh-CN"/>
        </w:rPr>
      </w:pPr>
      <w:r>
        <w:rPr>
          <w:rFonts w:hint="eastAsia" w:asciiTheme="minorEastAsia" w:hAnsiTheme="minorEastAsia" w:eastAsiaTheme="minorEastAsia" w:cstheme="minorEastAsia"/>
          <w:b/>
          <w:bCs/>
          <w:color w:val="auto"/>
          <w:sz w:val="32"/>
          <w:szCs w:val="32"/>
          <w:highlight w:val="none"/>
          <w:lang w:val="zh-CN"/>
        </w:rPr>
        <w:t>廉政合作协议</w:t>
      </w:r>
    </w:p>
    <w:p w14:paraId="5FC780D3">
      <w:pPr>
        <w:spacing w:line="360" w:lineRule="auto"/>
        <w:rPr>
          <w:rFonts w:asciiTheme="minorEastAsia" w:hAnsiTheme="minorEastAsia" w:eastAsiaTheme="minorEastAsia" w:cstheme="minorEastAsia"/>
          <w:b/>
          <w:color w:val="auto"/>
          <w:szCs w:val="24"/>
          <w:highlight w:val="none"/>
          <w:u w:val="single"/>
        </w:rPr>
      </w:pPr>
      <w:r>
        <w:rPr>
          <w:rFonts w:hint="eastAsia" w:asciiTheme="minorEastAsia" w:hAnsiTheme="minorEastAsia" w:eastAsiaTheme="minorEastAsia" w:cstheme="minorEastAsia"/>
          <w:b/>
          <w:color w:val="auto"/>
          <w:szCs w:val="24"/>
          <w:highlight w:val="none"/>
        </w:rPr>
        <w:t>甲方：</w:t>
      </w:r>
      <w:r>
        <w:rPr>
          <w:rFonts w:hint="eastAsia" w:asciiTheme="minorEastAsia" w:hAnsiTheme="minorEastAsia" w:eastAsiaTheme="minorEastAsia" w:cstheme="minorEastAsia"/>
          <w:color w:val="auto"/>
          <w:spacing w:val="8"/>
          <w:szCs w:val="24"/>
          <w:highlight w:val="none"/>
          <w:u w:val="single"/>
        </w:rPr>
        <w:t>洛阳浩德鑫置地有限公司</w:t>
      </w:r>
    </w:p>
    <w:p w14:paraId="4642C59B">
      <w:pPr>
        <w:spacing w:line="360" w:lineRule="auto"/>
        <w:rPr>
          <w:rFonts w:asciiTheme="minorEastAsia" w:hAnsiTheme="minorEastAsia" w:eastAsiaTheme="minorEastAsia" w:cstheme="minorEastAsia"/>
          <w:color w:val="auto"/>
          <w:spacing w:val="8"/>
          <w:szCs w:val="24"/>
          <w:highlight w:val="none"/>
          <w:u w:val="single"/>
        </w:rPr>
      </w:pPr>
      <w:r>
        <w:rPr>
          <w:rFonts w:hint="eastAsia" w:asciiTheme="minorEastAsia" w:hAnsiTheme="minorEastAsia" w:eastAsiaTheme="minorEastAsia" w:cstheme="minorEastAsia"/>
          <w:b/>
          <w:color w:val="auto"/>
          <w:szCs w:val="24"/>
          <w:highlight w:val="none"/>
        </w:rPr>
        <w:t>乙方：</w:t>
      </w:r>
      <w:r>
        <w:rPr>
          <w:rFonts w:hint="eastAsia" w:asciiTheme="minorEastAsia" w:hAnsiTheme="minorEastAsia" w:eastAsiaTheme="minorEastAsia" w:cstheme="minorEastAsia"/>
          <w:bCs w:val="0"/>
          <w:color w:val="auto"/>
          <w:spacing w:val="8"/>
          <w:szCs w:val="24"/>
          <w:highlight w:val="none"/>
          <w:u w:val="single"/>
        </w:rPr>
        <w:t>河南泰康建筑工程有限公司</w:t>
      </w:r>
    </w:p>
    <w:p w14:paraId="3AAFCD41">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为加强工程项目建设期间的廉政管理，确保项目高效优质按期竣工，甲、乙双方经协商签订本协议并作为双方共同遵守的廉政行为准则。</w:t>
      </w:r>
    </w:p>
    <w:p w14:paraId="47A82C4E">
      <w:pPr>
        <w:spacing w:line="360" w:lineRule="auto"/>
        <w:ind w:firstLine="422" w:firstLineChars="200"/>
        <w:rPr>
          <w:rFonts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一．甲方责任</w:t>
      </w:r>
    </w:p>
    <w:p w14:paraId="3F0D8A77">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1．甲方有责任向乙方介绍本单位有关廉政管理的各项制度和规定。</w:t>
      </w:r>
    </w:p>
    <w:p w14:paraId="2563EC76">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2．甲方有责任对本单位项目管理人员进行廉政教育。</w:t>
      </w:r>
    </w:p>
    <w:p w14:paraId="1DC0926E">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3．甲方人员应严格遵守本单位有关廉政管理的规定，不得接受乙方的宴请，不得接受任何形式的实物、现金或礼券。</w:t>
      </w:r>
    </w:p>
    <w:p w14:paraId="1997FB11">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4．甲方在项目建设期间发现甲方人员任何形式的索贿受贿行为，均应及时采取措施予以制止，并及时通报乙方单位领导。</w:t>
      </w:r>
    </w:p>
    <w:p w14:paraId="6D46D9F1">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5．甲方人员如违反廉政管理制度及本协议规定，甲方应视情节轻重、影响大小给予处罚。</w:t>
      </w:r>
    </w:p>
    <w:p w14:paraId="2D6C276F">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6．对于乙方举报甲方人员违反廉政规定的情况，甲方应及时进行调查，根据调查情况进行处理。</w:t>
      </w:r>
    </w:p>
    <w:p w14:paraId="686AC081">
      <w:pPr>
        <w:spacing w:line="360" w:lineRule="auto"/>
        <w:ind w:firstLine="422" w:firstLineChars="200"/>
        <w:rPr>
          <w:rFonts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二．乙方责任</w:t>
      </w:r>
    </w:p>
    <w:p w14:paraId="655EF68F">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1．乙方应保证乙方有关人员了解甲方有关廉政管理的各项制度及本协议的规定，并遵照执行。</w:t>
      </w:r>
    </w:p>
    <w:p w14:paraId="54580A21">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2．乙方不得宴请甲方人员，不得以任何形式赠送实物、现金或礼券。</w:t>
      </w:r>
    </w:p>
    <w:p w14:paraId="2E5E83E5">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3．乙方在项目建设期间发现乙方人员任何向甲方人员行贿行为，均应及时采取措施予以制止，并及时通报甲方单位领导。</w:t>
      </w:r>
    </w:p>
    <w:p w14:paraId="0945B655">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4．乙方有责任接受甲方对乙方在项目建设期间廉政管理执行情况的监督。</w:t>
      </w:r>
    </w:p>
    <w:p w14:paraId="20E558E7">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14:paraId="7B0D2D5E">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6．如因乙方或其人员在项目建设期间贿赂甲方人员，被检察机关立案查处的，甲方有权终止合同履行或解除合同，由此给甲方造成的损失，均由乙方负责赔偿。</w:t>
      </w:r>
    </w:p>
    <w:p w14:paraId="0B1BA919">
      <w:pPr>
        <w:spacing w:line="360" w:lineRule="auto"/>
        <w:ind w:firstLine="422" w:firstLineChars="200"/>
        <w:rPr>
          <w:rFonts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 xml:space="preserve"> 三、为维护甲乙双方的合法利益，营造良好的商务环境，甲方建立多种举报渠道（如下）。甲方风控部人员将恪守职业道德，严格履行保密义务！</w:t>
      </w:r>
    </w:p>
    <w:p w14:paraId="5611F92C">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（1）微信小程序举报（扫描右侧二维码进入程序，举报信息直达集团董事长）；</w:t>
      </w:r>
    </w:p>
    <w:p w14:paraId="790D9CEA">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（2）邮箱：shenji@chinahonden.com</w:t>
      </w:r>
    </w:p>
    <w:p w14:paraId="64AB7956">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drawing>
          <wp:anchor distT="0" distB="0" distL="114300" distR="114300" simplePos="0" relativeHeight="251659264" behindDoc="0" locked="0" layoutInCell="1" allowOverlap="1">
            <wp:simplePos x="0" y="0"/>
            <wp:positionH relativeFrom="column">
              <wp:posOffset>4215130</wp:posOffset>
            </wp:positionH>
            <wp:positionV relativeFrom="paragraph">
              <wp:posOffset>46990</wp:posOffset>
            </wp:positionV>
            <wp:extent cx="935990" cy="878840"/>
            <wp:effectExtent l="0" t="0" r="8890" b="5080"/>
            <wp:wrapNone/>
            <wp:docPr id="1"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32dc313b898daf07a491037a11ba2c8"/>
                    <pic:cNvPicPr>
                      <a:picLocks noChangeAspect="1"/>
                    </pic:cNvPicPr>
                  </pic:nvPicPr>
                  <pic:blipFill>
                    <a:blip r:embed="rId10" cstate="print"/>
                    <a:stretch>
                      <a:fillRect/>
                    </a:stretch>
                  </pic:blipFill>
                  <pic:spPr>
                    <a:xfrm>
                      <a:off x="0" y="0"/>
                      <a:ext cx="935990" cy="878840"/>
                    </a:xfrm>
                    <a:prstGeom prst="rect">
                      <a:avLst/>
                    </a:prstGeom>
                    <a:noFill/>
                    <a:ln>
                      <a:noFill/>
                    </a:ln>
                  </pic:spPr>
                </pic:pic>
              </a:graphicData>
            </a:graphic>
          </wp:anchor>
        </w:drawing>
      </w:r>
      <w:r>
        <w:rPr>
          <w:rFonts w:hint="eastAsia" w:asciiTheme="minorEastAsia" w:hAnsiTheme="minorEastAsia" w:eastAsiaTheme="minorEastAsia" w:cstheme="minorEastAsia"/>
          <w:color w:val="auto"/>
          <w:szCs w:val="28"/>
          <w:highlight w:val="none"/>
        </w:rPr>
        <w:t>（3）电话：风控总监毛政辉：13693798532</w:t>
      </w:r>
    </w:p>
    <w:p w14:paraId="41E832AF">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（4）电话：审计监察副总监齐全中：18137710188</w:t>
      </w:r>
    </w:p>
    <w:p w14:paraId="39DD155C">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（5）电话：审计监察高级经理苏文倩：18839528225</w:t>
      </w:r>
    </w:p>
    <w:p w14:paraId="6D20A434">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（6）信件举报邮寄地址：洛阳市洛龙区关林西路8号中浩德控股集团有限公司审计监察部（收）。</w:t>
      </w:r>
    </w:p>
    <w:p w14:paraId="64FF66E8">
      <w:pPr>
        <w:spacing w:line="360" w:lineRule="auto"/>
        <w:ind w:firstLine="422" w:firstLineChars="200"/>
        <w:rPr>
          <w:rFonts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四、甲乙双方发现对方工作人员有下列行为之一的，可通过第三条约定的渠道进行举报：</w:t>
      </w:r>
    </w:p>
    <w:p w14:paraId="4C65F933">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1.推诿扯皮、有责不负、处事消极、渎职失职、弄虚作假等行为。</w:t>
      </w:r>
    </w:p>
    <w:p w14:paraId="318EA1D4">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2.以权谋私、滥用职权、处事不公、隐瞒事故、违章指挥造成公司严重事故隐患的行为。</w:t>
      </w:r>
    </w:p>
    <w:p w14:paraId="13A8752C">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3.贪污、受贿、盗窃、欺上瞒下等违法乱纪行为。</w:t>
      </w:r>
    </w:p>
    <w:p w14:paraId="31A8F227">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4.出卖、泄露公司商业机密等危害公司行为。</w:t>
      </w:r>
    </w:p>
    <w:p w14:paraId="087C1B8B">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5.重大经济活动未按公司制度、流程执行的违规违纪行为。</w:t>
      </w:r>
    </w:p>
    <w:p w14:paraId="30BCEB12">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6.利用职权，任人唯亲，拉帮结派，搞小利益团体或对同事正当行使权利进行打击报复的行为。</w:t>
      </w:r>
    </w:p>
    <w:p w14:paraId="781EC460">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7.故意涂改公司文件或以公司名义谋私利，损害公司荣誉和利益的行为。</w:t>
      </w:r>
    </w:p>
    <w:p w14:paraId="23664345">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8.私自侵占、挪用公司财物，损坏公司重要设备或资产的行为。</w:t>
      </w:r>
    </w:p>
    <w:p w14:paraId="14884379">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9.破坏团队和谐，故意挑拨员工之间关系，对同事恶意侮辱、陷害、制造事端的行为。</w:t>
      </w:r>
    </w:p>
    <w:p w14:paraId="43ABC09F">
      <w:pPr>
        <w:spacing w:line="360" w:lineRule="auto"/>
        <w:ind w:firstLine="420" w:firstLineChars="2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10.妄议集团经营、管理、决策部署、会议决议，对正当行使职权的执法部门、员工进行设置障碍、诋毁、恶意侮辱的行为。</w:t>
      </w:r>
    </w:p>
    <w:p w14:paraId="70700ECA">
      <w:pP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8"/>
          <w:highlight w:val="none"/>
        </w:rPr>
        <w:t>11.其他违反法律或者甲方公司相关制度的行为。</w:t>
      </w:r>
    </w:p>
    <w:p w14:paraId="65C92CC9">
      <w:pP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（以下无正文）</w:t>
      </w:r>
    </w:p>
    <w:p w14:paraId="202E8F7B">
      <w:pPr>
        <w:autoSpaceDN w:val="0"/>
        <w:spacing w:line="360" w:lineRule="auto"/>
        <w:ind w:firstLine="420" w:firstLineChars="200"/>
        <w:rPr>
          <w:rFonts w:asciiTheme="minorEastAsia" w:hAnsiTheme="minorEastAsia" w:eastAsiaTheme="minorEastAsia" w:cstheme="minorEastAsia"/>
          <w:color w:val="auto"/>
          <w:szCs w:val="28"/>
          <w:highlight w:val="none"/>
        </w:rPr>
      </w:pPr>
    </w:p>
    <w:p w14:paraId="22B6BA97">
      <w:pPr>
        <w:spacing w:line="360" w:lineRule="auto"/>
        <w:ind w:left="6090" w:hanging="6090" w:hangingChars="2900"/>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甲方（盖章）：洛阳浩德鑫置地有限公司  乙方（盖章）：</w:t>
      </w:r>
      <w:r>
        <w:rPr>
          <w:rFonts w:hint="eastAsia" w:ascii="宋体" w:hAnsi="宋体" w:cs="宋体"/>
          <w:bCs/>
          <w:color w:val="auto"/>
          <w:szCs w:val="24"/>
          <w:highlight w:val="none"/>
        </w:rPr>
        <w:t>河南泰康建筑工程有限公司</w:t>
      </w:r>
      <w:r>
        <w:rPr>
          <w:rFonts w:hint="eastAsia" w:asciiTheme="minorEastAsia" w:hAnsiTheme="minorEastAsia" w:eastAsiaTheme="minorEastAsia" w:cstheme="minorEastAsia"/>
          <w:color w:val="auto"/>
          <w:szCs w:val="28"/>
          <w:highlight w:val="none"/>
        </w:rPr>
        <w:t xml:space="preserve"> </w:t>
      </w:r>
    </w:p>
    <w:p w14:paraId="6B5A69EB">
      <w:pPr>
        <w:rPr>
          <w:rFonts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lang w:val="en-US" w:eastAsia="zh-CN"/>
        </w:rPr>
        <w:t>11</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10</w:t>
      </w:r>
      <w:r>
        <w:rPr>
          <w:rFonts w:hint="eastAsia" w:asciiTheme="minorEastAsia" w:hAnsiTheme="minorEastAsia" w:eastAsiaTheme="minorEastAsia" w:cstheme="minorEastAsia"/>
          <w:color w:val="auto"/>
          <w:szCs w:val="28"/>
          <w:highlight w:val="none"/>
        </w:rPr>
        <w:t>日              签订日期：</w:t>
      </w:r>
      <w:r>
        <w:rPr>
          <w:rFonts w:hint="eastAsia" w:asciiTheme="minorEastAsia" w:hAnsiTheme="minorEastAsia" w:eastAsiaTheme="minorEastAsia" w:cstheme="minorEastAsia"/>
          <w:color w:val="auto"/>
          <w:szCs w:val="28"/>
          <w:highlight w:val="none"/>
          <w:u w:val="single"/>
        </w:rPr>
        <w:t>2024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u w:val="single"/>
          <w:lang w:val="en-US" w:eastAsia="zh-CN"/>
        </w:rPr>
        <w:t>11</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10</w:t>
      </w:r>
      <w:r>
        <w:rPr>
          <w:rFonts w:hint="eastAsia" w:asciiTheme="minorEastAsia" w:hAnsiTheme="minorEastAsia" w:eastAsiaTheme="minorEastAsia" w:cstheme="minorEastAsia"/>
          <w:color w:val="auto"/>
          <w:szCs w:val="28"/>
          <w:highlight w:val="none"/>
        </w:rPr>
        <w:t xml:space="preserve">日  </w:t>
      </w:r>
    </w:p>
    <w:p w14:paraId="38C6F138">
      <w:pPr>
        <w:spacing w:line="360" w:lineRule="auto"/>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8"/>
          <w:highlight w:val="none"/>
        </w:rPr>
        <w:br w:type="page"/>
      </w:r>
      <w:r>
        <w:rPr>
          <w:rFonts w:hint="eastAsia" w:asciiTheme="minorEastAsia" w:hAnsiTheme="minorEastAsia" w:eastAsiaTheme="minorEastAsia" w:cstheme="minorEastAsia"/>
          <w:color w:val="auto"/>
          <w:highlight w:val="none"/>
        </w:rPr>
        <w:tab/>
      </w:r>
    </w:p>
    <w:p w14:paraId="5ECDBDD5">
      <w:pPr>
        <w:pStyle w:val="52"/>
        <w:spacing w:line="360" w:lineRule="auto"/>
        <w:ind w:firstLine="420"/>
        <w:rPr>
          <w:rFonts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附件二、《乙方派驻本工程人员名单表》</w:t>
      </w:r>
    </w:p>
    <w:tbl>
      <w:tblPr>
        <w:tblStyle w:val="45"/>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315"/>
        <w:gridCol w:w="1152"/>
        <w:gridCol w:w="1584"/>
        <w:gridCol w:w="1132"/>
        <w:gridCol w:w="1229"/>
        <w:gridCol w:w="1744"/>
      </w:tblGrid>
      <w:tr w14:paraId="56039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000" w:type="dxa"/>
            <w:gridSpan w:val="7"/>
            <w:vAlign w:val="center"/>
          </w:tcPr>
          <w:p w14:paraId="76B3DE87">
            <w:pPr>
              <w:pStyle w:val="69"/>
              <w:spacing w:before="132"/>
              <w:ind w:left="39"/>
              <w:jc w:val="center"/>
              <w:rPr>
                <w:rFonts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b/>
                <w:color w:val="auto"/>
                <w:kern w:val="0"/>
                <w:szCs w:val="20"/>
                <w:highlight w:val="none"/>
                <w:lang w:val="en-US" w:bidi="ar-SA"/>
              </w:rPr>
              <w:t>《</w:t>
            </w:r>
            <w:r>
              <w:rPr>
                <w:rFonts w:hint="eastAsia" w:asciiTheme="minorEastAsia" w:hAnsiTheme="minorEastAsia" w:eastAsiaTheme="minorEastAsia" w:cstheme="minorEastAsia"/>
                <w:b/>
                <w:bCs/>
                <w:color w:val="auto"/>
                <w:szCs w:val="28"/>
                <w:highlight w:val="none"/>
              </w:rPr>
              <w:t>乙方派驻本工程</w:t>
            </w:r>
            <w:r>
              <w:rPr>
                <w:rFonts w:hint="eastAsia" w:asciiTheme="minorEastAsia" w:hAnsiTheme="minorEastAsia" w:eastAsiaTheme="minorEastAsia" w:cstheme="minorEastAsia"/>
                <w:b/>
                <w:bCs/>
                <w:color w:val="auto"/>
                <w:szCs w:val="28"/>
                <w:highlight w:val="none"/>
                <w:lang w:val="en-US"/>
              </w:rPr>
              <w:t>人员名单表</w:t>
            </w:r>
            <w:r>
              <w:rPr>
                <w:rFonts w:hint="eastAsia" w:asciiTheme="minorEastAsia" w:hAnsiTheme="minorEastAsia" w:eastAsiaTheme="minorEastAsia" w:cstheme="minorEastAsia"/>
                <w:b/>
                <w:color w:val="auto"/>
                <w:kern w:val="0"/>
                <w:szCs w:val="20"/>
                <w:highlight w:val="none"/>
                <w:lang w:val="en-US" w:bidi="ar-SA"/>
              </w:rPr>
              <w:t>》</w:t>
            </w:r>
          </w:p>
        </w:tc>
      </w:tr>
      <w:tr w14:paraId="788B3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44" w:type="dxa"/>
            <w:vAlign w:val="center"/>
          </w:tcPr>
          <w:p w14:paraId="0AAAADDC">
            <w:pPr>
              <w:pStyle w:val="69"/>
              <w:spacing w:before="132"/>
              <w:ind w:left="51" w:right="44"/>
              <w:jc w:val="center"/>
              <w:rPr>
                <w:rFonts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序号</w:t>
            </w:r>
          </w:p>
        </w:tc>
        <w:tc>
          <w:tcPr>
            <w:tcW w:w="1315" w:type="dxa"/>
            <w:vAlign w:val="center"/>
          </w:tcPr>
          <w:p w14:paraId="2DBD966F">
            <w:pPr>
              <w:pStyle w:val="69"/>
              <w:spacing w:before="132"/>
              <w:ind w:right="167"/>
              <w:jc w:val="center"/>
              <w:rPr>
                <w:rFonts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专业</w:t>
            </w:r>
          </w:p>
        </w:tc>
        <w:tc>
          <w:tcPr>
            <w:tcW w:w="1152" w:type="dxa"/>
            <w:vAlign w:val="center"/>
          </w:tcPr>
          <w:p w14:paraId="0EBEB463">
            <w:pPr>
              <w:pStyle w:val="69"/>
              <w:spacing w:before="132"/>
              <w:ind w:left="201" w:right="178"/>
              <w:jc w:val="center"/>
              <w:rPr>
                <w:rFonts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姓名</w:t>
            </w:r>
          </w:p>
        </w:tc>
        <w:tc>
          <w:tcPr>
            <w:tcW w:w="1584" w:type="dxa"/>
            <w:vAlign w:val="center"/>
          </w:tcPr>
          <w:p w14:paraId="449228B5">
            <w:pPr>
              <w:pStyle w:val="69"/>
              <w:spacing w:before="132"/>
              <w:ind w:left="41" w:right="31"/>
              <w:jc w:val="center"/>
              <w:rPr>
                <w:rFonts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职称</w:t>
            </w:r>
          </w:p>
        </w:tc>
        <w:tc>
          <w:tcPr>
            <w:tcW w:w="1132" w:type="dxa"/>
            <w:vAlign w:val="center"/>
          </w:tcPr>
          <w:p w14:paraId="183EA240">
            <w:pPr>
              <w:pStyle w:val="69"/>
              <w:spacing w:before="132"/>
              <w:ind w:right="95"/>
              <w:jc w:val="center"/>
              <w:rPr>
                <w:rFonts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学历</w:t>
            </w:r>
          </w:p>
        </w:tc>
        <w:tc>
          <w:tcPr>
            <w:tcW w:w="1229" w:type="dxa"/>
            <w:vAlign w:val="center"/>
          </w:tcPr>
          <w:p w14:paraId="0D3BC47F">
            <w:pPr>
              <w:pStyle w:val="69"/>
              <w:spacing w:before="132"/>
              <w:ind w:left="189" w:right="183"/>
              <w:jc w:val="center"/>
              <w:rPr>
                <w:rFonts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工作年限</w:t>
            </w:r>
          </w:p>
        </w:tc>
        <w:tc>
          <w:tcPr>
            <w:tcW w:w="1744" w:type="dxa"/>
            <w:vAlign w:val="center"/>
          </w:tcPr>
          <w:p w14:paraId="0B6E6EFA">
            <w:pPr>
              <w:pStyle w:val="69"/>
              <w:spacing w:before="132"/>
              <w:ind w:left="39"/>
              <w:jc w:val="center"/>
              <w:rPr>
                <w:rFonts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担任本工程</w:t>
            </w:r>
          </w:p>
          <w:p w14:paraId="62461F46">
            <w:pPr>
              <w:pStyle w:val="69"/>
              <w:spacing w:before="132"/>
              <w:ind w:left="39"/>
              <w:jc w:val="center"/>
              <w:rPr>
                <w:rFonts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的职务</w:t>
            </w:r>
          </w:p>
        </w:tc>
      </w:tr>
      <w:tr w14:paraId="129AD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22CD2AA8">
            <w:pPr>
              <w:jc w:val="center"/>
              <w:rPr>
                <w:rFonts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1</w:t>
            </w:r>
          </w:p>
        </w:tc>
        <w:tc>
          <w:tcPr>
            <w:tcW w:w="1315" w:type="dxa"/>
            <w:vAlign w:val="center"/>
          </w:tcPr>
          <w:p w14:paraId="3A942DFB">
            <w:pPr>
              <w:widowControl/>
              <w:autoSpaceDE w:val="0"/>
              <w:autoSpaceDN w:val="0"/>
              <w:adjustRightInd w:val="0"/>
              <w:jc w:val="center"/>
              <w:textAlignment w:val="center"/>
              <w:rPr>
                <w:rFonts w:asciiTheme="minorEastAsia" w:hAnsiTheme="minorEastAsia" w:eastAsiaTheme="minorEastAsia" w:cstheme="minorEastAsia"/>
                <w:color w:val="auto"/>
                <w:szCs w:val="24"/>
                <w:highlight w:val="none"/>
              </w:rPr>
            </w:pPr>
            <w:r>
              <w:rPr>
                <w:rFonts w:hint="eastAsia" w:ascii="宋体" w:hAnsi="宋体" w:cs="宋体"/>
                <w:color w:val="auto"/>
                <w:sz w:val="24"/>
                <w:szCs w:val="24"/>
                <w:highlight w:val="none"/>
              </w:rPr>
              <w:t>建筑装饰工程技术</w:t>
            </w:r>
          </w:p>
        </w:tc>
        <w:tc>
          <w:tcPr>
            <w:tcW w:w="1152" w:type="dxa"/>
            <w:vAlign w:val="center"/>
          </w:tcPr>
          <w:p w14:paraId="420C2BFB">
            <w:pP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rPr>
              <w:t>索兴杰</w:t>
            </w:r>
          </w:p>
        </w:tc>
        <w:tc>
          <w:tcPr>
            <w:tcW w:w="1584" w:type="dxa"/>
            <w:vAlign w:val="center"/>
          </w:tcPr>
          <w:p w14:paraId="6EEEEE95">
            <w:pPr>
              <w:jc w:val="both"/>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工程师</w:t>
            </w:r>
          </w:p>
        </w:tc>
        <w:tc>
          <w:tcPr>
            <w:tcW w:w="1132" w:type="dxa"/>
            <w:vAlign w:val="top"/>
          </w:tcPr>
          <w:p w14:paraId="78C30F74">
            <w:pPr>
              <w:spacing w:line="360" w:lineRule="auto"/>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专科</w:t>
            </w:r>
          </w:p>
        </w:tc>
        <w:tc>
          <w:tcPr>
            <w:tcW w:w="1229" w:type="dxa"/>
            <w:vAlign w:val="top"/>
          </w:tcPr>
          <w:p w14:paraId="6C4F586C">
            <w:pPr>
              <w:spacing w:line="360" w:lineRule="auto"/>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8</w:t>
            </w:r>
          </w:p>
        </w:tc>
        <w:tc>
          <w:tcPr>
            <w:tcW w:w="1744" w:type="dxa"/>
            <w:vAlign w:val="center"/>
          </w:tcPr>
          <w:p w14:paraId="0EDE3A37">
            <w:pP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rPr>
              <w:t>项目经理</w:t>
            </w:r>
          </w:p>
        </w:tc>
      </w:tr>
      <w:tr w14:paraId="51DA7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1F343E9B">
            <w:pPr>
              <w:jc w:val="center"/>
              <w:rPr>
                <w:rFonts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2</w:t>
            </w:r>
          </w:p>
        </w:tc>
        <w:tc>
          <w:tcPr>
            <w:tcW w:w="1315" w:type="dxa"/>
            <w:vAlign w:val="center"/>
          </w:tcPr>
          <w:p w14:paraId="523FB3FF">
            <w:pPr>
              <w:widowControl/>
              <w:autoSpaceDE w:val="0"/>
              <w:autoSpaceDN w:val="0"/>
              <w:adjustRightInd w:val="0"/>
              <w:jc w:val="center"/>
              <w:textAlignment w:val="center"/>
              <w:rPr>
                <w:rFonts w:asciiTheme="minorEastAsia" w:hAnsiTheme="minorEastAsia" w:eastAsiaTheme="minorEastAsia" w:cstheme="minorEastAsia"/>
                <w:color w:val="auto"/>
                <w:szCs w:val="24"/>
                <w:highlight w:val="none"/>
              </w:rPr>
            </w:pPr>
          </w:p>
        </w:tc>
        <w:tc>
          <w:tcPr>
            <w:tcW w:w="1152" w:type="dxa"/>
            <w:vAlign w:val="center"/>
          </w:tcPr>
          <w:p w14:paraId="0236828B">
            <w:pPr>
              <w:widowControl/>
              <w:autoSpaceDE w:val="0"/>
              <w:autoSpaceDN w:val="0"/>
              <w:adjustRightInd w:val="0"/>
              <w:ind w:firstLine="210" w:firstLineChars="100"/>
              <w:textAlignment w:val="center"/>
              <w:rPr>
                <w:rFonts w:asciiTheme="minorEastAsia" w:hAnsiTheme="minorEastAsia" w:eastAsiaTheme="minorEastAsia" w:cstheme="minorEastAsia"/>
                <w:color w:val="auto"/>
                <w:szCs w:val="24"/>
                <w:highlight w:val="none"/>
              </w:rPr>
            </w:pPr>
            <w:r>
              <w:rPr>
                <w:rFonts w:asciiTheme="minorEastAsia" w:hAnsiTheme="minorEastAsia" w:eastAsiaTheme="minorEastAsia" w:cstheme="minorEastAsia"/>
                <w:szCs w:val="24"/>
                <w:highlight w:val="none"/>
              </w:rPr>
              <w:t>陈春苗</w:t>
            </w:r>
          </w:p>
        </w:tc>
        <w:tc>
          <w:tcPr>
            <w:tcW w:w="1584" w:type="dxa"/>
            <w:vAlign w:val="center"/>
          </w:tcPr>
          <w:p w14:paraId="4A8F58EB">
            <w:pP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助工</w:t>
            </w:r>
          </w:p>
        </w:tc>
        <w:tc>
          <w:tcPr>
            <w:tcW w:w="1132" w:type="dxa"/>
            <w:vAlign w:val="top"/>
          </w:tcPr>
          <w:p w14:paraId="36D01F3F">
            <w:pPr>
              <w:spacing w:line="360" w:lineRule="auto"/>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专科</w:t>
            </w:r>
          </w:p>
        </w:tc>
        <w:tc>
          <w:tcPr>
            <w:tcW w:w="1229" w:type="dxa"/>
            <w:vAlign w:val="top"/>
          </w:tcPr>
          <w:p w14:paraId="395DDD10">
            <w:pPr>
              <w:spacing w:line="360" w:lineRule="auto"/>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7</w:t>
            </w:r>
          </w:p>
        </w:tc>
        <w:tc>
          <w:tcPr>
            <w:tcW w:w="1744" w:type="dxa"/>
            <w:vAlign w:val="center"/>
          </w:tcPr>
          <w:p w14:paraId="08CE8676">
            <w:pPr>
              <w:pStyle w:val="25"/>
              <w:ind w:firstLine="0" w:firstLineChars="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rPr>
              <w:t>安全员</w:t>
            </w:r>
          </w:p>
        </w:tc>
      </w:tr>
      <w:tr w14:paraId="451EB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7A7DC39C">
            <w:pPr>
              <w:jc w:val="center"/>
              <w:rPr>
                <w:rFonts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3</w:t>
            </w:r>
          </w:p>
        </w:tc>
        <w:tc>
          <w:tcPr>
            <w:tcW w:w="1315" w:type="dxa"/>
            <w:vAlign w:val="center"/>
          </w:tcPr>
          <w:p w14:paraId="7B06B905">
            <w:pPr>
              <w:widowControl/>
              <w:autoSpaceDE w:val="0"/>
              <w:autoSpaceDN w:val="0"/>
              <w:adjustRightInd w:val="0"/>
              <w:jc w:val="center"/>
              <w:textAlignment w:val="center"/>
              <w:rPr>
                <w:rFonts w:asciiTheme="minorEastAsia" w:hAnsiTheme="minorEastAsia" w:eastAsiaTheme="minorEastAsia" w:cstheme="minorEastAsia"/>
                <w:color w:val="auto"/>
                <w:szCs w:val="24"/>
                <w:highlight w:val="none"/>
              </w:rPr>
            </w:pPr>
          </w:p>
        </w:tc>
        <w:tc>
          <w:tcPr>
            <w:tcW w:w="1152" w:type="dxa"/>
            <w:vAlign w:val="center"/>
          </w:tcPr>
          <w:p w14:paraId="1185D4C0">
            <w:pPr>
              <w:widowControl/>
              <w:autoSpaceDE w:val="0"/>
              <w:autoSpaceDN w:val="0"/>
              <w:adjustRightInd w:val="0"/>
              <w:jc w:val="center"/>
              <w:textAlignment w:val="center"/>
              <w:rPr>
                <w:rFonts w:asciiTheme="minorEastAsia" w:hAnsiTheme="minorEastAsia" w:eastAsiaTheme="minorEastAsia" w:cstheme="minorEastAsia"/>
                <w:color w:val="auto"/>
                <w:szCs w:val="24"/>
                <w:highlight w:val="none"/>
              </w:rPr>
            </w:pPr>
            <w:r>
              <w:rPr>
                <w:rFonts w:asciiTheme="minorEastAsia" w:hAnsiTheme="minorEastAsia" w:eastAsiaTheme="minorEastAsia" w:cstheme="minorEastAsia"/>
                <w:szCs w:val="24"/>
                <w:highlight w:val="none"/>
              </w:rPr>
              <w:t>荣娟</w:t>
            </w:r>
          </w:p>
        </w:tc>
        <w:tc>
          <w:tcPr>
            <w:tcW w:w="1584" w:type="dxa"/>
            <w:vAlign w:val="center"/>
          </w:tcPr>
          <w:p w14:paraId="1C28EE5B">
            <w:pP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助工</w:t>
            </w:r>
          </w:p>
        </w:tc>
        <w:tc>
          <w:tcPr>
            <w:tcW w:w="1132" w:type="dxa"/>
            <w:vAlign w:val="top"/>
          </w:tcPr>
          <w:p w14:paraId="2B9E7457">
            <w:pPr>
              <w:spacing w:line="360" w:lineRule="auto"/>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专科</w:t>
            </w:r>
          </w:p>
        </w:tc>
        <w:tc>
          <w:tcPr>
            <w:tcW w:w="1229" w:type="dxa"/>
            <w:vAlign w:val="top"/>
          </w:tcPr>
          <w:p w14:paraId="59796997">
            <w:pPr>
              <w:spacing w:line="360" w:lineRule="auto"/>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5</w:t>
            </w:r>
          </w:p>
        </w:tc>
        <w:tc>
          <w:tcPr>
            <w:tcW w:w="1744" w:type="dxa"/>
            <w:vAlign w:val="center"/>
          </w:tcPr>
          <w:p w14:paraId="1102DB71">
            <w:pPr>
              <w:widowControl/>
              <w:autoSpaceDE w:val="0"/>
              <w:autoSpaceDN w:val="0"/>
              <w:adjustRightInd w:val="0"/>
              <w:jc w:val="center"/>
              <w:textAlignment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rPr>
              <w:t>资料员</w:t>
            </w:r>
          </w:p>
        </w:tc>
      </w:tr>
      <w:tr w14:paraId="7EA39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310EACA7">
            <w:pPr>
              <w:jc w:val="center"/>
              <w:rPr>
                <w:rFonts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4</w:t>
            </w:r>
          </w:p>
        </w:tc>
        <w:tc>
          <w:tcPr>
            <w:tcW w:w="1315" w:type="dxa"/>
            <w:vAlign w:val="center"/>
          </w:tcPr>
          <w:p w14:paraId="32D49BF6">
            <w:pPr>
              <w:widowControl/>
              <w:autoSpaceDE w:val="0"/>
              <w:autoSpaceDN w:val="0"/>
              <w:adjustRightInd w:val="0"/>
              <w:jc w:val="center"/>
              <w:textAlignment w:val="center"/>
              <w:rPr>
                <w:rFonts w:asciiTheme="minorEastAsia" w:hAnsiTheme="minorEastAsia" w:eastAsiaTheme="minorEastAsia" w:cstheme="minorEastAsia"/>
                <w:color w:val="auto"/>
                <w:szCs w:val="24"/>
                <w:highlight w:val="none"/>
              </w:rPr>
            </w:pPr>
          </w:p>
        </w:tc>
        <w:tc>
          <w:tcPr>
            <w:tcW w:w="1152" w:type="dxa"/>
            <w:vAlign w:val="center"/>
          </w:tcPr>
          <w:p w14:paraId="3E0008D8">
            <w:pPr>
              <w:widowControl/>
              <w:autoSpaceDE w:val="0"/>
              <w:autoSpaceDN w:val="0"/>
              <w:adjustRightInd w:val="0"/>
              <w:jc w:val="center"/>
              <w:textAlignment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rPr>
              <w:t>彭丹丹</w:t>
            </w:r>
          </w:p>
        </w:tc>
        <w:tc>
          <w:tcPr>
            <w:tcW w:w="1584" w:type="dxa"/>
            <w:vAlign w:val="center"/>
          </w:tcPr>
          <w:p w14:paraId="3252C708">
            <w:pPr>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工程师</w:t>
            </w:r>
          </w:p>
        </w:tc>
        <w:tc>
          <w:tcPr>
            <w:tcW w:w="1132" w:type="dxa"/>
            <w:vAlign w:val="top"/>
          </w:tcPr>
          <w:p w14:paraId="5BEE25E0">
            <w:pPr>
              <w:spacing w:line="360" w:lineRule="auto"/>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专科</w:t>
            </w:r>
          </w:p>
        </w:tc>
        <w:tc>
          <w:tcPr>
            <w:tcW w:w="1229" w:type="dxa"/>
            <w:vAlign w:val="top"/>
          </w:tcPr>
          <w:p w14:paraId="0837C37B">
            <w:pPr>
              <w:spacing w:line="360" w:lineRule="auto"/>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lang w:val="en-US" w:eastAsia="zh-CN"/>
              </w:rPr>
              <w:t>9</w:t>
            </w:r>
          </w:p>
        </w:tc>
        <w:tc>
          <w:tcPr>
            <w:tcW w:w="1744" w:type="dxa"/>
            <w:vAlign w:val="center"/>
          </w:tcPr>
          <w:p w14:paraId="65A60D72">
            <w:pPr>
              <w:widowControl/>
              <w:autoSpaceDE w:val="0"/>
              <w:autoSpaceDN w:val="0"/>
              <w:adjustRightInd w:val="0"/>
              <w:jc w:val="center"/>
              <w:textAlignment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highlight w:val="none"/>
              </w:rPr>
              <w:t>造价员</w:t>
            </w:r>
          </w:p>
        </w:tc>
      </w:tr>
    </w:tbl>
    <w:p w14:paraId="3A844E4D">
      <w:pPr>
        <w:pStyle w:val="52"/>
        <w:spacing w:line="360" w:lineRule="auto"/>
        <w:ind w:firstLine="420"/>
        <w:rPr>
          <w:rFonts w:asciiTheme="minorEastAsia" w:hAnsiTheme="minorEastAsia" w:eastAsiaTheme="minorEastAsia" w:cstheme="minorEastAsia"/>
          <w:bCs/>
          <w:color w:val="auto"/>
          <w:szCs w:val="28"/>
          <w:highlight w:val="none"/>
        </w:rPr>
      </w:pPr>
    </w:p>
    <w:p w14:paraId="7DEBD08F">
      <w:pPr>
        <w:pStyle w:val="52"/>
        <w:spacing w:line="360" w:lineRule="auto"/>
        <w:ind w:firstLine="420"/>
        <w:rPr>
          <w:rFonts w:asciiTheme="minorEastAsia" w:hAnsiTheme="minorEastAsia" w:eastAsiaTheme="minorEastAsia" w:cstheme="minorEastAsia"/>
          <w:bCs/>
          <w:color w:val="auto"/>
          <w:szCs w:val="28"/>
          <w:highlight w:val="none"/>
        </w:rPr>
      </w:pPr>
    </w:p>
    <w:p w14:paraId="5BA2FF1F">
      <w:pPr>
        <w:pStyle w:val="52"/>
        <w:spacing w:line="360" w:lineRule="auto"/>
        <w:ind w:firstLine="420"/>
        <w:rPr>
          <w:rFonts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附件三、材料品牌表</w:t>
      </w:r>
    </w:p>
    <w:tbl>
      <w:tblPr>
        <w:tblStyle w:val="45"/>
        <w:tblW w:w="9840" w:type="dxa"/>
        <w:tblInd w:w="93" w:type="dxa"/>
        <w:tblLayout w:type="autofit"/>
        <w:tblCellMar>
          <w:top w:w="0" w:type="dxa"/>
          <w:left w:w="108" w:type="dxa"/>
          <w:bottom w:w="0" w:type="dxa"/>
          <w:right w:w="108" w:type="dxa"/>
        </w:tblCellMar>
      </w:tblPr>
      <w:tblGrid>
        <w:gridCol w:w="612"/>
        <w:gridCol w:w="2398"/>
        <w:gridCol w:w="1679"/>
        <w:gridCol w:w="3268"/>
        <w:gridCol w:w="1883"/>
      </w:tblGrid>
      <w:tr w14:paraId="5D1C36C1">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F840">
            <w:pPr>
              <w:widowControl/>
              <w:jc w:val="center"/>
              <w:textAlignment w:val="center"/>
              <w:rPr>
                <w:rFonts w:asciiTheme="minorEastAsia" w:hAnsiTheme="minorEastAsia" w:eastAsiaTheme="minorEastAsia" w:cstheme="minorEastAsia"/>
                <w:b/>
                <w:bCs/>
                <w:color w:val="auto"/>
                <w:sz w:val="22"/>
                <w:highlight w:val="none"/>
              </w:rPr>
            </w:pPr>
            <w:r>
              <w:rPr>
                <w:rFonts w:hint="eastAsia" w:asciiTheme="minorEastAsia" w:hAnsiTheme="minorEastAsia" w:eastAsiaTheme="minorEastAsia" w:cstheme="minorEastAsia"/>
                <w:b/>
                <w:bCs/>
                <w:color w:val="auto"/>
                <w:kern w:val="0"/>
                <w:sz w:val="22"/>
                <w:highlight w:val="none"/>
              </w:rPr>
              <w:t>序号</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AEF3">
            <w:pPr>
              <w:widowControl/>
              <w:jc w:val="center"/>
              <w:textAlignment w:val="center"/>
              <w:rPr>
                <w:rFonts w:asciiTheme="minorEastAsia" w:hAnsiTheme="minorEastAsia" w:eastAsiaTheme="minorEastAsia" w:cstheme="minorEastAsia"/>
                <w:b/>
                <w:bCs/>
                <w:color w:val="auto"/>
                <w:sz w:val="22"/>
                <w:highlight w:val="none"/>
              </w:rPr>
            </w:pPr>
            <w:r>
              <w:rPr>
                <w:rFonts w:hint="eastAsia" w:asciiTheme="minorEastAsia" w:hAnsiTheme="minorEastAsia" w:eastAsiaTheme="minorEastAsia" w:cstheme="minorEastAsia"/>
                <w:b/>
                <w:bCs/>
                <w:color w:val="auto"/>
                <w:kern w:val="0"/>
                <w:sz w:val="22"/>
                <w:highlight w:val="none"/>
              </w:rPr>
              <w:t>材料名称</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91CF">
            <w:pPr>
              <w:widowControl/>
              <w:jc w:val="center"/>
              <w:textAlignment w:val="center"/>
              <w:rPr>
                <w:rFonts w:asciiTheme="minorEastAsia" w:hAnsiTheme="minorEastAsia" w:eastAsiaTheme="minorEastAsia" w:cstheme="minorEastAsia"/>
                <w:b/>
                <w:bCs/>
                <w:color w:val="auto"/>
                <w:sz w:val="22"/>
                <w:highlight w:val="none"/>
              </w:rPr>
            </w:pPr>
            <w:r>
              <w:rPr>
                <w:rFonts w:hint="eastAsia" w:asciiTheme="minorEastAsia" w:hAnsiTheme="minorEastAsia" w:eastAsiaTheme="minorEastAsia" w:cstheme="minorEastAsia"/>
                <w:b/>
                <w:bCs/>
                <w:color w:val="auto"/>
                <w:kern w:val="0"/>
                <w:sz w:val="22"/>
                <w:highlight w:val="none"/>
              </w:rPr>
              <w:t>供应方式</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405C4">
            <w:pPr>
              <w:widowControl/>
              <w:jc w:val="center"/>
              <w:textAlignment w:val="center"/>
              <w:rPr>
                <w:rFonts w:asciiTheme="minorEastAsia" w:hAnsiTheme="minorEastAsia" w:eastAsiaTheme="minorEastAsia" w:cstheme="minorEastAsia"/>
                <w:b/>
                <w:bCs/>
                <w:color w:val="auto"/>
                <w:sz w:val="22"/>
                <w:highlight w:val="none"/>
              </w:rPr>
            </w:pPr>
            <w:r>
              <w:rPr>
                <w:rFonts w:hint="eastAsia" w:asciiTheme="minorEastAsia" w:hAnsiTheme="minorEastAsia" w:eastAsiaTheme="minorEastAsia" w:cstheme="minorEastAsia"/>
                <w:b/>
                <w:bCs/>
                <w:color w:val="auto"/>
                <w:kern w:val="0"/>
                <w:sz w:val="22"/>
                <w:highlight w:val="none"/>
              </w:rPr>
              <w:t>限定品牌范围</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FCBD">
            <w:pPr>
              <w:widowControl/>
              <w:jc w:val="center"/>
              <w:textAlignment w:val="center"/>
              <w:rPr>
                <w:rFonts w:asciiTheme="minorEastAsia" w:hAnsiTheme="minorEastAsia" w:eastAsiaTheme="minorEastAsia" w:cstheme="minorEastAsia"/>
                <w:b/>
                <w:bCs/>
                <w:color w:val="auto"/>
                <w:sz w:val="22"/>
                <w:highlight w:val="none"/>
              </w:rPr>
            </w:pPr>
            <w:r>
              <w:rPr>
                <w:rFonts w:hint="eastAsia" w:asciiTheme="minorEastAsia" w:hAnsiTheme="minorEastAsia" w:eastAsiaTheme="minorEastAsia" w:cstheme="minorEastAsia"/>
                <w:b/>
                <w:bCs/>
                <w:color w:val="auto"/>
                <w:kern w:val="0"/>
                <w:sz w:val="22"/>
                <w:highlight w:val="none"/>
              </w:rPr>
              <w:t>乙方选定品牌</w:t>
            </w:r>
          </w:p>
        </w:tc>
      </w:tr>
      <w:tr w14:paraId="36D4EE97">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993A">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FDF5">
            <w:pPr>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墙地砖</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ABEC">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75CAD">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中档</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FEF7">
            <w:pPr>
              <w:jc w:val="center"/>
              <w:rPr>
                <w:rFonts w:asciiTheme="minorEastAsia" w:hAnsiTheme="minorEastAsia" w:eastAsiaTheme="minorEastAsia" w:cstheme="minorEastAsia"/>
                <w:color w:val="auto"/>
                <w:sz w:val="22"/>
                <w:highlight w:val="none"/>
              </w:rPr>
            </w:pPr>
            <w:r>
              <w:rPr>
                <w:rFonts w:hint="eastAsia" w:ascii="宋体" w:hAnsi="宋体" w:eastAsia="宋体" w:cs="宋体"/>
                <w:sz w:val="24"/>
                <w:szCs w:val="24"/>
                <w:lang w:val="en-US" w:eastAsia="zh-CN"/>
              </w:rPr>
              <w:t>佛山新卓悦</w:t>
            </w:r>
          </w:p>
        </w:tc>
      </w:tr>
      <w:tr w14:paraId="6100554A">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ECCD">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A76F">
            <w:pPr>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木饰面</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F6D4">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D19E">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无</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F8D7">
            <w:pPr>
              <w:jc w:val="center"/>
              <w:rPr>
                <w:rFonts w:asciiTheme="minorEastAsia" w:hAnsiTheme="minorEastAsia" w:eastAsiaTheme="minorEastAsia" w:cstheme="minorEastAsia"/>
                <w:color w:val="auto"/>
                <w:sz w:val="22"/>
                <w:highlight w:val="none"/>
              </w:rPr>
            </w:pPr>
            <w:r>
              <w:rPr>
                <w:rFonts w:hint="eastAsia" w:ascii="宋体" w:hAnsi="宋体" w:eastAsia="宋体" w:cs="宋体"/>
                <w:sz w:val="24"/>
                <w:szCs w:val="24"/>
                <w:lang w:val="en-US" w:eastAsia="zh-CN"/>
              </w:rPr>
              <w:t>朗生</w:t>
            </w:r>
          </w:p>
        </w:tc>
      </w:tr>
      <w:tr w14:paraId="5C876F0C">
        <w:tblPrEx>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72A5">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35AD">
            <w:pPr>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灯具（工艺吊灯除外）</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FF80">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E380">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西顿、三雄、雷士</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D218">
            <w:pPr>
              <w:jc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三雄</w:t>
            </w:r>
          </w:p>
        </w:tc>
      </w:tr>
      <w:tr w14:paraId="01BB4C40">
        <w:tblPrEx>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944A">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B1DB">
            <w:pPr>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开关插座</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955C">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ACBCE">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罗格朗、西蒙、西门子</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71B3">
            <w:pPr>
              <w:jc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西蒙</w:t>
            </w:r>
          </w:p>
        </w:tc>
      </w:tr>
      <w:tr w14:paraId="42106DA5">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BC38D">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E5264">
            <w:pPr>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电线电缆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1D6F">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0031">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郑三、金水、恒天、郑缆</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A627">
            <w:pPr>
              <w:jc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恒天</w:t>
            </w:r>
          </w:p>
        </w:tc>
      </w:tr>
      <w:tr w14:paraId="7E7F0C9D">
        <w:tblPrEx>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31140">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E2A5">
            <w:pPr>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防水石膏板、普通石膏板</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A3BE">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CBD38">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龙牌、泰山</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AD9A5">
            <w:pPr>
              <w:jc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泰山</w:t>
            </w:r>
          </w:p>
        </w:tc>
      </w:tr>
      <w:tr w14:paraId="30D02BAC">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2F50">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7</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1433">
            <w:pPr>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轻钢龙骨</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D4C9">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7D76">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龙牌、北新建材、可耐福</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8F62">
            <w:pPr>
              <w:jc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龙牌</w:t>
            </w:r>
          </w:p>
        </w:tc>
      </w:tr>
      <w:tr w14:paraId="56510F4B">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48E6">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8</w:t>
            </w:r>
          </w:p>
        </w:tc>
        <w:tc>
          <w:tcPr>
            <w:tcW w:w="2398" w:type="dxa"/>
            <w:tcBorders>
              <w:top w:val="single" w:color="000000" w:sz="4" w:space="0"/>
              <w:left w:val="single" w:color="000000" w:sz="4" w:space="0"/>
              <w:bottom w:val="nil"/>
              <w:right w:val="single" w:color="000000" w:sz="4" w:space="0"/>
            </w:tcBorders>
            <w:shd w:val="clear" w:color="auto" w:fill="auto"/>
            <w:vAlign w:val="center"/>
          </w:tcPr>
          <w:p w14:paraId="56D04F78">
            <w:pPr>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乳胶漆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BD7B">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nil"/>
              <w:right w:val="single" w:color="000000" w:sz="4" w:space="0"/>
            </w:tcBorders>
            <w:shd w:val="clear" w:color="auto" w:fill="auto"/>
            <w:vAlign w:val="center"/>
          </w:tcPr>
          <w:p w14:paraId="0646A4E2">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立邦、多乐士、嘉宝莉、三棵树</w:t>
            </w:r>
          </w:p>
        </w:tc>
        <w:tc>
          <w:tcPr>
            <w:tcW w:w="1883" w:type="dxa"/>
            <w:tcBorders>
              <w:top w:val="single" w:color="000000" w:sz="4" w:space="0"/>
              <w:left w:val="single" w:color="000000" w:sz="4" w:space="0"/>
              <w:bottom w:val="nil"/>
              <w:right w:val="single" w:color="000000" w:sz="4" w:space="0"/>
            </w:tcBorders>
            <w:shd w:val="clear" w:color="auto" w:fill="auto"/>
            <w:vAlign w:val="center"/>
          </w:tcPr>
          <w:p w14:paraId="2994928C">
            <w:pPr>
              <w:jc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立邦</w:t>
            </w:r>
          </w:p>
        </w:tc>
      </w:tr>
      <w:tr w14:paraId="47341B38">
        <w:tblPrEx>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9DC8">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9</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89ED7">
            <w:pPr>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给排水管</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61CE">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8CD5">
            <w:pPr>
              <w:jc w:val="center"/>
              <w:rPr>
                <w:rFonts w:asciiTheme="minorEastAsia" w:hAnsiTheme="minorEastAsia" w:eastAsiaTheme="minorEastAsia" w:cstheme="minorEastAsia"/>
                <w:color w:val="auto"/>
                <w:sz w:val="22"/>
                <w:highlight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31B7B">
            <w:pPr>
              <w:jc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金牛</w:t>
            </w:r>
          </w:p>
        </w:tc>
      </w:tr>
      <w:tr w14:paraId="44FD71F3">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FE62">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10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5F43">
            <w:pPr>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rPr>
              <w:t>地暖管材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20E7">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CCA7">
            <w:pPr>
              <w:widowControl/>
              <w:jc w:val="center"/>
              <w:textAlignment w:val="center"/>
              <w:rPr>
                <w:rFonts w:hint="eastAsia" w:asciiTheme="minorEastAsia" w:hAnsiTheme="minorEastAsia" w:eastAsiaTheme="minorEastAsia" w:cstheme="minorEastAsia"/>
                <w:color w:val="auto"/>
                <w:sz w:val="22"/>
                <w:highlight w:val="none"/>
                <w:lang w:eastAsia="zh-CN"/>
              </w:rPr>
            </w:pPr>
            <w:r>
              <w:rPr>
                <w:rFonts w:hint="eastAsia" w:asciiTheme="minorEastAsia" w:hAnsiTheme="minorEastAsia" w:eastAsiaTheme="minorEastAsia" w:cstheme="minorEastAsia"/>
                <w:color w:val="auto"/>
                <w:kern w:val="0"/>
                <w:sz w:val="22"/>
                <w:highlight w:val="none"/>
              </w:rPr>
              <w:t>金牛、日丰、保利、伟星</w:t>
            </w:r>
            <w:r>
              <w:rPr>
                <w:rFonts w:hint="eastAsia" w:asciiTheme="minorEastAsia" w:hAnsiTheme="minorEastAsia" w:eastAsiaTheme="minorEastAsia" w:cstheme="minorEastAsia"/>
                <w:color w:val="auto"/>
                <w:kern w:val="0"/>
                <w:sz w:val="22"/>
                <w:highlight w:val="none"/>
                <w:lang w:eastAsia="zh-CN"/>
              </w:rPr>
              <w:t>、联塑</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5EEF">
            <w:pPr>
              <w:jc w:val="center"/>
              <w:rPr>
                <w:rFonts w:hint="eastAsia" w:asciiTheme="minorEastAsia" w:hAnsiTheme="minorEastAsia" w:eastAsiaTheme="minorEastAsia" w:cstheme="minorEastAsia"/>
                <w:color w:val="auto"/>
                <w:sz w:val="22"/>
                <w:highlight w:val="none"/>
                <w:lang w:eastAsia="zh-CN"/>
              </w:rPr>
            </w:pPr>
            <w:r>
              <w:rPr>
                <w:rFonts w:hint="eastAsia" w:asciiTheme="minorEastAsia" w:hAnsiTheme="minorEastAsia" w:eastAsiaTheme="minorEastAsia" w:cstheme="minorEastAsia"/>
                <w:lang w:eastAsia="zh-CN"/>
              </w:rPr>
              <w:t>联塑</w:t>
            </w:r>
          </w:p>
        </w:tc>
      </w:tr>
      <w:tr w14:paraId="138F88FC">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5791">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11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67BB">
            <w:pPr>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lang w:val="en-US" w:eastAsia="zh-CN"/>
              </w:rPr>
              <w:t>镀锌钢管</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79AF">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FE2BA">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金牛、日丰、保利、伟星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5021">
            <w:pPr>
              <w:jc w:val="center"/>
              <w:rPr>
                <w:rFonts w:asciiTheme="minorEastAsia" w:hAnsiTheme="minorEastAsia" w:eastAsiaTheme="minorEastAsia" w:cstheme="minorEastAsia"/>
                <w:color w:val="auto"/>
                <w:sz w:val="22"/>
                <w:highlight w:val="none"/>
              </w:rPr>
            </w:pPr>
            <w:r>
              <w:rPr>
                <w:rFonts w:hint="eastAsia" w:ascii="宋体" w:hAnsi="宋体" w:eastAsia="宋体" w:cs="宋体"/>
                <w:sz w:val="24"/>
                <w:szCs w:val="24"/>
                <w:lang w:val="en-US" w:eastAsia="zh-CN"/>
              </w:rPr>
              <w:t>友发</w:t>
            </w:r>
          </w:p>
        </w:tc>
      </w:tr>
      <w:tr w14:paraId="7FAC2878">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88C7">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12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306BE">
            <w:pPr>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lang w:val="en-US" w:eastAsia="zh-CN"/>
              </w:rPr>
              <w:t>探测器</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3494">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F86D">
            <w:pPr>
              <w:jc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8D76">
            <w:pPr>
              <w:jc w:val="center"/>
              <w:rPr>
                <w:rFonts w:asciiTheme="minorEastAsia" w:hAnsiTheme="minorEastAsia" w:eastAsiaTheme="minorEastAsia" w:cstheme="minorEastAsia"/>
                <w:color w:val="auto"/>
                <w:sz w:val="22"/>
                <w:highlight w:val="none"/>
              </w:rPr>
            </w:pPr>
            <w:r>
              <w:rPr>
                <w:rFonts w:hint="eastAsia" w:ascii="宋体" w:hAnsi="宋体" w:eastAsia="宋体" w:cs="宋体"/>
                <w:sz w:val="24"/>
                <w:szCs w:val="24"/>
                <w:lang w:val="en-US" w:eastAsia="zh-CN"/>
              </w:rPr>
              <w:t>青鸟</w:t>
            </w:r>
          </w:p>
        </w:tc>
      </w:tr>
      <w:tr w14:paraId="4C01B6B4">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A5CD">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13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70A4">
            <w:pPr>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lang w:val="en-US" w:eastAsia="zh-CN"/>
              </w:rPr>
              <w:t>应急照明灯具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0C4C">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306B">
            <w:pPr>
              <w:jc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A61C">
            <w:pPr>
              <w:jc w:val="center"/>
              <w:rPr>
                <w:rFonts w:asciiTheme="minorEastAsia" w:hAnsiTheme="minorEastAsia" w:eastAsiaTheme="minorEastAsia" w:cstheme="minorEastAsia"/>
                <w:color w:val="auto"/>
                <w:sz w:val="22"/>
                <w:highlight w:val="none"/>
              </w:rPr>
            </w:pPr>
            <w:r>
              <w:rPr>
                <w:rFonts w:hint="eastAsia" w:ascii="宋体" w:hAnsi="宋体" w:eastAsia="宋体" w:cs="宋体"/>
                <w:sz w:val="24"/>
                <w:szCs w:val="24"/>
                <w:lang w:val="en-US" w:eastAsia="zh-CN"/>
              </w:rPr>
              <w:t>启程</w:t>
            </w:r>
          </w:p>
        </w:tc>
      </w:tr>
      <w:tr w14:paraId="36662A8D">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CA71F">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14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A288">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沙、石</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61E7">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80DA0">
            <w:pPr>
              <w:jc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2F3F">
            <w:pPr>
              <w:jc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sz w:val="22"/>
                <w:highlight w:val="none"/>
              </w:rPr>
              <w:t>/</w:t>
            </w:r>
          </w:p>
        </w:tc>
      </w:tr>
      <w:tr w14:paraId="79C4E25D">
        <w:tblPrEx>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8C502">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15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25E4">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防水材料</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979D">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80C37">
            <w:pPr>
              <w:widowControl/>
              <w:jc w:val="center"/>
              <w:textAlignment w:val="center"/>
              <w:rPr>
                <w:rFonts w:asciiTheme="minorEastAsia" w:hAnsiTheme="minorEastAsia" w:eastAsiaTheme="minorEastAsia" w:cstheme="minorEastAsia"/>
                <w:color w:val="auto"/>
                <w:sz w:val="22"/>
                <w:highlight w:val="none"/>
              </w:rPr>
            </w:pPr>
            <w:r>
              <w:rPr>
                <w:rFonts w:hint="eastAsia" w:asciiTheme="minorEastAsia" w:hAnsiTheme="minorEastAsia" w:eastAsiaTheme="minorEastAsia" w:cstheme="minorEastAsia"/>
                <w:color w:val="auto"/>
                <w:kern w:val="0"/>
                <w:sz w:val="22"/>
                <w:highlight w:val="none"/>
              </w:rPr>
              <w:t>雨中情、三棵树、宏源、华瑞</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5DE5">
            <w:pPr>
              <w:jc w:val="center"/>
              <w:rPr>
                <w:rFonts w:asciiTheme="minorEastAsia" w:hAnsiTheme="minorEastAsia" w:eastAsiaTheme="minorEastAsia" w:cstheme="minorEastAsia"/>
                <w:color w:val="auto"/>
                <w:sz w:val="22"/>
                <w:highlight w:val="none"/>
              </w:rPr>
            </w:pPr>
          </w:p>
        </w:tc>
      </w:tr>
    </w:tbl>
    <w:p w14:paraId="3E2FAA14">
      <w:pPr>
        <w:pStyle w:val="52"/>
        <w:ind w:firstLine="420"/>
        <w:rPr>
          <w:rFonts w:asciiTheme="minorEastAsia" w:hAnsiTheme="minorEastAsia" w:eastAsiaTheme="minorEastAsia" w:cstheme="minorEastAsia"/>
          <w:bCs/>
          <w:color w:val="auto"/>
          <w:szCs w:val="28"/>
          <w:highlight w:val="none"/>
        </w:rPr>
      </w:pPr>
    </w:p>
    <w:p w14:paraId="4D16BE8B">
      <w:pPr>
        <w:pStyle w:val="52"/>
        <w:ind w:firstLine="420"/>
        <w:rPr>
          <w:rFonts w:asciiTheme="minorEastAsia" w:hAnsiTheme="minorEastAsia" w:eastAsiaTheme="minorEastAsia" w:cstheme="minorEastAsia"/>
          <w:bCs/>
          <w:color w:val="auto"/>
          <w:szCs w:val="28"/>
          <w:highlight w:val="none"/>
        </w:rPr>
      </w:pPr>
    </w:p>
    <w:p w14:paraId="7A83B0F6">
      <w:pPr>
        <w:pStyle w:val="52"/>
        <w:ind w:firstLine="420"/>
        <w:rPr>
          <w:rFonts w:asciiTheme="minorEastAsia" w:hAnsiTheme="minorEastAsia" w:eastAsiaTheme="minorEastAsia" w:cstheme="minorEastAsia"/>
          <w:bCs/>
          <w:color w:val="auto"/>
          <w:szCs w:val="28"/>
          <w:highlight w:val="none"/>
        </w:rPr>
      </w:pPr>
    </w:p>
    <w:p w14:paraId="6D47C910">
      <w:pPr>
        <w:pStyle w:val="52"/>
        <w:ind w:firstLine="420"/>
        <w:rPr>
          <w:rFonts w:asciiTheme="minorEastAsia" w:hAnsiTheme="minorEastAsia" w:eastAsiaTheme="minorEastAsia" w:cstheme="minorEastAsia"/>
          <w:bCs/>
          <w:color w:val="auto"/>
          <w:szCs w:val="28"/>
          <w:highlight w:val="none"/>
        </w:rPr>
      </w:pPr>
    </w:p>
    <w:p w14:paraId="5B6C6508">
      <w:pPr>
        <w:pStyle w:val="52"/>
        <w:spacing w:line="360" w:lineRule="auto"/>
        <w:ind w:firstLine="420"/>
        <w:rPr>
          <w:rFonts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附件四、《装修工程外观验收标准》</w:t>
      </w:r>
    </w:p>
    <w:tbl>
      <w:tblPr>
        <w:tblStyle w:val="45"/>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820"/>
        <w:gridCol w:w="7501"/>
      </w:tblGrid>
      <w:tr w14:paraId="2AF20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93" w:type="dxa"/>
          </w:tcPr>
          <w:p w14:paraId="69B851EF">
            <w:pPr>
              <w:pStyle w:val="69"/>
              <w:spacing w:before="37"/>
              <w:ind w:left="107"/>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检查内容</w:t>
            </w:r>
          </w:p>
        </w:tc>
        <w:tc>
          <w:tcPr>
            <w:tcW w:w="8321" w:type="dxa"/>
            <w:gridSpan w:val="2"/>
          </w:tcPr>
          <w:p w14:paraId="4FDF00D2">
            <w:pPr>
              <w:pStyle w:val="69"/>
              <w:spacing w:before="37"/>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检查标准</w:t>
            </w:r>
          </w:p>
        </w:tc>
      </w:tr>
      <w:tr w14:paraId="086CE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tcPr>
          <w:p w14:paraId="06DDDEC5">
            <w:pPr>
              <w:pStyle w:val="69"/>
              <w:spacing w:before="20"/>
              <w:ind w:left="107"/>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交楼标准</w:t>
            </w:r>
          </w:p>
        </w:tc>
        <w:tc>
          <w:tcPr>
            <w:tcW w:w="8321" w:type="dxa"/>
            <w:gridSpan w:val="2"/>
          </w:tcPr>
          <w:p w14:paraId="676F5FB8">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是否符合</w:t>
            </w:r>
          </w:p>
        </w:tc>
      </w:tr>
      <w:tr w14:paraId="0F7B3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tcPr>
          <w:p w14:paraId="3D8AE11B">
            <w:pPr>
              <w:pStyle w:val="69"/>
              <w:rPr>
                <w:rFonts w:asciiTheme="minorEastAsia" w:hAnsiTheme="minorEastAsia" w:eastAsiaTheme="minorEastAsia" w:cstheme="minorEastAsia"/>
                <w:b/>
                <w:color w:val="auto"/>
                <w:szCs w:val="24"/>
                <w:highlight w:val="none"/>
              </w:rPr>
            </w:pPr>
          </w:p>
          <w:p w14:paraId="3F79FDA0">
            <w:pPr>
              <w:pStyle w:val="69"/>
              <w:rPr>
                <w:rFonts w:asciiTheme="minorEastAsia" w:hAnsiTheme="minorEastAsia" w:eastAsiaTheme="minorEastAsia" w:cstheme="minorEastAsia"/>
                <w:b/>
                <w:color w:val="auto"/>
                <w:szCs w:val="24"/>
                <w:highlight w:val="none"/>
              </w:rPr>
            </w:pPr>
          </w:p>
          <w:p w14:paraId="4AE51F83">
            <w:pPr>
              <w:pStyle w:val="69"/>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地面</w:t>
            </w:r>
          </w:p>
        </w:tc>
        <w:tc>
          <w:tcPr>
            <w:tcW w:w="820" w:type="dxa"/>
            <w:vMerge w:val="restart"/>
          </w:tcPr>
          <w:p w14:paraId="10297868">
            <w:pPr>
              <w:pStyle w:val="69"/>
              <w:spacing w:line="269" w:lineRule="exact"/>
              <w:ind w:left="219"/>
              <w:jc w:val="left"/>
              <w:rPr>
                <w:rFonts w:asciiTheme="minorEastAsia" w:hAnsiTheme="minorEastAsia" w:eastAsiaTheme="minorEastAsia" w:cstheme="minorEastAsia"/>
                <w:color w:val="auto"/>
                <w:szCs w:val="24"/>
                <w:highlight w:val="none"/>
              </w:rPr>
            </w:pPr>
          </w:p>
          <w:p w14:paraId="3DFD5B64">
            <w:pPr>
              <w:pStyle w:val="69"/>
              <w:spacing w:line="269" w:lineRule="exact"/>
              <w:ind w:left="219"/>
              <w:jc w:val="left"/>
              <w:rPr>
                <w:rFonts w:asciiTheme="minorEastAsia" w:hAnsiTheme="minorEastAsia" w:eastAsiaTheme="minorEastAsia" w:cstheme="minorEastAsia"/>
                <w:color w:val="auto"/>
                <w:szCs w:val="24"/>
                <w:highlight w:val="none"/>
              </w:rPr>
            </w:pPr>
          </w:p>
          <w:p w14:paraId="27C062BD">
            <w:pPr>
              <w:pStyle w:val="69"/>
              <w:spacing w:line="269" w:lineRule="exact"/>
              <w:jc w:val="left"/>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瓷 </w:t>
            </w:r>
            <w:r>
              <w:rPr>
                <w:rFonts w:hint="eastAsia" w:asciiTheme="minorEastAsia" w:hAnsiTheme="minorEastAsia" w:eastAsiaTheme="minorEastAsia" w:cstheme="minorEastAsia"/>
                <w:color w:val="auto"/>
                <w:spacing w:val="-16"/>
                <w:szCs w:val="24"/>
                <w:highlight w:val="none"/>
              </w:rPr>
              <w:t>砖</w:t>
            </w:r>
          </w:p>
        </w:tc>
        <w:tc>
          <w:tcPr>
            <w:tcW w:w="7501" w:type="dxa"/>
          </w:tcPr>
          <w:p w14:paraId="6DD72783">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瓷砖铺贴平整、对缝整齐，无空鼓、开裂、缺棱、掉角、色差、污染。</w:t>
            </w:r>
          </w:p>
        </w:tc>
      </w:tr>
      <w:tr w14:paraId="5D162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056452F3">
            <w:pPr>
              <w:rPr>
                <w:rFonts w:asciiTheme="minorEastAsia" w:hAnsiTheme="minorEastAsia" w:eastAsiaTheme="minorEastAsia" w:cstheme="minorEastAsia"/>
                <w:color w:val="auto"/>
                <w:szCs w:val="24"/>
                <w:highlight w:val="none"/>
              </w:rPr>
            </w:pPr>
          </w:p>
        </w:tc>
        <w:tc>
          <w:tcPr>
            <w:tcW w:w="820" w:type="dxa"/>
            <w:vMerge w:val="continue"/>
            <w:tcBorders>
              <w:top w:val="nil"/>
            </w:tcBorders>
          </w:tcPr>
          <w:p w14:paraId="4749C88D">
            <w:pPr>
              <w:jc w:val="left"/>
              <w:rPr>
                <w:rFonts w:asciiTheme="minorEastAsia" w:hAnsiTheme="minorEastAsia" w:eastAsiaTheme="minorEastAsia" w:cstheme="minorEastAsia"/>
                <w:color w:val="auto"/>
                <w:szCs w:val="24"/>
                <w:highlight w:val="none"/>
              </w:rPr>
            </w:pPr>
          </w:p>
        </w:tc>
        <w:tc>
          <w:tcPr>
            <w:tcW w:w="7501" w:type="dxa"/>
          </w:tcPr>
          <w:p w14:paraId="0E4E81F8">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地漏口须设置在对角裁开的方砖正中，且收边美观、圆滑。</w:t>
            </w:r>
          </w:p>
        </w:tc>
      </w:tr>
      <w:tr w14:paraId="0DD4A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2C81BC7B">
            <w:pPr>
              <w:rPr>
                <w:rFonts w:asciiTheme="minorEastAsia" w:hAnsiTheme="minorEastAsia" w:eastAsiaTheme="minorEastAsia" w:cstheme="minorEastAsia"/>
                <w:color w:val="auto"/>
                <w:szCs w:val="24"/>
                <w:highlight w:val="none"/>
              </w:rPr>
            </w:pPr>
          </w:p>
        </w:tc>
        <w:tc>
          <w:tcPr>
            <w:tcW w:w="820" w:type="dxa"/>
            <w:vMerge w:val="continue"/>
            <w:tcBorders>
              <w:top w:val="nil"/>
            </w:tcBorders>
          </w:tcPr>
          <w:p w14:paraId="614FA43A">
            <w:pPr>
              <w:jc w:val="left"/>
              <w:rPr>
                <w:rFonts w:asciiTheme="minorEastAsia" w:hAnsiTheme="minorEastAsia" w:eastAsiaTheme="minorEastAsia" w:cstheme="minorEastAsia"/>
                <w:color w:val="auto"/>
                <w:szCs w:val="24"/>
                <w:highlight w:val="none"/>
              </w:rPr>
            </w:pPr>
          </w:p>
        </w:tc>
        <w:tc>
          <w:tcPr>
            <w:tcW w:w="7501" w:type="dxa"/>
          </w:tcPr>
          <w:p w14:paraId="3A828AD0">
            <w:pPr>
              <w:pStyle w:val="69"/>
              <w:spacing w:before="21"/>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厨卫和阳台地面肉眼可见明显坡向地漏，须放水检验排水畅通、不积水、不渗漏。</w:t>
            </w:r>
          </w:p>
        </w:tc>
      </w:tr>
      <w:tr w14:paraId="6C98F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7743F330">
            <w:pPr>
              <w:rPr>
                <w:rFonts w:asciiTheme="minorEastAsia" w:hAnsiTheme="minorEastAsia" w:eastAsiaTheme="minorEastAsia" w:cstheme="minorEastAsia"/>
                <w:color w:val="auto"/>
                <w:szCs w:val="24"/>
                <w:highlight w:val="none"/>
              </w:rPr>
            </w:pPr>
          </w:p>
        </w:tc>
        <w:tc>
          <w:tcPr>
            <w:tcW w:w="820" w:type="dxa"/>
            <w:vMerge w:val="continue"/>
            <w:tcBorders>
              <w:top w:val="nil"/>
            </w:tcBorders>
          </w:tcPr>
          <w:p w14:paraId="6F9BF207">
            <w:pPr>
              <w:jc w:val="left"/>
              <w:rPr>
                <w:rFonts w:asciiTheme="minorEastAsia" w:hAnsiTheme="minorEastAsia" w:eastAsiaTheme="minorEastAsia" w:cstheme="minorEastAsia"/>
                <w:color w:val="auto"/>
                <w:szCs w:val="24"/>
                <w:highlight w:val="none"/>
              </w:rPr>
            </w:pPr>
          </w:p>
        </w:tc>
        <w:tc>
          <w:tcPr>
            <w:tcW w:w="7501" w:type="dxa"/>
          </w:tcPr>
          <w:p w14:paraId="09A79BFD">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地漏不应设在厨房菜盆、灶台、冰箱、卫生间洗脸盆的前方或阳台上经常行走的部位。</w:t>
            </w:r>
          </w:p>
        </w:tc>
      </w:tr>
      <w:tr w14:paraId="25BA7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0F00BD59">
            <w:pPr>
              <w:rPr>
                <w:rFonts w:asciiTheme="minorEastAsia" w:hAnsiTheme="minorEastAsia" w:eastAsiaTheme="minorEastAsia" w:cstheme="minorEastAsia"/>
                <w:color w:val="auto"/>
                <w:szCs w:val="24"/>
                <w:highlight w:val="none"/>
              </w:rPr>
            </w:pPr>
          </w:p>
        </w:tc>
        <w:tc>
          <w:tcPr>
            <w:tcW w:w="820" w:type="dxa"/>
            <w:vMerge w:val="restart"/>
          </w:tcPr>
          <w:p w14:paraId="5FDF6C6B">
            <w:pPr>
              <w:pStyle w:val="69"/>
              <w:spacing w:before="11"/>
              <w:jc w:val="left"/>
              <w:rPr>
                <w:rFonts w:asciiTheme="minorEastAsia" w:hAnsiTheme="minorEastAsia" w:eastAsiaTheme="minorEastAsia" w:cstheme="minorEastAsia"/>
                <w:b/>
                <w:color w:val="auto"/>
                <w:szCs w:val="24"/>
                <w:highlight w:val="none"/>
              </w:rPr>
            </w:pPr>
          </w:p>
          <w:p w14:paraId="4A205EC2">
            <w:pPr>
              <w:pStyle w:val="69"/>
              <w:jc w:val="left"/>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木地板</w:t>
            </w:r>
          </w:p>
        </w:tc>
        <w:tc>
          <w:tcPr>
            <w:tcW w:w="7501" w:type="dxa"/>
          </w:tcPr>
          <w:p w14:paraId="2341729C">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表面平直，颜色、木纹协调一致，洁净无胶痕。</w:t>
            </w:r>
          </w:p>
        </w:tc>
      </w:tr>
      <w:tr w14:paraId="3C016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6FD94880">
            <w:pPr>
              <w:rPr>
                <w:rFonts w:asciiTheme="minorEastAsia" w:hAnsiTheme="minorEastAsia" w:eastAsiaTheme="minorEastAsia" w:cstheme="minorEastAsia"/>
                <w:color w:val="auto"/>
                <w:szCs w:val="24"/>
                <w:highlight w:val="none"/>
              </w:rPr>
            </w:pPr>
          </w:p>
        </w:tc>
        <w:tc>
          <w:tcPr>
            <w:tcW w:w="820" w:type="dxa"/>
            <w:vMerge w:val="continue"/>
            <w:tcBorders>
              <w:top w:val="nil"/>
            </w:tcBorders>
          </w:tcPr>
          <w:p w14:paraId="6A0D85C5">
            <w:pPr>
              <w:jc w:val="left"/>
              <w:rPr>
                <w:rFonts w:asciiTheme="minorEastAsia" w:hAnsiTheme="minorEastAsia" w:eastAsiaTheme="minorEastAsia" w:cstheme="minorEastAsia"/>
                <w:color w:val="auto"/>
                <w:szCs w:val="24"/>
                <w:highlight w:val="none"/>
              </w:rPr>
            </w:pPr>
          </w:p>
        </w:tc>
        <w:tc>
          <w:tcPr>
            <w:tcW w:w="7501" w:type="dxa"/>
          </w:tcPr>
          <w:p w14:paraId="42327133">
            <w:pPr>
              <w:pStyle w:val="69"/>
              <w:spacing w:before="21"/>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地板无松动、爆裂或撞凹，行走时无吱吱作响声。</w:t>
            </w:r>
          </w:p>
        </w:tc>
      </w:tr>
      <w:tr w14:paraId="2EB62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73A24535">
            <w:pPr>
              <w:rPr>
                <w:rFonts w:asciiTheme="minorEastAsia" w:hAnsiTheme="minorEastAsia" w:eastAsiaTheme="minorEastAsia" w:cstheme="minorEastAsia"/>
                <w:color w:val="auto"/>
                <w:szCs w:val="24"/>
                <w:highlight w:val="none"/>
              </w:rPr>
            </w:pPr>
          </w:p>
        </w:tc>
        <w:tc>
          <w:tcPr>
            <w:tcW w:w="820" w:type="dxa"/>
            <w:vMerge w:val="continue"/>
            <w:tcBorders>
              <w:top w:val="nil"/>
            </w:tcBorders>
          </w:tcPr>
          <w:p w14:paraId="29BDBAF0">
            <w:pPr>
              <w:jc w:val="left"/>
              <w:rPr>
                <w:rFonts w:asciiTheme="minorEastAsia" w:hAnsiTheme="minorEastAsia" w:eastAsiaTheme="minorEastAsia" w:cstheme="minorEastAsia"/>
                <w:color w:val="auto"/>
                <w:szCs w:val="24"/>
                <w:highlight w:val="none"/>
              </w:rPr>
            </w:pPr>
          </w:p>
        </w:tc>
        <w:tc>
          <w:tcPr>
            <w:tcW w:w="7501" w:type="dxa"/>
          </w:tcPr>
          <w:p w14:paraId="1F5A7817">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地脚线接口，无松动现象。</w:t>
            </w:r>
          </w:p>
        </w:tc>
      </w:tr>
      <w:tr w14:paraId="1B39D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tcPr>
          <w:p w14:paraId="0CFE252E">
            <w:pPr>
              <w:pStyle w:val="69"/>
              <w:rPr>
                <w:rFonts w:asciiTheme="minorEastAsia" w:hAnsiTheme="minorEastAsia" w:eastAsiaTheme="minorEastAsia" w:cstheme="minorEastAsia"/>
                <w:b/>
                <w:color w:val="auto"/>
                <w:szCs w:val="24"/>
                <w:highlight w:val="none"/>
              </w:rPr>
            </w:pPr>
          </w:p>
          <w:p w14:paraId="49FE6A57">
            <w:pPr>
              <w:pStyle w:val="69"/>
              <w:spacing w:before="1"/>
              <w:rPr>
                <w:rFonts w:asciiTheme="minorEastAsia" w:hAnsiTheme="minorEastAsia" w:eastAsiaTheme="minorEastAsia" w:cstheme="minorEastAsia"/>
                <w:color w:val="auto"/>
                <w:szCs w:val="24"/>
                <w:highlight w:val="none"/>
              </w:rPr>
            </w:pPr>
          </w:p>
          <w:p w14:paraId="77781DFB">
            <w:pPr>
              <w:pStyle w:val="69"/>
              <w:spacing w:before="1"/>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墙面</w:t>
            </w:r>
          </w:p>
        </w:tc>
        <w:tc>
          <w:tcPr>
            <w:tcW w:w="820" w:type="dxa"/>
            <w:vMerge w:val="restart"/>
          </w:tcPr>
          <w:p w14:paraId="79717DF0">
            <w:pPr>
              <w:pStyle w:val="69"/>
              <w:spacing w:before="4"/>
              <w:jc w:val="left"/>
              <w:rPr>
                <w:rFonts w:asciiTheme="minorEastAsia" w:hAnsiTheme="minorEastAsia" w:eastAsiaTheme="minorEastAsia" w:cstheme="minorEastAsia"/>
                <w:b/>
                <w:color w:val="auto"/>
                <w:szCs w:val="24"/>
                <w:highlight w:val="none"/>
              </w:rPr>
            </w:pPr>
          </w:p>
          <w:p w14:paraId="7160C0D4">
            <w:pPr>
              <w:pStyle w:val="69"/>
              <w:spacing w:line="278" w:lineRule="auto"/>
              <w:ind w:right="80"/>
              <w:jc w:val="left"/>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乳胶漆墙面</w:t>
            </w:r>
          </w:p>
        </w:tc>
        <w:tc>
          <w:tcPr>
            <w:tcW w:w="7501" w:type="dxa"/>
          </w:tcPr>
          <w:p w14:paraId="5AECB9C1">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14:paraId="25EE1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093" w:type="dxa"/>
            <w:vMerge w:val="continue"/>
            <w:tcBorders>
              <w:top w:val="nil"/>
            </w:tcBorders>
          </w:tcPr>
          <w:p w14:paraId="01CCC742">
            <w:pPr>
              <w:rPr>
                <w:rFonts w:asciiTheme="minorEastAsia" w:hAnsiTheme="minorEastAsia" w:eastAsiaTheme="minorEastAsia" w:cstheme="minorEastAsia"/>
                <w:color w:val="auto"/>
                <w:szCs w:val="24"/>
                <w:highlight w:val="none"/>
              </w:rPr>
            </w:pPr>
          </w:p>
        </w:tc>
        <w:tc>
          <w:tcPr>
            <w:tcW w:w="820" w:type="dxa"/>
            <w:vMerge w:val="continue"/>
            <w:tcBorders>
              <w:top w:val="nil"/>
            </w:tcBorders>
          </w:tcPr>
          <w:p w14:paraId="54DD67B1">
            <w:pPr>
              <w:jc w:val="left"/>
              <w:rPr>
                <w:rFonts w:asciiTheme="minorEastAsia" w:hAnsiTheme="minorEastAsia" w:eastAsiaTheme="minorEastAsia" w:cstheme="minorEastAsia"/>
                <w:color w:val="auto"/>
                <w:szCs w:val="24"/>
                <w:highlight w:val="none"/>
              </w:rPr>
            </w:pPr>
          </w:p>
        </w:tc>
        <w:tc>
          <w:tcPr>
            <w:tcW w:w="7501" w:type="dxa"/>
          </w:tcPr>
          <w:p w14:paraId="2684C5EB">
            <w:pPr>
              <w:pStyle w:val="69"/>
              <w:spacing w:before="52"/>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14:paraId="340B4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295FAA5F">
            <w:pPr>
              <w:rPr>
                <w:rFonts w:asciiTheme="minorEastAsia" w:hAnsiTheme="minorEastAsia" w:eastAsiaTheme="minorEastAsia" w:cstheme="minorEastAsia"/>
                <w:color w:val="auto"/>
                <w:szCs w:val="24"/>
                <w:highlight w:val="none"/>
              </w:rPr>
            </w:pPr>
          </w:p>
        </w:tc>
        <w:tc>
          <w:tcPr>
            <w:tcW w:w="820" w:type="dxa"/>
            <w:vMerge w:val="continue"/>
            <w:tcBorders>
              <w:top w:val="nil"/>
            </w:tcBorders>
          </w:tcPr>
          <w:p w14:paraId="78B4BF33">
            <w:pPr>
              <w:jc w:val="left"/>
              <w:rPr>
                <w:rFonts w:asciiTheme="minorEastAsia" w:hAnsiTheme="minorEastAsia" w:eastAsiaTheme="minorEastAsia" w:cstheme="minorEastAsia"/>
                <w:color w:val="auto"/>
                <w:szCs w:val="24"/>
                <w:highlight w:val="none"/>
              </w:rPr>
            </w:pPr>
          </w:p>
        </w:tc>
        <w:tc>
          <w:tcPr>
            <w:tcW w:w="7501" w:type="dxa"/>
          </w:tcPr>
          <w:p w14:paraId="18ED5333">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阴阳角线条清晰、方正顺直。</w:t>
            </w:r>
          </w:p>
        </w:tc>
      </w:tr>
      <w:tr w14:paraId="69EC2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6F23050D">
            <w:pPr>
              <w:rPr>
                <w:rFonts w:asciiTheme="minorEastAsia" w:hAnsiTheme="minorEastAsia" w:eastAsiaTheme="minorEastAsia" w:cstheme="minorEastAsia"/>
                <w:color w:val="auto"/>
                <w:szCs w:val="24"/>
                <w:highlight w:val="none"/>
              </w:rPr>
            </w:pPr>
          </w:p>
        </w:tc>
        <w:tc>
          <w:tcPr>
            <w:tcW w:w="820" w:type="dxa"/>
            <w:vMerge w:val="continue"/>
            <w:tcBorders>
              <w:top w:val="nil"/>
            </w:tcBorders>
          </w:tcPr>
          <w:p w14:paraId="5CFD89FE">
            <w:pPr>
              <w:jc w:val="left"/>
              <w:rPr>
                <w:rFonts w:asciiTheme="minorEastAsia" w:hAnsiTheme="minorEastAsia" w:eastAsiaTheme="minorEastAsia" w:cstheme="minorEastAsia"/>
                <w:color w:val="auto"/>
                <w:szCs w:val="24"/>
                <w:highlight w:val="none"/>
              </w:rPr>
            </w:pPr>
          </w:p>
        </w:tc>
        <w:tc>
          <w:tcPr>
            <w:tcW w:w="7501" w:type="dxa"/>
          </w:tcPr>
          <w:p w14:paraId="5A817795">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14:paraId="2F2E4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22124D8E">
            <w:pPr>
              <w:rPr>
                <w:rFonts w:asciiTheme="minorEastAsia" w:hAnsiTheme="minorEastAsia" w:eastAsiaTheme="minorEastAsia" w:cstheme="minorEastAsia"/>
                <w:color w:val="auto"/>
                <w:szCs w:val="24"/>
                <w:highlight w:val="none"/>
              </w:rPr>
            </w:pPr>
          </w:p>
        </w:tc>
        <w:tc>
          <w:tcPr>
            <w:tcW w:w="820" w:type="dxa"/>
            <w:vMerge w:val="restart"/>
          </w:tcPr>
          <w:p w14:paraId="1A5DB2C0">
            <w:pPr>
              <w:pStyle w:val="69"/>
              <w:spacing w:before="11"/>
              <w:jc w:val="left"/>
              <w:rPr>
                <w:rFonts w:asciiTheme="minorEastAsia" w:hAnsiTheme="minorEastAsia" w:eastAsiaTheme="minorEastAsia" w:cstheme="minorEastAsia"/>
                <w:b/>
                <w:color w:val="auto"/>
                <w:szCs w:val="24"/>
                <w:highlight w:val="none"/>
              </w:rPr>
            </w:pPr>
          </w:p>
          <w:p w14:paraId="3A59A955">
            <w:pPr>
              <w:pStyle w:val="69"/>
              <w:jc w:val="left"/>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rPr>
              <w:t>瓷砖</w:t>
            </w:r>
            <w:r>
              <w:rPr>
                <w:rFonts w:hint="eastAsia" w:asciiTheme="minorEastAsia" w:hAnsiTheme="minorEastAsia" w:eastAsiaTheme="minorEastAsia" w:cstheme="minorEastAsia"/>
                <w:color w:val="auto"/>
                <w:szCs w:val="24"/>
                <w:highlight w:val="none"/>
              </w:rPr>
              <w:t>墙面</w:t>
            </w:r>
          </w:p>
        </w:tc>
        <w:tc>
          <w:tcPr>
            <w:tcW w:w="7501" w:type="dxa"/>
          </w:tcPr>
          <w:p w14:paraId="60220CDB">
            <w:pPr>
              <w:pStyle w:val="69"/>
              <w:spacing w:before="21"/>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瓷片牢固平整、对缝整齐、勾缝饱满均匀。</w:t>
            </w:r>
          </w:p>
        </w:tc>
      </w:tr>
      <w:tr w14:paraId="17ECE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188389AB">
            <w:pPr>
              <w:rPr>
                <w:rFonts w:asciiTheme="minorEastAsia" w:hAnsiTheme="minorEastAsia" w:eastAsiaTheme="minorEastAsia" w:cstheme="minorEastAsia"/>
                <w:color w:val="auto"/>
                <w:szCs w:val="24"/>
                <w:highlight w:val="none"/>
              </w:rPr>
            </w:pPr>
          </w:p>
        </w:tc>
        <w:tc>
          <w:tcPr>
            <w:tcW w:w="820" w:type="dxa"/>
            <w:vMerge w:val="continue"/>
            <w:tcBorders>
              <w:top w:val="nil"/>
            </w:tcBorders>
          </w:tcPr>
          <w:p w14:paraId="27916402">
            <w:pPr>
              <w:jc w:val="left"/>
              <w:rPr>
                <w:rFonts w:asciiTheme="minorEastAsia" w:hAnsiTheme="minorEastAsia" w:eastAsiaTheme="minorEastAsia" w:cstheme="minorEastAsia"/>
                <w:color w:val="auto"/>
                <w:szCs w:val="24"/>
                <w:highlight w:val="none"/>
              </w:rPr>
            </w:pPr>
          </w:p>
        </w:tc>
        <w:tc>
          <w:tcPr>
            <w:tcW w:w="7501" w:type="dxa"/>
          </w:tcPr>
          <w:p w14:paraId="1D1F5A7C">
            <w:pPr>
              <w:pStyle w:val="69"/>
              <w:spacing w:before="21"/>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无破裂、空鼓、色差、污渍，无缺棱掉角、歪斜。</w:t>
            </w:r>
          </w:p>
        </w:tc>
      </w:tr>
      <w:tr w14:paraId="50551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577DAFFD">
            <w:pPr>
              <w:rPr>
                <w:rFonts w:asciiTheme="minorEastAsia" w:hAnsiTheme="minorEastAsia" w:eastAsiaTheme="minorEastAsia" w:cstheme="minorEastAsia"/>
                <w:color w:val="auto"/>
                <w:szCs w:val="24"/>
                <w:highlight w:val="none"/>
              </w:rPr>
            </w:pPr>
          </w:p>
        </w:tc>
        <w:tc>
          <w:tcPr>
            <w:tcW w:w="820" w:type="dxa"/>
            <w:vMerge w:val="continue"/>
            <w:tcBorders>
              <w:top w:val="nil"/>
            </w:tcBorders>
          </w:tcPr>
          <w:p w14:paraId="2512AE11">
            <w:pPr>
              <w:jc w:val="left"/>
              <w:rPr>
                <w:rFonts w:asciiTheme="minorEastAsia" w:hAnsiTheme="minorEastAsia" w:eastAsiaTheme="minorEastAsia" w:cstheme="minorEastAsia"/>
                <w:color w:val="auto"/>
                <w:szCs w:val="24"/>
                <w:highlight w:val="none"/>
              </w:rPr>
            </w:pPr>
          </w:p>
        </w:tc>
        <w:tc>
          <w:tcPr>
            <w:tcW w:w="7501" w:type="dxa"/>
          </w:tcPr>
          <w:p w14:paraId="6A10C7D9">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阴阳角处瓷片搭接方向正确。</w:t>
            </w:r>
          </w:p>
        </w:tc>
      </w:tr>
      <w:tr w14:paraId="5358A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tcPr>
          <w:p w14:paraId="3903274F">
            <w:pPr>
              <w:pStyle w:val="69"/>
              <w:rPr>
                <w:rFonts w:asciiTheme="minorEastAsia" w:hAnsiTheme="minorEastAsia" w:eastAsiaTheme="minorEastAsia" w:cstheme="minorEastAsia"/>
                <w:color w:val="auto"/>
                <w:szCs w:val="24"/>
                <w:highlight w:val="none"/>
              </w:rPr>
            </w:pPr>
          </w:p>
          <w:p w14:paraId="0FE6FFAC">
            <w:pPr>
              <w:pStyle w:val="69"/>
              <w:rPr>
                <w:rFonts w:asciiTheme="minorEastAsia" w:hAnsiTheme="minorEastAsia" w:eastAsiaTheme="minorEastAsia" w:cstheme="minorEastAsia"/>
                <w:color w:val="auto"/>
                <w:szCs w:val="24"/>
                <w:highlight w:val="none"/>
              </w:rPr>
            </w:pPr>
          </w:p>
          <w:p w14:paraId="43579A62">
            <w:pPr>
              <w:pStyle w:val="69"/>
              <w:rPr>
                <w:rFonts w:asciiTheme="minorEastAsia" w:hAnsiTheme="minorEastAsia" w:eastAsiaTheme="minorEastAsia" w:cstheme="minorEastAsia"/>
                <w:color w:val="auto"/>
                <w:szCs w:val="24"/>
                <w:highlight w:val="none"/>
              </w:rPr>
            </w:pPr>
          </w:p>
          <w:p w14:paraId="4C697160">
            <w:pPr>
              <w:pStyle w:val="69"/>
              <w:rPr>
                <w:rFonts w:asciiTheme="minorEastAsia" w:hAnsiTheme="minorEastAsia" w:eastAsiaTheme="minorEastAsia" w:cstheme="minorEastAsia"/>
                <w:color w:val="auto"/>
                <w:szCs w:val="24"/>
                <w:highlight w:val="none"/>
              </w:rPr>
            </w:pPr>
          </w:p>
          <w:p w14:paraId="2B431080">
            <w:pPr>
              <w:pStyle w:val="69"/>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天花</w:t>
            </w:r>
          </w:p>
        </w:tc>
        <w:tc>
          <w:tcPr>
            <w:tcW w:w="820" w:type="dxa"/>
            <w:vMerge w:val="restart"/>
          </w:tcPr>
          <w:p w14:paraId="698B33AE">
            <w:pPr>
              <w:pStyle w:val="69"/>
              <w:spacing w:before="7"/>
              <w:jc w:val="left"/>
              <w:rPr>
                <w:rFonts w:asciiTheme="minorEastAsia" w:hAnsiTheme="minorEastAsia" w:eastAsiaTheme="minorEastAsia" w:cstheme="minorEastAsia"/>
                <w:b/>
                <w:color w:val="auto"/>
                <w:szCs w:val="24"/>
                <w:highlight w:val="none"/>
              </w:rPr>
            </w:pPr>
          </w:p>
          <w:p w14:paraId="7F66AC82">
            <w:pPr>
              <w:pStyle w:val="69"/>
              <w:spacing w:line="278" w:lineRule="auto"/>
              <w:ind w:right="80"/>
              <w:jc w:val="left"/>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乳胶漆天花</w:t>
            </w:r>
          </w:p>
        </w:tc>
        <w:tc>
          <w:tcPr>
            <w:tcW w:w="7501" w:type="dxa"/>
          </w:tcPr>
          <w:p w14:paraId="6E88F035">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14:paraId="56989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1C4644F1">
            <w:pPr>
              <w:rPr>
                <w:rFonts w:asciiTheme="minorEastAsia" w:hAnsiTheme="minorEastAsia" w:eastAsiaTheme="minorEastAsia" w:cstheme="minorEastAsia"/>
                <w:color w:val="auto"/>
                <w:szCs w:val="24"/>
                <w:highlight w:val="none"/>
              </w:rPr>
            </w:pPr>
          </w:p>
        </w:tc>
        <w:tc>
          <w:tcPr>
            <w:tcW w:w="820" w:type="dxa"/>
            <w:vMerge w:val="continue"/>
            <w:tcBorders>
              <w:top w:val="nil"/>
            </w:tcBorders>
          </w:tcPr>
          <w:p w14:paraId="7931CC1D">
            <w:pPr>
              <w:jc w:val="left"/>
              <w:rPr>
                <w:rFonts w:asciiTheme="minorEastAsia" w:hAnsiTheme="minorEastAsia" w:eastAsiaTheme="minorEastAsia" w:cstheme="minorEastAsia"/>
                <w:color w:val="auto"/>
                <w:szCs w:val="24"/>
                <w:highlight w:val="none"/>
              </w:rPr>
            </w:pPr>
          </w:p>
        </w:tc>
        <w:tc>
          <w:tcPr>
            <w:tcW w:w="7501" w:type="dxa"/>
          </w:tcPr>
          <w:p w14:paraId="234D6A05">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14:paraId="39FE0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06ADB8FE">
            <w:pPr>
              <w:rPr>
                <w:rFonts w:asciiTheme="minorEastAsia" w:hAnsiTheme="minorEastAsia" w:eastAsiaTheme="minorEastAsia" w:cstheme="minorEastAsia"/>
                <w:color w:val="auto"/>
                <w:szCs w:val="24"/>
                <w:highlight w:val="none"/>
              </w:rPr>
            </w:pPr>
          </w:p>
        </w:tc>
        <w:tc>
          <w:tcPr>
            <w:tcW w:w="820" w:type="dxa"/>
            <w:vMerge w:val="continue"/>
            <w:tcBorders>
              <w:top w:val="nil"/>
            </w:tcBorders>
          </w:tcPr>
          <w:p w14:paraId="6D11D14C">
            <w:pPr>
              <w:jc w:val="left"/>
              <w:rPr>
                <w:rFonts w:asciiTheme="minorEastAsia" w:hAnsiTheme="minorEastAsia" w:eastAsiaTheme="minorEastAsia" w:cstheme="minorEastAsia"/>
                <w:color w:val="auto"/>
                <w:szCs w:val="24"/>
                <w:highlight w:val="none"/>
              </w:rPr>
            </w:pPr>
          </w:p>
        </w:tc>
        <w:tc>
          <w:tcPr>
            <w:tcW w:w="7501" w:type="dxa"/>
          </w:tcPr>
          <w:p w14:paraId="0960A9EB">
            <w:pPr>
              <w:pStyle w:val="69"/>
              <w:spacing w:before="21"/>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装饰线、分色线平直，阴阳角线条清晰、方正顺直。</w:t>
            </w:r>
          </w:p>
        </w:tc>
      </w:tr>
      <w:tr w14:paraId="06358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7C05965C">
            <w:pPr>
              <w:rPr>
                <w:rFonts w:asciiTheme="minorEastAsia" w:hAnsiTheme="minorEastAsia" w:eastAsiaTheme="minorEastAsia" w:cstheme="minorEastAsia"/>
                <w:color w:val="auto"/>
                <w:szCs w:val="24"/>
                <w:highlight w:val="none"/>
              </w:rPr>
            </w:pPr>
          </w:p>
        </w:tc>
        <w:tc>
          <w:tcPr>
            <w:tcW w:w="820" w:type="dxa"/>
            <w:vMerge w:val="continue"/>
            <w:tcBorders>
              <w:top w:val="nil"/>
            </w:tcBorders>
          </w:tcPr>
          <w:p w14:paraId="71BDDB4D">
            <w:pPr>
              <w:jc w:val="left"/>
              <w:rPr>
                <w:rFonts w:asciiTheme="minorEastAsia" w:hAnsiTheme="minorEastAsia" w:eastAsiaTheme="minorEastAsia" w:cstheme="minorEastAsia"/>
                <w:color w:val="auto"/>
                <w:szCs w:val="24"/>
                <w:highlight w:val="none"/>
              </w:rPr>
            </w:pPr>
          </w:p>
        </w:tc>
        <w:tc>
          <w:tcPr>
            <w:tcW w:w="7501" w:type="dxa"/>
          </w:tcPr>
          <w:p w14:paraId="1F4EE1AF">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14:paraId="158DF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645CC06C">
            <w:pPr>
              <w:rPr>
                <w:rFonts w:asciiTheme="minorEastAsia" w:hAnsiTheme="minorEastAsia" w:eastAsiaTheme="minorEastAsia" w:cstheme="minorEastAsia"/>
                <w:color w:val="auto"/>
                <w:szCs w:val="24"/>
                <w:highlight w:val="none"/>
              </w:rPr>
            </w:pPr>
          </w:p>
        </w:tc>
        <w:tc>
          <w:tcPr>
            <w:tcW w:w="820" w:type="dxa"/>
            <w:vMerge w:val="restart"/>
          </w:tcPr>
          <w:p w14:paraId="31D72B47">
            <w:pPr>
              <w:pStyle w:val="69"/>
              <w:spacing w:before="11"/>
              <w:jc w:val="left"/>
              <w:rPr>
                <w:rFonts w:asciiTheme="minorEastAsia" w:hAnsiTheme="minorEastAsia" w:eastAsiaTheme="minorEastAsia" w:cstheme="minorEastAsia"/>
                <w:b/>
                <w:color w:val="auto"/>
                <w:szCs w:val="24"/>
                <w:highlight w:val="none"/>
              </w:rPr>
            </w:pPr>
          </w:p>
          <w:p w14:paraId="61E8F93D">
            <w:pPr>
              <w:pStyle w:val="69"/>
              <w:jc w:val="left"/>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吊顶</w:t>
            </w:r>
          </w:p>
        </w:tc>
        <w:tc>
          <w:tcPr>
            <w:tcW w:w="7501" w:type="dxa"/>
          </w:tcPr>
          <w:p w14:paraId="757A0D99">
            <w:pPr>
              <w:pStyle w:val="69"/>
              <w:spacing w:before="21"/>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整体完好、安装牢固，表面平整、颜色均匀，线角顺直方正。</w:t>
            </w:r>
          </w:p>
        </w:tc>
      </w:tr>
      <w:tr w14:paraId="53887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1BBD1079">
            <w:pPr>
              <w:rPr>
                <w:rFonts w:asciiTheme="minorEastAsia" w:hAnsiTheme="minorEastAsia" w:eastAsiaTheme="minorEastAsia" w:cstheme="minorEastAsia"/>
                <w:color w:val="auto"/>
                <w:szCs w:val="24"/>
                <w:highlight w:val="none"/>
              </w:rPr>
            </w:pPr>
          </w:p>
        </w:tc>
        <w:tc>
          <w:tcPr>
            <w:tcW w:w="820" w:type="dxa"/>
            <w:vMerge w:val="continue"/>
            <w:tcBorders>
              <w:top w:val="nil"/>
            </w:tcBorders>
          </w:tcPr>
          <w:p w14:paraId="250B354A">
            <w:pPr>
              <w:rPr>
                <w:rFonts w:asciiTheme="minorEastAsia" w:hAnsiTheme="minorEastAsia" w:eastAsiaTheme="minorEastAsia" w:cstheme="minorEastAsia"/>
                <w:color w:val="auto"/>
                <w:szCs w:val="24"/>
                <w:highlight w:val="none"/>
              </w:rPr>
            </w:pPr>
          </w:p>
        </w:tc>
        <w:tc>
          <w:tcPr>
            <w:tcW w:w="7501" w:type="dxa"/>
          </w:tcPr>
          <w:p w14:paraId="2E108591">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无污染、折裂、锤伤、缺棱掉角。</w:t>
            </w:r>
          </w:p>
        </w:tc>
      </w:tr>
      <w:tr w14:paraId="0AD4B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bottom w:val="single" w:color="auto" w:sz="4" w:space="0"/>
            </w:tcBorders>
          </w:tcPr>
          <w:p w14:paraId="212541CE">
            <w:pPr>
              <w:rPr>
                <w:rFonts w:asciiTheme="minorEastAsia" w:hAnsiTheme="minorEastAsia" w:eastAsiaTheme="minorEastAsia" w:cstheme="minorEastAsia"/>
                <w:color w:val="auto"/>
                <w:szCs w:val="24"/>
                <w:highlight w:val="none"/>
              </w:rPr>
            </w:pPr>
          </w:p>
        </w:tc>
        <w:tc>
          <w:tcPr>
            <w:tcW w:w="820" w:type="dxa"/>
            <w:vMerge w:val="continue"/>
            <w:tcBorders>
              <w:top w:val="nil"/>
              <w:bottom w:val="single" w:color="auto" w:sz="4" w:space="0"/>
            </w:tcBorders>
          </w:tcPr>
          <w:p w14:paraId="5CD81D0B">
            <w:pPr>
              <w:rPr>
                <w:rFonts w:asciiTheme="minorEastAsia" w:hAnsiTheme="minorEastAsia" w:eastAsiaTheme="minorEastAsia" w:cstheme="minorEastAsia"/>
                <w:color w:val="auto"/>
                <w:szCs w:val="24"/>
                <w:highlight w:val="none"/>
              </w:rPr>
            </w:pPr>
          </w:p>
        </w:tc>
        <w:tc>
          <w:tcPr>
            <w:tcW w:w="7501" w:type="dxa"/>
          </w:tcPr>
          <w:p w14:paraId="6B32593C">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接缝均匀一致。</w:t>
            </w:r>
          </w:p>
        </w:tc>
      </w:tr>
      <w:tr w14:paraId="7392E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restart"/>
            <w:tcBorders>
              <w:top w:val="single" w:color="auto" w:sz="4" w:space="0"/>
              <w:left w:val="single" w:color="auto" w:sz="4" w:space="0"/>
              <w:bottom w:val="single" w:color="auto" w:sz="4" w:space="0"/>
              <w:right w:val="single" w:color="auto" w:sz="4" w:space="0"/>
            </w:tcBorders>
          </w:tcPr>
          <w:p w14:paraId="64036FCE">
            <w:pPr>
              <w:rPr>
                <w:rFonts w:asciiTheme="minorEastAsia" w:hAnsiTheme="minorEastAsia" w:eastAsiaTheme="minorEastAsia" w:cstheme="minorEastAsia"/>
                <w:color w:val="auto"/>
                <w:szCs w:val="24"/>
                <w:highlight w:val="none"/>
              </w:rPr>
            </w:pPr>
          </w:p>
          <w:p w14:paraId="353F1B57">
            <w:pP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给排水</w:t>
            </w:r>
          </w:p>
        </w:tc>
        <w:tc>
          <w:tcPr>
            <w:tcW w:w="820" w:type="dxa"/>
            <w:tcBorders>
              <w:top w:val="single" w:color="auto" w:sz="4" w:space="0"/>
              <w:left w:val="single" w:color="auto" w:sz="4" w:space="0"/>
              <w:bottom w:val="single" w:color="auto" w:sz="4" w:space="0"/>
              <w:right w:val="single" w:color="auto" w:sz="4" w:space="0"/>
            </w:tcBorders>
          </w:tcPr>
          <w:p w14:paraId="384253A3">
            <w:pPr>
              <w:pStyle w:val="69"/>
              <w:spacing w:before="2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w:t>
            </w:r>
          </w:p>
        </w:tc>
        <w:tc>
          <w:tcPr>
            <w:tcW w:w="7501" w:type="dxa"/>
            <w:tcBorders>
              <w:left w:val="single" w:color="auto" w:sz="4" w:space="0"/>
            </w:tcBorders>
          </w:tcPr>
          <w:p w14:paraId="5EB88A83">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给水分户总阀开关正常、操作灵活自如、无渗漏，水表无损伤，运转方向正确。</w:t>
            </w:r>
          </w:p>
        </w:tc>
      </w:tr>
      <w:tr w14:paraId="3BD2E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single" w:color="auto" w:sz="4" w:space="0"/>
              <w:left w:val="single" w:color="auto" w:sz="4" w:space="0"/>
              <w:bottom w:val="single" w:color="auto" w:sz="4" w:space="0"/>
              <w:right w:val="single" w:color="auto" w:sz="4" w:space="0"/>
            </w:tcBorders>
          </w:tcPr>
          <w:p w14:paraId="7F93ECD9">
            <w:pPr>
              <w:rPr>
                <w:rFonts w:asciiTheme="minorEastAsia" w:hAnsiTheme="minorEastAsia" w:eastAsiaTheme="minorEastAsia" w:cstheme="minorEastAsia"/>
                <w:color w:val="auto"/>
                <w:szCs w:val="24"/>
                <w:highlight w:val="none"/>
              </w:rPr>
            </w:pPr>
          </w:p>
        </w:tc>
        <w:tc>
          <w:tcPr>
            <w:tcW w:w="820" w:type="dxa"/>
            <w:tcBorders>
              <w:top w:val="single" w:color="auto" w:sz="4" w:space="0"/>
              <w:left w:val="single" w:color="auto" w:sz="4" w:space="0"/>
              <w:bottom w:val="single" w:color="auto" w:sz="4" w:space="0"/>
              <w:right w:val="single" w:color="auto" w:sz="4" w:space="0"/>
            </w:tcBorders>
          </w:tcPr>
          <w:p w14:paraId="4E109597">
            <w:pPr>
              <w:pStyle w:val="69"/>
              <w:spacing w:before="177"/>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排水</w:t>
            </w:r>
          </w:p>
        </w:tc>
        <w:tc>
          <w:tcPr>
            <w:tcW w:w="7501" w:type="dxa"/>
            <w:tcBorders>
              <w:left w:val="single" w:color="auto" w:sz="4" w:space="0"/>
              <w:bottom w:val="single" w:color="auto" w:sz="4" w:space="0"/>
            </w:tcBorders>
          </w:tcPr>
          <w:p w14:paraId="53CFB137">
            <w:pPr>
              <w:pStyle w:val="69"/>
              <w:spacing w:before="21"/>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排水顺畅、有吸力，不渗漏，配件齐全，安装到位。预留口位置准确，保护有效，管内无</w:t>
            </w:r>
          </w:p>
          <w:p w14:paraId="1C02BDD8">
            <w:pPr>
              <w:pStyle w:val="69"/>
              <w:spacing w:before="43"/>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异物。</w:t>
            </w:r>
          </w:p>
        </w:tc>
      </w:tr>
      <w:tr w14:paraId="16487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93" w:type="dxa"/>
            <w:vMerge w:val="restart"/>
            <w:tcBorders>
              <w:top w:val="single" w:color="auto" w:sz="4" w:space="0"/>
              <w:left w:val="single" w:color="auto" w:sz="4" w:space="0"/>
              <w:right w:val="single" w:color="auto" w:sz="4" w:space="0"/>
            </w:tcBorders>
          </w:tcPr>
          <w:p w14:paraId="57CDB54E">
            <w:pPr>
              <w:rPr>
                <w:rFonts w:asciiTheme="minorEastAsia" w:hAnsiTheme="minorEastAsia" w:eastAsiaTheme="minorEastAsia" w:cstheme="minorEastAsia"/>
                <w:color w:val="auto"/>
                <w:szCs w:val="24"/>
                <w:highlight w:val="none"/>
              </w:rPr>
            </w:pPr>
          </w:p>
          <w:p w14:paraId="14C092AB">
            <w:pPr>
              <w:rPr>
                <w:rFonts w:asciiTheme="minorEastAsia" w:hAnsiTheme="minorEastAsia" w:eastAsiaTheme="minorEastAsia" w:cstheme="minorEastAsia"/>
                <w:color w:val="auto"/>
                <w:szCs w:val="24"/>
                <w:highlight w:val="none"/>
              </w:rPr>
            </w:pPr>
          </w:p>
          <w:p w14:paraId="7E43B602">
            <w:pPr>
              <w:rPr>
                <w:rFonts w:asciiTheme="minorEastAsia" w:hAnsiTheme="minorEastAsia" w:eastAsiaTheme="minorEastAsia" w:cstheme="minorEastAsia"/>
                <w:color w:val="auto"/>
                <w:szCs w:val="24"/>
                <w:highlight w:val="none"/>
              </w:rPr>
            </w:pPr>
          </w:p>
          <w:p w14:paraId="6230197D">
            <w:pPr>
              <w:rPr>
                <w:rFonts w:asciiTheme="minorEastAsia" w:hAnsiTheme="minorEastAsia" w:eastAsiaTheme="minorEastAsia" w:cstheme="minorEastAsia"/>
                <w:color w:val="auto"/>
                <w:szCs w:val="24"/>
                <w:highlight w:val="none"/>
              </w:rPr>
            </w:pPr>
          </w:p>
          <w:p w14:paraId="6D20C492">
            <w:pPr>
              <w:rPr>
                <w:rFonts w:asciiTheme="minorEastAsia" w:hAnsiTheme="minorEastAsia" w:eastAsiaTheme="minorEastAsia" w:cstheme="minorEastAsia"/>
                <w:color w:val="auto"/>
                <w:szCs w:val="24"/>
                <w:highlight w:val="none"/>
              </w:rPr>
            </w:pPr>
          </w:p>
          <w:p w14:paraId="4C154FFA">
            <w:pPr>
              <w:rPr>
                <w:rFonts w:asciiTheme="minorEastAsia" w:hAnsiTheme="minorEastAsia" w:eastAsiaTheme="minorEastAsia" w:cstheme="minorEastAsia"/>
                <w:color w:val="auto"/>
                <w:szCs w:val="24"/>
                <w:highlight w:val="none"/>
              </w:rPr>
            </w:pPr>
          </w:p>
          <w:p w14:paraId="0FAA1B98">
            <w:pP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安装类</w:t>
            </w:r>
          </w:p>
        </w:tc>
        <w:tc>
          <w:tcPr>
            <w:tcW w:w="820" w:type="dxa"/>
            <w:vMerge w:val="restart"/>
            <w:tcBorders>
              <w:top w:val="single" w:color="auto" w:sz="4" w:space="0"/>
              <w:left w:val="single" w:color="auto" w:sz="4" w:space="0"/>
              <w:bottom w:val="single" w:color="auto" w:sz="4" w:space="0"/>
              <w:right w:val="single" w:color="auto" w:sz="4" w:space="0"/>
            </w:tcBorders>
          </w:tcPr>
          <w:p w14:paraId="18430CFD">
            <w:pPr>
              <w:jc w:val="left"/>
              <w:rPr>
                <w:rFonts w:asciiTheme="minorEastAsia" w:hAnsiTheme="minorEastAsia" w:eastAsiaTheme="minorEastAsia" w:cstheme="minorEastAsia"/>
                <w:color w:val="auto"/>
                <w:szCs w:val="24"/>
                <w:highlight w:val="none"/>
              </w:rPr>
            </w:pPr>
          </w:p>
          <w:p w14:paraId="34BAAFD3">
            <w:pPr>
              <w:jc w:val="left"/>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灯具</w:t>
            </w:r>
          </w:p>
        </w:tc>
        <w:tc>
          <w:tcPr>
            <w:tcW w:w="7501" w:type="dxa"/>
            <w:tcBorders>
              <w:top w:val="single" w:color="auto" w:sz="4" w:space="0"/>
              <w:left w:val="single" w:color="auto" w:sz="4" w:space="0"/>
              <w:bottom w:val="single" w:color="auto" w:sz="4" w:space="0"/>
              <w:right w:val="single" w:color="auto" w:sz="4" w:space="0"/>
            </w:tcBorders>
          </w:tcPr>
          <w:p w14:paraId="6A5C878B">
            <w:pPr>
              <w:pStyle w:val="69"/>
              <w:spacing w:before="21"/>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无松动、破损，表面整洁、开关正常、位置正确。</w:t>
            </w:r>
          </w:p>
        </w:tc>
      </w:tr>
      <w:tr w14:paraId="412ED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93" w:type="dxa"/>
            <w:vMerge w:val="continue"/>
            <w:tcBorders>
              <w:left w:val="single" w:color="auto" w:sz="4" w:space="0"/>
              <w:right w:val="single" w:color="auto" w:sz="4" w:space="0"/>
            </w:tcBorders>
          </w:tcPr>
          <w:p w14:paraId="4D3C2E54">
            <w:pPr>
              <w:rPr>
                <w:rFonts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1D4C8563">
            <w:pPr>
              <w:jc w:val="left"/>
              <w:rPr>
                <w:rFonts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59A2BE56">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灯泡完好、规格型号正确，符合设计要求。</w:t>
            </w:r>
          </w:p>
        </w:tc>
      </w:tr>
      <w:tr w14:paraId="66FD9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0AD129A0">
            <w:pPr>
              <w:jc w:val="left"/>
              <w:rPr>
                <w:rFonts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bottom w:val="single" w:color="auto" w:sz="4" w:space="0"/>
              <w:right w:val="single" w:color="auto" w:sz="4" w:space="0"/>
            </w:tcBorders>
          </w:tcPr>
          <w:p w14:paraId="163E78E2">
            <w:pPr>
              <w:jc w:val="left"/>
              <w:rPr>
                <w:rFonts w:asciiTheme="minorEastAsia" w:hAnsiTheme="minorEastAsia" w:eastAsiaTheme="minorEastAsia" w:cstheme="minorEastAsia"/>
                <w:color w:val="auto"/>
                <w:szCs w:val="24"/>
                <w:highlight w:val="none"/>
              </w:rPr>
            </w:pPr>
          </w:p>
          <w:p w14:paraId="3F6B3C9B">
            <w:pPr>
              <w:jc w:val="left"/>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开关插座等</w:t>
            </w:r>
          </w:p>
        </w:tc>
        <w:tc>
          <w:tcPr>
            <w:tcW w:w="7501" w:type="dxa"/>
            <w:tcBorders>
              <w:top w:val="single" w:color="auto" w:sz="4" w:space="0"/>
              <w:left w:val="single" w:color="auto" w:sz="4" w:space="0"/>
              <w:bottom w:val="single" w:color="auto" w:sz="4" w:space="0"/>
              <w:right w:val="single" w:color="auto" w:sz="4" w:space="0"/>
            </w:tcBorders>
          </w:tcPr>
          <w:p w14:paraId="43B4335B">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位置、高度正确合理，安装牢固、端正。</w:t>
            </w:r>
          </w:p>
        </w:tc>
      </w:tr>
      <w:tr w14:paraId="4D9D0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5C3B2DC1">
            <w:pPr>
              <w:jc w:val="left"/>
              <w:rPr>
                <w:rFonts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361CD3E5">
            <w:pPr>
              <w:jc w:val="left"/>
              <w:rPr>
                <w:rFonts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29BD4613">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规格型号符合设计要求，使用、通电正常。</w:t>
            </w:r>
          </w:p>
        </w:tc>
      </w:tr>
      <w:tr w14:paraId="1CD3E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38FCD620">
            <w:pPr>
              <w:rPr>
                <w:rFonts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3D66FF9E">
            <w:pPr>
              <w:rPr>
                <w:rFonts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40A14902">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表面完好，无破损、磕伤、划痕、锈蚀、污染等。</w:t>
            </w:r>
          </w:p>
        </w:tc>
      </w:tr>
      <w:tr w14:paraId="6CAF5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70CE6880">
            <w:pPr>
              <w:rPr>
                <w:rFonts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475E61F3">
            <w:pPr>
              <w:rPr>
                <w:rFonts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3A55A948">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开、关位置与标示对应，控制灯具正确。</w:t>
            </w:r>
          </w:p>
        </w:tc>
      </w:tr>
      <w:tr w14:paraId="30776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6CE1B447">
            <w:pPr>
              <w:rPr>
                <w:rFonts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2FD3E151">
            <w:pPr>
              <w:rPr>
                <w:rFonts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0092CB63">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配电箱内布线整齐，接点紧固，负荷及支线开关标识清楚，漏电开关自检正常，箱体接地良好。</w:t>
            </w:r>
          </w:p>
        </w:tc>
      </w:tr>
      <w:tr w14:paraId="5B962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532624DC">
            <w:pPr>
              <w:rPr>
                <w:rFonts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right w:val="single" w:color="auto" w:sz="4" w:space="0"/>
            </w:tcBorders>
          </w:tcPr>
          <w:p w14:paraId="4FDC69FB">
            <w:pPr>
              <w:rPr>
                <w:rFonts w:asciiTheme="minorEastAsia" w:hAnsiTheme="minorEastAsia" w:eastAsiaTheme="minorEastAsia" w:cstheme="minorEastAsia"/>
                <w:color w:val="auto"/>
                <w:szCs w:val="24"/>
                <w:highlight w:val="none"/>
              </w:rPr>
            </w:pPr>
          </w:p>
          <w:p w14:paraId="6E602F3F">
            <w:pPr>
              <w:rPr>
                <w:rFonts w:asciiTheme="minorEastAsia" w:hAnsiTheme="minorEastAsia" w:eastAsiaTheme="minorEastAsia" w:cstheme="minorEastAsia"/>
                <w:color w:val="auto"/>
                <w:szCs w:val="24"/>
                <w:highlight w:val="none"/>
              </w:rPr>
            </w:pPr>
          </w:p>
          <w:p w14:paraId="2A79717B">
            <w:pP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w:t>
            </w:r>
          </w:p>
        </w:tc>
        <w:tc>
          <w:tcPr>
            <w:tcW w:w="7501" w:type="dxa"/>
            <w:tcBorders>
              <w:top w:val="single" w:color="auto" w:sz="4" w:space="0"/>
              <w:left w:val="single" w:color="auto" w:sz="4" w:space="0"/>
              <w:bottom w:val="single" w:color="auto" w:sz="4" w:space="0"/>
              <w:right w:val="single" w:color="auto" w:sz="4" w:space="0"/>
            </w:tcBorders>
          </w:tcPr>
          <w:p w14:paraId="366C22A0">
            <w:pPr>
              <w:pStyle w:val="69"/>
              <w:spacing w:before="21"/>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洁具及配件安装牢固端正，无破裂、脱瓷、划痕、水锈、污渍，洗手盆闭水器启闭灵活自</w:t>
            </w:r>
            <w:r>
              <w:rPr>
                <w:rFonts w:hint="eastAsia" w:asciiTheme="minorEastAsia" w:hAnsiTheme="minorEastAsia" w:eastAsiaTheme="minorEastAsia" w:cstheme="minorEastAsia"/>
                <w:color w:val="auto"/>
                <w:szCs w:val="24"/>
                <w:highlight w:val="none"/>
              </w:rPr>
              <w:t>如。</w:t>
            </w:r>
          </w:p>
        </w:tc>
      </w:tr>
      <w:tr w14:paraId="42814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1F5224AE">
            <w:pPr>
              <w:rPr>
                <w:rFonts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tcPr>
          <w:p w14:paraId="0F85E6EA">
            <w:pPr>
              <w:rPr>
                <w:rFonts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7495614D">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洁具及存水弯无渗漏，排水畅通有吸力，无反臭现象。</w:t>
            </w:r>
          </w:p>
        </w:tc>
      </w:tr>
      <w:tr w14:paraId="67DA0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05555538">
            <w:pPr>
              <w:rPr>
                <w:rFonts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tcPr>
          <w:p w14:paraId="46668A71">
            <w:pPr>
              <w:rPr>
                <w:rFonts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54AA2DCE">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坐便器紧靠墙面，水箱进水阀启闭自如不渗漏。</w:t>
            </w:r>
          </w:p>
        </w:tc>
      </w:tr>
      <w:tr w14:paraId="36376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6F1E9596">
            <w:pPr>
              <w:rPr>
                <w:rFonts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tcPr>
          <w:p w14:paraId="4ABC40EC">
            <w:pPr>
              <w:rPr>
                <w:rFonts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2901F5DD">
            <w:pPr>
              <w:pStyle w:val="69"/>
              <w:spacing w:before="20"/>
              <w:ind w:left="108"/>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出水流速及水量正常，无滴漏现象。</w:t>
            </w:r>
          </w:p>
        </w:tc>
      </w:tr>
    </w:tbl>
    <w:p w14:paraId="122C3F22">
      <w:pPr>
        <w:pStyle w:val="52"/>
        <w:spacing w:line="360" w:lineRule="auto"/>
        <w:ind w:firstLine="420"/>
        <w:rPr>
          <w:rFonts w:asciiTheme="minorEastAsia" w:hAnsiTheme="minorEastAsia" w:eastAsiaTheme="minorEastAsia" w:cstheme="minorEastAsia"/>
          <w:color w:val="auto"/>
          <w:szCs w:val="24"/>
          <w:highlight w:val="none"/>
        </w:rPr>
      </w:pPr>
    </w:p>
    <w:p w14:paraId="05E842F8">
      <w:pPr>
        <w:pStyle w:val="52"/>
        <w:spacing w:line="360" w:lineRule="auto"/>
        <w:ind w:firstLine="420"/>
        <w:rPr>
          <w:rFonts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附件五、《工程完工清洁移交标准》</w:t>
      </w:r>
    </w:p>
    <w:p w14:paraId="3D24FC36">
      <w:pPr>
        <w:spacing w:line="360" w:lineRule="auto"/>
        <w:outlineLvl w:val="2"/>
        <w:rPr>
          <w:rFonts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 xml:space="preserve">                  </w:t>
      </w:r>
      <w:r>
        <w:rPr>
          <w:rFonts w:hint="eastAsia" w:asciiTheme="minorEastAsia" w:hAnsiTheme="minorEastAsia" w:eastAsiaTheme="minorEastAsia" w:cstheme="minorEastAsia"/>
          <w:b/>
          <w:bCs/>
          <w:color w:val="auto"/>
          <w:sz w:val="28"/>
          <w:szCs w:val="28"/>
          <w:highlight w:val="none"/>
        </w:rPr>
        <w:t xml:space="preserve">   工程完工清洁移交标准</w:t>
      </w:r>
    </w:p>
    <w:tbl>
      <w:tblPr>
        <w:tblStyle w:val="45"/>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52"/>
        <w:gridCol w:w="7567"/>
      </w:tblGrid>
      <w:tr w14:paraId="15C7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vAlign w:val="center"/>
          </w:tcPr>
          <w:p w14:paraId="48D21CDE">
            <w:pPr>
              <w:widowControl/>
              <w:jc w:val="center"/>
              <w:rPr>
                <w:rFonts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项目</w:t>
            </w:r>
          </w:p>
        </w:tc>
        <w:tc>
          <w:tcPr>
            <w:tcW w:w="1552" w:type="dxa"/>
            <w:vAlign w:val="center"/>
          </w:tcPr>
          <w:p w14:paraId="31F80339">
            <w:pPr>
              <w:widowControl/>
              <w:jc w:val="center"/>
              <w:rPr>
                <w:rFonts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7567" w:type="dxa"/>
            <w:vAlign w:val="center"/>
          </w:tcPr>
          <w:p w14:paraId="60CAE2DD">
            <w:pPr>
              <w:widowControl/>
              <w:jc w:val="center"/>
              <w:rPr>
                <w:rFonts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清洁移交标准</w:t>
            </w:r>
          </w:p>
        </w:tc>
      </w:tr>
      <w:tr w14:paraId="1305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vAlign w:val="center"/>
          </w:tcPr>
          <w:p w14:paraId="57516446">
            <w:pPr>
              <w:widowControl/>
              <w:jc w:val="left"/>
              <w:rPr>
                <w:rFonts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室内部位</w:t>
            </w:r>
          </w:p>
        </w:tc>
        <w:tc>
          <w:tcPr>
            <w:tcW w:w="1552" w:type="dxa"/>
            <w:vAlign w:val="center"/>
          </w:tcPr>
          <w:p w14:paraId="447B5A8A">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w:t>
            </w:r>
          </w:p>
        </w:tc>
        <w:tc>
          <w:tcPr>
            <w:tcW w:w="7567" w:type="dxa"/>
            <w:vAlign w:val="center"/>
          </w:tcPr>
          <w:p w14:paraId="4BB88961">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无积水、无泥沙、无灰尘、无污渍、无拖痕、无垃圾杂物、无建筑装修材料残留、无胶渍等异物、无涂料斑点、无异色污染，石材、瓷砖地面（含踢脚线）需保持光亮，木地板应显本色。</w:t>
            </w:r>
          </w:p>
        </w:tc>
      </w:tr>
      <w:tr w14:paraId="0911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335BD447">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62A290E6">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vAlign w:val="center"/>
          </w:tcPr>
          <w:p w14:paraId="4EBABC8E">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14:paraId="02DF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A6CE62C">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468975E2">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vAlign w:val="center"/>
          </w:tcPr>
          <w:p w14:paraId="0026A8F0">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113F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BAB2B1D">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6F35D1E8">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门（包括入户门和室内门）</w:t>
            </w:r>
          </w:p>
        </w:tc>
        <w:tc>
          <w:tcPr>
            <w:tcW w:w="7567" w:type="dxa"/>
            <w:vAlign w:val="center"/>
          </w:tcPr>
          <w:p w14:paraId="48759511">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2E3A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11F75FA">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4114BB6C">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vAlign w:val="center"/>
          </w:tcPr>
          <w:p w14:paraId="26129C79">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14:paraId="5A41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7C17F18">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08782BEA">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入户电箱</w:t>
            </w:r>
          </w:p>
        </w:tc>
        <w:tc>
          <w:tcPr>
            <w:tcW w:w="7567" w:type="dxa"/>
            <w:vAlign w:val="center"/>
          </w:tcPr>
          <w:p w14:paraId="502E775C">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4D8E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EA5A349">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2E7BD70D">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vAlign w:val="center"/>
          </w:tcPr>
          <w:p w14:paraId="1F753FA1">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14:paraId="1DCE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03069F1E">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4A3EAEEE">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橱柜</w:t>
            </w:r>
          </w:p>
        </w:tc>
        <w:tc>
          <w:tcPr>
            <w:tcW w:w="7567" w:type="dxa"/>
            <w:vAlign w:val="center"/>
          </w:tcPr>
          <w:p w14:paraId="3D49E239">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无粘贴物、无灰尘、无污渍、无水渍、无水泥迹、无胶渍、无划痕、无印迹、无垃圾杂物、金属制品无锈渍，面层洁净、明亮、显本色。</w:t>
            </w:r>
          </w:p>
        </w:tc>
      </w:tr>
      <w:tr w14:paraId="10F1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E753926">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7019B3A8">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淋浴屏风</w:t>
            </w:r>
          </w:p>
        </w:tc>
        <w:tc>
          <w:tcPr>
            <w:tcW w:w="7567" w:type="dxa"/>
            <w:vAlign w:val="center"/>
          </w:tcPr>
          <w:p w14:paraId="21F97216">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5CA0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92A7E89">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7F329317">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vAlign w:val="center"/>
          </w:tcPr>
          <w:p w14:paraId="696AC87E">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无粘贴物、内部无杂物、无泥沙、无污渍，外部表面清洁、金属制品无锈渍。</w:t>
            </w:r>
          </w:p>
        </w:tc>
      </w:tr>
      <w:tr w14:paraId="7E2E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291EB4C8">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187A8D2F">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vAlign w:val="center"/>
          </w:tcPr>
          <w:p w14:paraId="3FFB36D4">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63F4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78C078E">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72B7DA09">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空调机位</w:t>
            </w:r>
          </w:p>
        </w:tc>
        <w:tc>
          <w:tcPr>
            <w:tcW w:w="7567" w:type="dxa"/>
            <w:vAlign w:val="center"/>
          </w:tcPr>
          <w:p w14:paraId="7627DCF7">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无杂物、百叶隔栅无涂料、胶迹污染、无灰尘。</w:t>
            </w:r>
          </w:p>
        </w:tc>
      </w:tr>
      <w:tr w14:paraId="7217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AC13901">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5A6B6D49">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w:t>
            </w:r>
          </w:p>
        </w:tc>
        <w:tc>
          <w:tcPr>
            <w:tcW w:w="7567" w:type="dxa"/>
            <w:vAlign w:val="center"/>
          </w:tcPr>
          <w:p w14:paraId="140A54F2">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面板呈本色，无灰无污，白手套擦拭无污迹。</w:t>
            </w:r>
          </w:p>
        </w:tc>
      </w:tr>
      <w:tr w14:paraId="2A0E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930450D">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131271FF">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可视对讲、报警安防</w:t>
            </w:r>
          </w:p>
        </w:tc>
        <w:tc>
          <w:tcPr>
            <w:tcW w:w="7567" w:type="dxa"/>
            <w:vAlign w:val="center"/>
          </w:tcPr>
          <w:p w14:paraId="44F496CC">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无灰，无污，呈本色。</w:t>
            </w:r>
          </w:p>
        </w:tc>
      </w:tr>
      <w:tr w14:paraId="108A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5B1CA0B">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15018DF7">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龙头</w:t>
            </w:r>
          </w:p>
        </w:tc>
        <w:tc>
          <w:tcPr>
            <w:tcW w:w="7567" w:type="dxa"/>
            <w:vAlign w:val="center"/>
          </w:tcPr>
          <w:p w14:paraId="16BAB0F2">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无水迹，呈本色，无锈迹。</w:t>
            </w:r>
          </w:p>
        </w:tc>
      </w:tr>
      <w:tr w14:paraId="0708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E71A23B">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43EC28AE">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拖把池</w:t>
            </w:r>
          </w:p>
        </w:tc>
        <w:tc>
          <w:tcPr>
            <w:tcW w:w="7567" w:type="dxa"/>
            <w:vAlign w:val="center"/>
          </w:tcPr>
          <w:p w14:paraId="72586927">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呈本色无污无垢。</w:t>
            </w:r>
          </w:p>
        </w:tc>
      </w:tr>
      <w:tr w14:paraId="45F7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A5E0D7B">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02815D90">
            <w:pPr>
              <w:adjustRightInd w:val="0"/>
              <w:snapToGrid w:val="0"/>
              <w:ind w:left="-2" w:leftChars="-4" w:hanging="6" w:hangingChars="3"/>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vAlign w:val="center"/>
          </w:tcPr>
          <w:p w14:paraId="1DE8C9E6">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无污迹、无涂料污染、无虫。</w:t>
            </w:r>
          </w:p>
        </w:tc>
      </w:tr>
      <w:tr w14:paraId="55EC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3F45009">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20888E76">
            <w:pPr>
              <w:adjustRightInd w:val="0"/>
              <w:snapToGrid w:val="0"/>
              <w:ind w:left="-2" w:leftChars="-4" w:hanging="6" w:hangingChars="3"/>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空调孔</w:t>
            </w:r>
          </w:p>
        </w:tc>
        <w:tc>
          <w:tcPr>
            <w:tcW w:w="7567" w:type="dxa"/>
            <w:vAlign w:val="center"/>
          </w:tcPr>
          <w:p w14:paraId="1F9280B8">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无杂物、无灰尘。</w:t>
            </w:r>
          </w:p>
        </w:tc>
      </w:tr>
      <w:tr w14:paraId="64A6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42E758C">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2C77834D">
            <w:pPr>
              <w:adjustRightInd w:val="0"/>
              <w:snapToGrid w:val="0"/>
              <w:ind w:left="-2" w:leftChars="-4" w:hanging="6" w:hangingChars="3"/>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报警按钮</w:t>
            </w:r>
          </w:p>
        </w:tc>
        <w:tc>
          <w:tcPr>
            <w:tcW w:w="7567" w:type="dxa"/>
            <w:vAlign w:val="center"/>
          </w:tcPr>
          <w:p w14:paraId="68FEAE98">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无涂料污染，处于复位状态。</w:t>
            </w:r>
          </w:p>
        </w:tc>
      </w:tr>
      <w:tr w14:paraId="2EBBE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87F6E7A">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76353218">
            <w:pPr>
              <w:adjustRightInd w:val="0"/>
              <w:snapToGrid w:val="0"/>
              <w:ind w:left="-2" w:leftChars="-4" w:hanging="6" w:hangingChars="3"/>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窗台</w:t>
            </w:r>
          </w:p>
        </w:tc>
        <w:tc>
          <w:tcPr>
            <w:tcW w:w="7567" w:type="dxa"/>
            <w:vAlign w:val="center"/>
          </w:tcPr>
          <w:p w14:paraId="72FA4DFA">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无杂物、无污迹、无灰尘。</w:t>
            </w:r>
          </w:p>
        </w:tc>
      </w:tr>
      <w:tr w14:paraId="6B09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C32DBAF">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4D754FE0">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小家电（脱排、灶具、燃气热水器）</w:t>
            </w:r>
          </w:p>
        </w:tc>
        <w:tc>
          <w:tcPr>
            <w:tcW w:w="7567" w:type="dxa"/>
            <w:vAlign w:val="center"/>
          </w:tcPr>
          <w:p w14:paraId="5FE6083A">
            <w:pPr>
              <w:adjustRightInd w:val="0"/>
              <w:snapToGrid w:val="0"/>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抽油烟机、灶台面呈本色，无油迹、光亮，用白色手套擦拭无污迹。</w:t>
            </w:r>
          </w:p>
        </w:tc>
      </w:tr>
      <w:tr w14:paraId="65531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25219589">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3D5DD76D">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不锈钢水槽</w:t>
            </w:r>
          </w:p>
        </w:tc>
        <w:tc>
          <w:tcPr>
            <w:tcW w:w="7567" w:type="dxa"/>
            <w:vAlign w:val="center"/>
          </w:tcPr>
          <w:p w14:paraId="4D87D172">
            <w:pPr>
              <w:adjustRightInd w:val="0"/>
              <w:snapToGrid w:val="0"/>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不锈钢面盆呈本色，无油迹、光亮，用白色手套擦拭无污迹。</w:t>
            </w:r>
          </w:p>
        </w:tc>
      </w:tr>
      <w:tr w14:paraId="2D46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21E3E7D1">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661DEF29">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浴霸</w:t>
            </w:r>
          </w:p>
        </w:tc>
        <w:tc>
          <w:tcPr>
            <w:tcW w:w="7567" w:type="dxa"/>
            <w:vAlign w:val="center"/>
          </w:tcPr>
          <w:p w14:paraId="656CD550">
            <w:pPr>
              <w:adjustRightInd w:val="0"/>
              <w:snapToGrid w:val="0"/>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侧面无灰无污，呈本色。</w:t>
            </w:r>
          </w:p>
        </w:tc>
      </w:tr>
      <w:tr w14:paraId="6962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6D0D8A4">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57B78C9B">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镜面梳妆柜</w:t>
            </w:r>
          </w:p>
        </w:tc>
        <w:tc>
          <w:tcPr>
            <w:tcW w:w="7567" w:type="dxa"/>
            <w:vAlign w:val="center"/>
          </w:tcPr>
          <w:p w14:paraId="48361434">
            <w:pPr>
              <w:adjustRightInd w:val="0"/>
              <w:snapToGrid w:val="0"/>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镜面洁净光亮，侧面无灰无污。</w:t>
            </w:r>
          </w:p>
        </w:tc>
      </w:tr>
      <w:tr w14:paraId="4134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6FE3BC0">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1B19C0E3">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浴巾架</w:t>
            </w:r>
          </w:p>
        </w:tc>
        <w:tc>
          <w:tcPr>
            <w:tcW w:w="7567" w:type="dxa"/>
            <w:vAlign w:val="center"/>
          </w:tcPr>
          <w:p w14:paraId="6C64EDD5">
            <w:pPr>
              <w:adjustRightInd w:val="0"/>
              <w:snapToGrid w:val="0"/>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14:paraId="0400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D20750D">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037A8742">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毛巾杆</w:t>
            </w:r>
          </w:p>
        </w:tc>
        <w:tc>
          <w:tcPr>
            <w:tcW w:w="7567" w:type="dxa"/>
            <w:vAlign w:val="center"/>
          </w:tcPr>
          <w:p w14:paraId="1BF965AA">
            <w:pPr>
              <w:adjustRightInd w:val="0"/>
              <w:snapToGrid w:val="0"/>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14:paraId="062E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1EEA333">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234092EB">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台盆</w:t>
            </w:r>
          </w:p>
        </w:tc>
        <w:tc>
          <w:tcPr>
            <w:tcW w:w="7567" w:type="dxa"/>
            <w:vAlign w:val="center"/>
          </w:tcPr>
          <w:p w14:paraId="1A22AA54">
            <w:pPr>
              <w:adjustRightInd w:val="0"/>
              <w:snapToGrid w:val="0"/>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无水迹，呈本色，无锈蚀。</w:t>
            </w:r>
          </w:p>
        </w:tc>
      </w:tr>
      <w:tr w14:paraId="7A00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7D5B816">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44A0300A">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储藏间</w:t>
            </w:r>
          </w:p>
        </w:tc>
        <w:tc>
          <w:tcPr>
            <w:tcW w:w="7567" w:type="dxa"/>
            <w:vAlign w:val="center"/>
          </w:tcPr>
          <w:p w14:paraId="4D3190D1">
            <w:pPr>
              <w:adjustRightInd w:val="0"/>
              <w:snapToGrid w:val="0"/>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无死角，无灰，用白手套擦拭无灰无污。</w:t>
            </w:r>
          </w:p>
        </w:tc>
      </w:tr>
      <w:tr w14:paraId="17D5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57209AC">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42CD7384">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晾衣架</w:t>
            </w:r>
          </w:p>
        </w:tc>
        <w:tc>
          <w:tcPr>
            <w:tcW w:w="7567" w:type="dxa"/>
            <w:vAlign w:val="center"/>
          </w:tcPr>
          <w:p w14:paraId="1DDC541C">
            <w:pPr>
              <w:adjustRightInd w:val="0"/>
              <w:snapToGrid w:val="0"/>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呈本色，无油迹，无灰，白手套擦拭无灰。</w:t>
            </w:r>
          </w:p>
        </w:tc>
      </w:tr>
      <w:tr w14:paraId="3437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vAlign w:val="center"/>
          </w:tcPr>
          <w:p w14:paraId="67DFFCC3">
            <w:pPr>
              <w:widowControl/>
              <w:jc w:val="center"/>
              <w:rPr>
                <w:rFonts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公共</w:t>
            </w:r>
          </w:p>
          <w:p w14:paraId="3B60CB42">
            <w:pPr>
              <w:widowControl/>
              <w:jc w:val="center"/>
              <w:rPr>
                <w:rFonts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vAlign w:val="center"/>
          </w:tcPr>
          <w:p w14:paraId="464B942B">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电梯（含轿厢、门扇、门套及控制面板）</w:t>
            </w:r>
          </w:p>
        </w:tc>
        <w:tc>
          <w:tcPr>
            <w:tcW w:w="7567" w:type="dxa"/>
            <w:vAlign w:val="center"/>
          </w:tcPr>
          <w:p w14:paraId="433251DC">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无粘贴物、无垃圾杂物、无灰尘、无污渍、无水泥渍、无划痕、金属制品无锈渍，面层清洁、明亮</w:t>
            </w:r>
          </w:p>
        </w:tc>
      </w:tr>
      <w:tr w14:paraId="309F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3" w:type="dxa"/>
            <w:vMerge w:val="continue"/>
            <w:vAlign w:val="center"/>
          </w:tcPr>
          <w:p w14:paraId="1DE4D118">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4279B516">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楼地面（入户大堂及电梯厅）</w:t>
            </w:r>
          </w:p>
        </w:tc>
        <w:tc>
          <w:tcPr>
            <w:tcW w:w="7567" w:type="dxa"/>
            <w:vAlign w:val="center"/>
          </w:tcPr>
          <w:p w14:paraId="09D4DCD7">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w:t>
            </w:r>
          </w:p>
        </w:tc>
      </w:tr>
      <w:tr w14:paraId="162F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26AB0786">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780FC5DA">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墙面（入户大堂及电梯厅）</w:t>
            </w:r>
          </w:p>
        </w:tc>
        <w:tc>
          <w:tcPr>
            <w:tcW w:w="7567" w:type="dxa"/>
            <w:vAlign w:val="center"/>
          </w:tcPr>
          <w:p w14:paraId="409058B2">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14:paraId="00C7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1729BD8">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1996B903">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天棚（入户大堂及电梯厅）</w:t>
            </w:r>
          </w:p>
        </w:tc>
        <w:tc>
          <w:tcPr>
            <w:tcW w:w="7567" w:type="dxa"/>
            <w:vAlign w:val="center"/>
          </w:tcPr>
          <w:p w14:paraId="3DC62951">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1FFC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08A89FD">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663441E9">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防火门</w:t>
            </w:r>
          </w:p>
        </w:tc>
        <w:tc>
          <w:tcPr>
            <w:tcW w:w="7567" w:type="dxa"/>
            <w:vAlign w:val="center"/>
          </w:tcPr>
          <w:p w14:paraId="4A12BD56">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1082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A9D323B">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07D7AE1F">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消火栓箱</w:t>
            </w:r>
          </w:p>
        </w:tc>
        <w:tc>
          <w:tcPr>
            <w:tcW w:w="7567" w:type="dxa"/>
            <w:vAlign w:val="center"/>
          </w:tcPr>
          <w:p w14:paraId="3B2085F0">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4260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537E590">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2D80CF99">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楼地面（楼梯）</w:t>
            </w:r>
          </w:p>
        </w:tc>
        <w:tc>
          <w:tcPr>
            <w:tcW w:w="7567" w:type="dxa"/>
            <w:vAlign w:val="center"/>
          </w:tcPr>
          <w:p w14:paraId="46623688">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无灰尘、无垃圾杂物、无污渍、无涂料斑点，石材、瓷砖地面需保持光亮，踢脚线上无涂料和水泥迹。</w:t>
            </w:r>
          </w:p>
        </w:tc>
      </w:tr>
      <w:tr w14:paraId="42FC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2DD776E5">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57053E27">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墙面（楼梯）</w:t>
            </w:r>
          </w:p>
        </w:tc>
        <w:tc>
          <w:tcPr>
            <w:tcW w:w="7567" w:type="dxa"/>
            <w:vAlign w:val="center"/>
          </w:tcPr>
          <w:p w14:paraId="306AB7A6">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无粘贴物、无灰尘、无污渍、无建筑装修材料残留、无印迹、无划痕、无胶渍等异物、无异色污染，瓷砖墙面需保持光亮。</w:t>
            </w:r>
          </w:p>
        </w:tc>
      </w:tr>
      <w:tr w14:paraId="5FBE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1A9BDC7">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65570EE9">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天棚（楼梯）</w:t>
            </w:r>
          </w:p>
        </w:tc>
        <w:tc>
          <w:tcPr>
            <w:tcW w:w="7567" w:type="dxa"/>
            <w:vAlign w:val="center"/>
          </w:tcPr>
          <w:p w14:paraId="2CAAF67B">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6296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BAB9A62">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44A9E16F">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vAlign w:val="center"/>
          </w:tcPr>
          <w:p w14:paraId="18CFABEA">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14:paraId="4A67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1D45748">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351322D3">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电箱</w:t>
            </w:r>
          </w:p>
        </w:tc>
        <w:tc>
          <w:tcPr>
            <w:tcW w:w="7567" w:type="dxa"/>
            <w:vAlign w:val="center"/>
          </w:tcPr>
          <w:p w14:paraId="7FF8F69E">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6C1C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24F75BA">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2434973C">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vAlign w:val="center"/>
          </w:tcPr>
          <w:p w14:paraId="2389C44D">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14:paraId="5E15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25125BB2">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2F9952B0">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单元门</w:t>
            </w:r>
          </w:p>
        </w:tc>
        <w:tc>
          <w:tcPr>
            <w:tcW w:w="7567" w:type="dxa"/>
            <w:vAlign w:val="center"/>
          </w:tcPr>
          <w:p w14:paraId="110E3914">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3AAB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6238073">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5C86002D">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vAlign w:val="center"/>
          </w:tcPr>
          <w:p w14:paraId="7658108D">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14:paraId="3768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ACBF4B3">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396FFFC4">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指示牌</w:t>
            </w:r>
          </w:p>
        </w:tc>
        <w:tc>
          <w:tcPr>
            <w:tcW w:w="7567" w:type="dxa"/>
            <w:vAlign w:val="center"/>
          </w:tcPr>
          <w:p w14:paraId="7D34721B">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7277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2230E20">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7EC5E2B4">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信报箱</w:t>
            </w:r>
          </w:p>
        </w:tc>
        <w:tc>
          <w:tcPr>
            <w:tcW w:w="7567" w:type="dxa"/>
            <w:vAlign w:val="center"/>
          </w:tcPr>
          <w:p w14:paraId="04999607">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0270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16A0149">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646606C7">
            <w:pPr>
              <w:adjustRightInd w:val="0"/>
              <w:snapToGrid w:val="0"/>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vAlign w:val="center"/>
          </w:tcPr>
          <w:p w14:paraId="63D05D12">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61DD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C356E2C">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75BCE2CA">
            <w:pPr>
              <w:adjustRightInd w:val="0"/>
              <w:snapToGrid w:val="0"/>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vAlign w:val="center"/>
          </w:tcPr>
          <w:p w14:paraId="37554598">
            <w:pPr>
              <w:adjustRightInd w:val="0"/>
              <w:snapToGrid w:val="0"/>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灯罩外无污迹、无涂料污染、灯罩内无蚊虫残留。</w:t>
            </w:r>
          </w:p>
        </w:tc>
      </w:tr>
      <w:tr w14:paraId="2C81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vAlign w:val="center"/>
          </w:tcPr>
          <w:p w14:paraId="249F1A3F">
            <w:pPr>
              <w:widowControl/>
              <w:jc w:val="center"/>
              <w:rPr>
                <w:rFonts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室外</w:t>
            </w:r>
          </w:p>
          <w:p w14:paraId="52ADB0E9">
            <w:pPr>
              <w:widowControl/>
              <w:jc w:val="center"/>
              <w:rPr>
                <w:rFonts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vAlign w:val="center"/>
          </w:tcPr>
          <w:p w14:paraId="361327DC">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外墙面</w:t>
            </w:r>
          </w:p>
        </w:tc>
        <w:tc>
          <w:tcPr>
            <w:tcW w:w="7567" w:type="dxa"/>
            <w:vAlign w:val="center"/>
          </w:tcPr>
          <w:p w14:paraId="4DF136C5">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w:t>
            </w:r>
          </w:p>
        </w:tc>
      </w:tr>
      <w:tr w14:paraId="3923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6BFED6C">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7D7E762A">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玻璃幕墙、门窗</w:t>
            </w:r>
          </w:p>
        </w:tc>
        <w:tc>
          <w:tcPr>
            <w:tcW w:w="7567" w:type="dxa"/>
            <w:vAlign w:val="center"/>
          </w:tcPr>
          <w:p w14:paraId="1C454FAF">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5E00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BCC468D">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1597CF59">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阳光棚或雨棚</w:t>
            </w:r>
          </w:p>
        </w:tc>
        <w:tc>
          <w:tcPr>
            <w:tcW w:w="7567" w:type="dxa"/>
            <w:vAlign w:val="center"/>
          </w:tcPr>
          <w:p w14:paraId="7B661EAF">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1D3D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48DAE99">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1D0494FA">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百叶窗</w:t>
            </w:r>
          </w:p>
        </w:tc>
        <w:tc>
          <w:tcPr>
            <w:tcW w:w="7567" w:type="dxa"/>
            <w:vAlign w:val="center"/>
          </w:tcPr>
          <w:p w14:paraId="3F5AF925">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48EC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9E10F2F">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78E76439">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屋顶（含天沟）</w:t>
            </w:r>
          </w:p>
        </w:tc>
        <w:tc>
          <w:tcPr>
            <w:tcW w:w="7567" w:type="dxa"/>
            <w:vAlign w:val="center"/>
          </w:tcPr>
          <w:p w14:paraId="5B8E6C2C">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无积水、无泥沙、无垃圾杂物、无建筑装修材料残留，面层显本色。</w:t>
            </w:r>
          </w:p>
        </w:tc>
      </w:tr>
      <w:tr w14:paraId="0D40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B22E621">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2C2B2BBA">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室外地面</w:t>
            </w:r>
          </w:p>
        </w:tc>
        <w:tc>
          <w:tcPr>
            <w:tcW w:w="7567" w:type="dxa"/>
            <w:vAlign w:val="center"/>
          </w:tcPr>
          <w:p w14:paraId="568D4E16">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无粘贴物、无垃圾、无积砂、无印迹、无异色污染。</w:t>
            </w:r>
          </w:p>
        </w:tc>
      </w:tr>
      <w:tr w14:paraId="0D6D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6D6E68A">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3ADEAC37">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室外道路</w:t>
            </w:r>
          </w:p>
        </w:tc>
        <w:tc>
          <w:tcPr>
            <w:tcW w:w="7567" w:type="dxa"/>
            <w:vAlign w:val="center"/>
          </w:tcPr>
          <w:p w14:paraId="3E6754F0">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无粘贴物、无垃圾、无积砂、无异色污染。</w:t>
            </w:r>
          </w:p>
        </w:tc>
      </w:tr>
      <w:tr w14:paraId="5321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4794D1E">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475EA6E7">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告示牌</w:t>
            </w:r>
          </w:p>
        </w:tc>
        <w:tc>
          <w:tcPr>
            <w:tcW w:w="7567" w:type="dxa"/>
            <w:vAlign w:val="center"/>
          </w:tcPr>
          <w:p w14:paraId="60583266">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5E53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058F3DA">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21B119EA">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水篦子</w:t>
            </w:r>
          </w:p>
        </w:tc>
        <w:tc>
          <w:tcPr>
            <w:tcW w:w="7567" w:type="dxa"/>
            <w:vAlign w:val="center"/>
          </w:tcPr>
          <w:p w14:paraId="29FA64DE">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无垃圾杂物、无积砂、金属无锈渍、表面清洁。</w:t>
            </w:r>
          </w:p>
        </w:tc>
      </w:tr>
      <w:tr w14:paraId="2D44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vAlign w:val="center"/>
          </w:tcPr>
          <w:p w14:paraId="2677790A">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0FFFAA6B">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vAlign w:val="center"/>
          </w:tcPr>
          <w:p w14:paraId="66FA8303">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14:paraId="44A4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A1110F6">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5C3046A0">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w:t>
            </w:r>
          </w:p>
        </w:tc>
        <w:tc>
          <w:tcPr>
            <w:tcW w:w="7567" w:type="dxa"/>
            <w:vAlign w:val="center"/>
          </w:tcPr>
          <w:p w14:paraId="6BEFFFF3">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576E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vAlign w:val="center"/>
          </w:tcPr>
          <w:p w14:paraId="06CE61FB">
            <w:pPr>
              <w:widowControl/>
              <w:jc w:val="center"/>
              <w:rPr>
                <w:rFonts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其他</w:t>
            </w:r>
          </w:p>
        </w:tc>
        <w:tc>
          <w:tcPr>
            <w:tcW w:w="1552" w:type="dxa"/>
            <w:vAlign w:val="center"/>
          </w:tcPr>
          <w:p w14:paraId="6681ED0F">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卫浴洁具</w:t>
            </w:r>
          </w:p>
        </w:tc>
        <w:tc>
          <w:tcPr>
            <w:tcW w:w="7567" w:type="dxa"/>
            <w:vAlign w:val="center"/>
          </w:tcPr>
          <w:p w14:paraId="62FFF74D">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14:paraId="36B5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60150D7">
            <w:pPr>
              <w:widowControl/>
              <w:jc w:val="left"/>
              <w:rPr>
                <w:rFonts w:asciiTheme="minorEastAsia" w:hAnsiTheme="minorEastAsia" w:eastAsiaTheme="minorEastAsia" w:cstheme="minorEastAsia"/>
                <w:b/>
                <w:bCs/>
                <w:color w:val="auto"/>
                <w:kern w:val="0"/>
                <w:szCs w:val="24"/>
                <w:highlight w:val="none"/>
              </w:rPr>
            </w:pPr>
          </w:p>
        </w:tc>
        <w:tc>
          <w:tcPr>
            <w:tcW w:w="1552" w:type="dxa"/>
            <w:vMerge w:val="restart"/>
            <w:vAlign w:val="center"/>
          </w:tcPr>
          <w:p w14:paraId="302D2F3C">
            <w:pPr>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w:t>
            </w:r>
          </w:p>
        </w:tc>
        <w:tc>
          <w:tcPr>
            <w:tcW w:w="7567" w:type="dxa"/>
            <w:vAlign w:val="center"/>
          </w:tcPr>
          <w:p w14:paraId="1444D4B3">
            <w:pPr>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灯具、灯座呈本色，无涂料污染、无灰尘，要求目测洁净光亮。</w:t>
            </w:r>
          </w:p>
        </w:tc>
      </w:tr>
      <w:tr w14:paraId="1FAE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EF53397">
            <w:pPr>
              <w:widowControl/>
              <w:jc w:val="left"/>
              <w:rPr>
                <w:rFonts w:asciiTheme="minorEastAsia" w:hAnsiTheme="minorEastAsia" w:eastAsiaTheme="minorEastAsia" w:cstheme="minorEastAsia"/>
                <w:b/>
                <w:bCs/>
                <w:color w:val="auto"/>
                <w:kern w:val="0"/>
                <w:szCs w:val="24"/>
                <w:highlight w:val="none"/>
              </w:rPr>
            </w:pPr>
          </w:p>
        </w:tc>
        <w:tc>
          <w:tcPr>
            <w:tcW w:w="1552" w:type="dxa"/>
            <w:vMerge w:val="continue"/>
            <w:vAlign w:val="center"/>
          </w:tcPr>
          <w:p w14:paraId="4208524C">
            <w:pPr>
              <w:widowControl/>
              <w:jc w:val="left"/>
              <w:rPr>
                <w:rFonts w:asciiTheme="minorEastAsia" w:hAnsiTheme="minorEastAsia" w:eastAsiaTheme="minorEastAsia" w:cstheme="minorEastAsia"/>
                <w:color w:val="auto"/>
                <w:kern w:val="0"/>
                <w:szCs w:val="24"/>
                <w:highlight w:val="none"/>
              </w:rPr>
            </w:pPr>
          </w:p>
        </w:tc>
        <w:tc>
          <w:tcPr>
            <w:tcW w:w="7567" w:type="dxa"/>
            <w:vAlign w:val="center"/>
          </w:tcPr>
          <w:p w14:paraId="5D82BF79">
            <w:pPr>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0D6D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56082187">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56C27F5C">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柜子（如有）</w:t>
            </w:r>
          </w:p>
        </w:tc>
        <w:tc>
          <w:tcPr>
            <w:tcW w:w="7567" w:type="dxa"/>
            <w:vAlign w:val="center"/>
          </w:tcPr>
          <w:p w14:paraId="2CEEF2FA">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14:paraId="17A1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vAlign w:val="center"/>
          </w:tcPr>
          <w:p w14:paraId="798C2D49">
            <w:pPr>
              <w:widowControl/>
              <w:jc w:val="center"/>
              <w:rPr>
                <w:rFonts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地下</w:t>
            </w:r>
          </w:p>
          <w:p w14:paraId="52A0EBF6">
            <w:pPr>
              <w:widowControl/>
              <w:jc w:val="center"/>
              <w:rPr>
                <w:rFonts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车库</w:t>
            </w:r>
          </w:p>
        </w:tc>
        <w:tc>
          <w:tcPr>
            <w:tcW w:w="1552" w:type="dxa"/>
            <w:vAlign w:val="center"/>
          </w:tcPr>
          <w:p w14:paraId="7CE48BA4">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w:t>
            </w:r>
          </w:p>
        </w:tc>
        <w:tc>
          <w:tcPr>
            <w:tcW w:w="7567" w:type="dxa"/>
            <w:vAlign w:val="center"/>
          </w:tcPr>
          <w:p w14:paraId="39091040">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无泥沙、无灰尘、无垃圾杂物、无污渍、无建筑装修材料残留，踢脚线上无涂料和水泥渍，金刚砂、地坪漆地面需保持整洁、光亮、无划痕。</w:t>
            </w:r>
          </w:p>
        </w:tc>
      </w:tr>
      <w:tr w14:paraId="35F9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BD9E065">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76B748E1">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vAlign w:val="center"/>
          </w:tcPr>
          <w:p w14:paraId="167B093B">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w:t>
            </w:r>
          </w:p>
        </w:tc>
      </w:tr>
      <w:tr w14:paraId="13EA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956D646">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32F3E14D">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vAlign w:val="center"/>
          </w:tcPr>
          <w:p w14:paraId="523824EE">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1BDE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65E9A5C">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4DC804B0">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各类管道</w:t>
            </w:r>
          </w:p>
        </w:tc>
        <w:tc>
          <w:tcPr>
            <w:tcW w:w="7567" w:type="dxa"/>
            <w:vAlign w:val="center"/>
          </w:tcPr>
          <w:p w14:paraId="144F4766">
            <w:pPr>
              <w:widowControl/>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无涂料、胶迹污染，无灰尘，目测洁净。</w:t>
            </w:r>
          </w:p>
        </w:tc>
      </w:tr>
      <w:tr w14:paraId="2713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239BA9B">
            <w:pPr>
              <w:widowControl/>
              <w:jc w:val="left"/>
              <w:rPr>
                <w:rFonts w:asciiTheme="minorEastAsia" w:hAnsiTheme="minorEastAsia" w:eastAsiaTheme="minorEastAsia" w:cstheme="minorEastAsia"/>
                <w:b/>
                <w:bCs/>
                <w:color w:val="auto"/>
                <w:kern w:val="0"/>
                <w:szCs w:val="24"/>
                <w:highlight w:val="none"/>
              </w:rPr>
            </w:pPr>
          </w:p>
        </w:tc>
        <w:tc>
          <w:tcPr>
            <w:tcW w:w="1552" w:type="dxa"/>
            <w:vAlign w:val="center"/>
          </w:tcPr>
          <w:p w14:paraId="5CFC708F">
            <w:pPr>
              <w:widowControl/>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水泵房、设备间等</w:t>
            </w:r>
          </w:p>
        </w:tc>
        <w:tc>
          <w:tcPr>
            <w:tcW w:w="7567" w:type="dxa"/>
            <w:vAlign w:val="center"/>
          </w:tcPr>
          <w:p w14:paraId="2023E12F">
            <w:pPr>
              <w:widowControl/>
              <w:ind w:firstLine="29" w:firstLineChars="14"/>
              <w:jc w:val="left"/>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地面无涂料污染，内外无垃圾灰尘。</w:t>
            </w:r>
          </w:p>
        </w:tc>
      </w:tr>
    </w:tbl>
    <w:p w14:paraId="28D4B43D">
      <w:pPr>
        <w:pStyle w:val="52"/>
        <w:spacing w:line="360" w:lineRule="auto"/>
        <w:ind w:firstLine="452"/>
        <w:rPr>
          <w:rFonts w:asciiTheme="minorEastAsia" w:hAnsiTheme="minorEastAsia" w:eastAsiaTheme="minorEastAsia" w:cstheme="minorEastAsia"/>
          <w:color w:val="auto"/>
          <w:spacing w:val="8"/>
          <w:szCs w:val="24"/>
          <w:highlight w:val="none"/>
        </w:rPr>
      </w:pPr>
    </w:p>
    <w:p w14:paraId="2DA066BB">
      <w:pPr>
        <w:pStyle w:val="52"/>
        <w:spacing w:line="360" w:lineRule="auto"/>
        <w:ind w:firstLine="452"/>
        <w:rPr>
          <w:rFonts w:asciiTheme="minorEastAsia" w:hAnsiTheme="minorEastAsia" w:eastAsiaTheme="minorEastAsia" w:cstheme="minorEastAsia"/>
          <w:bCs/>
          <w:color w:val="auto"/>
          <w:spacing w:val="8"/>
          <w:szCs w:val="24"/>
          <w:highlight w:val="none"/>
        </w:rPr>
      </w:pPr>
    </w:p>
    <w:p w14:paraId="5D80361E">
      <w:pPr>
        <w:pStyle w:val="52"/>
        <w:spacing w:line="360" w:lineRule="auto"/>
        <w:ind w:firstLine="0" w:firstLineChars="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Cs w:val="28"/>
          <w:highlight w:val="none"/>
        </w:rPr>
        <w:t>附件六、</w:t>
      </w:r>
      <w:r>
        <w:rPr>
          <w:rFonts w:hint="eastAsia" w:asciiTheme="minorEastAsia" w:hAnsiTheme="minorEastAsia" w:eastAsiaTheme="minorEastAsia" w:cstheme="minorEastAsia"/>
          <w:b/>
          <w:bCs/>
          <w:color w:val="auto"/>
          <w:sz w:val="24"/>
          <w:szCs w:val="28"/>
          <w:highlight w:val="none"/>
        </w:rPr>
        <w:t>《成品保护标准》：</w:t>
      </w:r>
      <w:r>
        <w:rPr>
          <w:rFonts w:hint="eastAsia" w:asciiTheme="minorEastAsia" w:hAnsiTheme="minorEastAsia" w:eastAsiaTheme="minorEastAsia" w:cstheme="minorEastAsia"/>
          <w:color w:val="auto"/>
          <w:sz w:val="24"/>
          <w:szCs w:val="24"/>
          <w:highlight w:val="none"/>
        </w:rPr>
        <w:t>详见《浩德地产精装修品质管控标准（V1.0版）》第五部分“成品保护10类”。</w:t>
      </w:r>
    </w:p>
    <w:p w14:paraId="72C78DAF">
      <w:pPr>
        <w:pStyle w:val="52"/>
        <w:spacing w:line="360" w:lineRule="auto"/>
        <w:ind w:firstLine="0" w:firstLineChars="0"/>
        <w:rPr>
          <w:rFonts w:asciiTheme="minorEastAsia" w:hAnsiTheme="minorEastAsia" w:eastAsiaTheme="minorEastAsia" w:cstheme="minorEastAsia"/>
          <w:b/>
          <w:bCs/>
          <w:color w:val="auto"/>
          <w:sz w:val="24"/>
          <w:szCs w:val="28"/>
          <w:highlight w:val="none"/>
        </w:rPr>
      </w:pPr>
      <w:r>
        <w:rPr>
          <w:rFonts w:hint="eastAsia" w:asciiTheme="minorEastAsia" w:hAnsiTheme="minorEastAsia" w:eastAsiaTheme="minorEastAsia" w:cstheme="minorEastAsia"/>
          <w:color w:val="auto"/>
          <w:highlight w:val="none"/>
        </w:rPr>
        <w:drawing>
          <wp:inline distT="0" distB="0" distL="114300" distR="114300">
            <wp:extent cx="6239510" cy="3519805"/>
            <wp:effectExtent l="0" t="0" r="889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cstate="print"/>
                    <a:stretch>
                      <a:fillRect/>
                    </a:stretch>
                  </pic:blipFill>
                  <pic:spPr>
                    <a:xfrm>
                      <a:off x="0" y="0"/>
                      <a:ext cx="6239510" cy="3519805"/>
                    </a:xfrm>
                    <a:prstGeom prst="rect">
                      <a:avLst/>
                    </a:prstGeom>
                    <a:noFill/>
                    <a:ln>
                      <a:noFill/>
                    </a:ln>
                  </pic:spPr>
                </pic:pic>
              </a:graphicData>
            </a:graphic>
          </wp:inline>
        </w:drawing>
      </w:r>
    </w:p>
    <w:p w14:paraId="07FC6EAA">
      <w:pPr>
        <w:pStyle w:val="52"/>
        <w:spacing w:line="360" w:lineRule="auto"/>
        <w:ind w:firstLine="0" w:firstLineChars="0"/>
        <w:rPr>
          <w:rFonts w:asciiTheme="minorEastAsia" w:hAnsiTheme="minorEastAsia" w:eastAsiaTheme="minorEastAsia" w:cstheme="minorEastAsia"/>
          <w:b/>
          <w:bCs/>
          <w:color w:val="auto"/>
          <w:sz w:val="24"/>
          <w:szCs w:val="28"/>
          <w:highlight w:val="none"/>
        </w:rPr>
      </w:pPr>
    </w:p>
    <w:p w14:paraId="2E8B59EB">
      <w:pPr>
        <w:pStyle w:val="52"/>
        <w:spacing w:line="360" w:lineRule="auto"/>
        <w:ind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114300" distR="114300">
            <wp:extent cx="6312535" cy="3541395"/>
            <wp:effectExtent l="0" t="0" r="12065"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2" cstate="print"/>
                    <a:stretch>
                      <a:fillRect/>
                    </a:stretch>
                  </pic:blipFill>
                  <pic:spPr>
                    <a:xfrm>
                      <a:off x="0" y="0"/>
                      <a:ext cx="6312535" cy="3541395"/>
                    </a:xfrm>
                    <a:prstGeom prst="rect">
                      <a:avLst/>
                    </a:prstGeom>
                    <a:noFill/>
                    <a:ln>
                      <a:noFill/>
                    </a:ln>
                  </pic:spPr>
                </pic:pic>
              </a:graphicData>
            </a:graphic>
          </wp:inline>
        </w:drawing>
      </w:r>
    </w:p>
    <w:p w14:paraId="7870689F">
      <w:pPr>
        <w:pStyle w:val="52"/>
        <w:spacing w:line="360" w:lineRule="auto"/>
        <w:ind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drawing>
          <wp:inline distT="0" distB="0" distL="114300" distR="114300">
            <wp:extent cx="6327775" cy="3560445"/>
            <wp:effectExtent l="0" t="0" r="12065"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cstate="print"/>
                    <a:stretch>
                      <a:fillRect/>
                    </a:stretch>
                  </pic:blipFill>
                  <pic:spPr>
                    <a:xfrm>
                      <a:off x="0" y="0"/>
                      <a:ext cx="6327775" cy="3560445"/>
                    </a:xfrm>
                    <a:prstGeom prst="rect">
                      <a:avLst/>
                    </a:prstGeom>
                    <a:noFill/>
                    <a:ln>
                      <a:noFill/>
                    </a:ln>
                  </pic:spPr>
                </pic:pic>
              </a:graphicData>
            </a:graphic>
          </wp:inline>
        </w:drawing>
      </w:r>
    </w:p>
    <w:p w14:paraId="742FC1D9">
      <w:pPr>
        <w:pStyle w:val="52"/>
        <w:spacing w:line="360" w:lineRule="auto"/>
        <w:ind w:firstLine="0" w:firstLineChars="0"/>
        <w:rPr>
          <w:rFonts w:asciiTheme="minorEastAsia" w:hAnsiTheme="minorEastAsia" w:eastAsiaTheme="minorEastAsia" w:cstheme="minorEastAsia"/>
          <w:b/>
          <w:bCs/>
          <w:color w:val="auto"/>
          <w:sz w:val="24"/>
          <w:szCs w:val="28"/>
          <w:highlight w:val="none"/>
        </w:rPr>
      </w:pPr>
      <w:r>
        <w:rPr>
          <w:rFonts w:hint="eastAsia" w:asciiTheme="minorEastAsia" w:hAnsiTheme="minorEastAsia" w:eastAsiaTheme="minorEastAsia" w:cstheme="minorEastAsia"/>
          <w:color w:val="auto"/>
          <w:highlight w:val="none"/>
        </w:rPr>
        <w:drawing>
          <wp:inline distT="0" distB="0" distL="114300" distR="114300">
            <wp:extent cx="6372860" cy="3578225"/>
            <wp:effectExtent l="0" t="0" r="12700"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4" cstate="print"/>
                    <a:stretch>
                      <a:fillRect/>
                    </a:stretch>
                  </pic:blipFill>
                  <pic:spPr>
                    <a:xfrm>
                      <a:off x="0" y="0"/>
                      <a:ext cx="6372860" cy="3578225"/>
                    </a:xfrm>
                    <a:prstGeom prst="rect">
                      <a:avLst/>
                    </a:prstGeom>
                    <a:noFill/>
                    <a:ln>
                      <a:noFill/>
                    </a:ln>
                  </pic:spPr>
                </pic:pic>
              </a:graphicData>
            </a:graphic>
          </wp:inline>
        </w:drawing>
      </w:r>
    </w:p>
    <w:p w14:paraId="5A2DF35F">
      <w:pPr>
        <w:pStyle w:val="52"/>
        <w:spacing w:line="360" w:lineRule="auto"/>
        <w:ind w:firstLine="0" w:firstLineChars="0"/>
        <w:rPr>
          <w:rFonts w:asciiTheme="minorEastAsia" w:hAnsiTheme="minorEastAsia" w:eastAsiaTheme="minorEastAsia" w:cstheme="minorEastAsia"/>
          <w:b/>
          <w:bCs/>
          <w:color w:val="auto"/>
          <w:sz w:val="24"/>
          <w:szCs w:val="28"/>
          <w:highlight w:val="none"/>
        </w:rPr>
      </w:pPr>
      <w:r>
        <w:rPr>
          <w:rFonts w:hint="eastAsia" w:asciiTheme="minorEastAsia" w:hAnsiTheme="minorEastAsia" w:eastAsiaTheme="minorEastAsia" w:cstheme="minorEastAsia"/>
          <w:color w:val="auto"/>
          <w:highlight w:val="none"/>
        </w:rPr>
        <w:drawing>
          <wp:inline distT="0" distB="0" distL="114300" distR="114300">
            <wp:extent cx="6491605" cy="3650615"/>
            <wp:effectExtent l="0" t="0" r="635"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5" cstate="print"/>
                    <a:stretch>
                      <a:fillRect/>
                    </a:stretch>
                  </pic:blipFill>
                  <pic:spPr>
                    <a:xfrm>
                      <a:off x="0" y="0"/>
                      <a:ext cx="6491605" cy="3650615"/>
                    </a:xfrm>
                    <a:prstGeom prst="rect">
                      <a:avLst/>
                    </a:prstGeom>
                    <a:noFill/>
                    <a:ln>
                      <a:noFill/>
                    </a:ln>
                  </pic:spPr>
                </pic:pic>
              </a:graphicData>
            </a:graphic>
          </wp:inline>
        </w:drawing>
      </w:r>
    </w:p>
    <w:p w14:paraId="0AC3A470">
      <w:pPr>
        <w:pStyle w:val="52"/>
        <w:spacing w:line="360" w:lineRule="auto"/>
        <w:ind w:firstLine="0" w:firstLineChars="0"/>
        <w:rPr>
          <w:rFonts w:asciiTheme="minorEastAsia" w:hAnsiTheme="minorEastAsia" w:eastAsiaTheme="minorEastAsia" w:cstheme="minorEastAsia"/>
          <w:b/>
          <w:bCs/>
          <w:color w:val="auto"/>
          <w:sz w:val="24"/>
          <w:szCs w:val="28"/>
          <w:highlight w:val="none"/>
        </w:rPr>
      </w:pPr>
      <w:r>
        <w:rPr>
          <w:rFonts w:hint="eastAsia" w:asciiTheme="minorEastAsia" w:hAnsiTheme="minorEastAsia" w:eastAsiaTheme="minorEastAsia" w:cstheme="minorEastAsia"/>
          <w:color w:val="auto"/>
          <w:highlight w:val="none"/>
        </w:rPr>
        <w:drawing>
          <wp:inline distT="0" distB="0" distL="114300" distR="114300">
            <wp:extent cx="6245225" cy="3518535"/>
            <wp:effectExtent l="0" t="0" r="3175" b="19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6" cstate="print"/>
                    <a:stretch>
                      <a:fillRect/>
                    </a:stretch>
                  </pic:blipFill>
                  <pic:spPr>
                    <a:xfrm>
                      <a:off x="0" y="0"/>
                      <a:ext cx="6245225" cy="3518535"/>
                    </a:xfrm>
                    <a:prstGeom prst="rect">
                      <a:avLst/>
                    </a:prstGeom>
                    <a:noFill/>
                    <a:ln>
                      <a:noFill/>
                    </a:ln>
                  </pic:spPr>
                </pic:pic>
              </a:graphicData>
            </a:graphic>
          </wp:inline>
        </w:drawing>
      </w:r>
    </w:p>
    <w:p w14:paraId="1C15A468">
      <w:pPr>
        <w:rPr>
          <w:rFonts w:asciiTheme="minorEastAsia" w:hAnsiTheme="minorEastAsia" w:eastAsiaTheme="minorEastAsia" w:cstheme="minorEastAsia"/>
          <w:b/>
          <w:bCs/>
          <w:color w:val="auto"/>
          <w:spacing w:val="8"/>
          <w:szCs w:val="24"/>
          <w:highlight w:val="none"/>
        </w:rPr>
      </w:pPr>
      <w:r>
        <w:rPr>
          <w:rFonts w:hint="eastAsia" w:asciiTheme="minorEastAsia" w:hAnsiTheme="minorEastAsia" w:eastAsiaTheme="minorEastAsia" w:cstheme="minorEastAsia"/>
          <w:color w:val="auto"/>
          <w:highlight w:val="none"/>
        </w:rPr>
        <w:drawing>
          <wp:inline distT="0" distB="0" distL="114300" distR="114300">
            <wp:extent cx="6210935" cy="3489325"/>
            <wp:effectExtent l="0" t="0" r="6985" b="6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7" cstate="print"/>
                    <a:stretch>
                      <a:fillRect/>
                    </a:stretch>
                  </pic:blipFill>
                  <pic:spPr>
                    <a:xfrm>
                      <a:off x="0" y="0"/>
                      <a:ext cx="6210935" cy="3489325"/>
                    </a:xfrm>
                    <a:prstGeom prst="rect">
                      <a:avLst/>
                    </a:prstGeom>
                    <a:noFill/>
                    <a:ln>
                      <a:noFill/>
                    </a:ln>
                  </pic:spPr>
                </pic:pic>
              </a:graphicData>
            </a:graphic>
          </wp:inline>
        </w:drawing>
      </w:r>
      <w:r>
        <w:rPr>
          <w:rFonts w:hint="eastAsia" w:asciiTheme="minorEastAsia" w:hAnsiTheme="minorEastAsia" w:eastAsiaTheme="minorEastAsia" w:cstheme="minorEastAsia"/>
          <w:b/>
          <w:bCs/>
          <w:color w:val="auto"/>
          <w:spacing w:val="8"/>
          <w:szCs w:val="24"/>
          <w:highlight w:val="none"/>
        </w:rPr>
        <w:t>附件七、《价格清单》</w:t>
      </w:r>
    </w:p>
    <w:p w14:paraId="6979E126">
      <w:pPr>
        <w:jc w:val="center"/>
        <w:rPr>
          <w:rFonts w:asciiTheme="majorEastAsia" w:hAnsiTheme="majorEastAsia" w:eastAsiaTheme="majorEastAsia" w:cstheme="majorEastAsia"/>
          <w:b/>
          <w:bCs/>
          <w:color w:val="auto"/>
          <w:sz w:val="24"/>
          <w:szCs w:val="24"/>
          <w:highlight w:val="none"/>
        </w:rPr>
      </w:pPr>
    </w:p>
    <w:sectPr>
      <w:headerReference r:id="rId7" w:type="default"/>
      <w:footerReference r:id="rId8" w:type="default"/>
      <w:pgSz w:w="11907" w:h="16840"/>
      <w:pgMar w:top="1247" w:right="1247" w:bottom="1247" w:left="1247" w:header="851" w:footer="680"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roman"/>
    <w:pitch w:val="default"/>
    <w:sig w:usb0="FFFFFFFF" w:usb1="E9FFFFFF" w:usb2="0000003F" w:usb3="00000000" w:csb0="603F01FF" w:csb1="FFFF0000"/>
  </w:font>
  <w:font w:name="Batang">
    <w:panose1 w:val="02030600000101010101"/>
    <w:charset w:val="81"/>
    <w:family w:val="roman"/>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A808E">
    <w:pPr>
      <w:pStyle w:val="30"/>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90CFE0F">
                          <w:pPr>
                            <w:pStyle w:val="3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SyghSc0BAACnAwAADgAAAAAAAAABACAAAAAeAQAAZHJzL2Uy&#10;b0RvYy54bWxQSwUGAAAAAAYABgBZAQAAXQUAAAAA&#10;">
              <v:fill on="f" focussize="0,0"/>
              <v:stroke on="f"/>
              <v:imagedata o:title=""/>
              <o:lock v:ext="edit" aspectratio="f"/>
              <v:textbox inset="0mm,0mm,0mm,0mm" style="mso-fit-shape-to-text:t;">
                <w:txbxContent>
                  <w:p w14:paraId="790CFE0F">
                    <w:pPr>
                      <w:pStyle w:val="3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B5218">
    <w:pPr>
      <w:pStyle w:val="30"/>
      <w:framePr w:wrap="around" w:vAnchor="text" w:hAnchor="margin" w:xAlign="right" w:y="2"/>
    </w:pPr>
    <w:r>
      <w:rPr>
        <w:rStyle w:val="48"/>
      </w:rPr>
      <w:fldChar w:fldCharType="begin"/>
    </w:r>
    <w:r>
      <w:rPr>
        <w:rStyle w:val="48"/>
      </w:rPr>
      <w:instrText xml:space="preserve">Page</w:instrText>
    </w:r>
    <w:r>
      <w:rPr>
        <w:rStyle w:val="48"/>
      </w:rPr>
      <w:fldChar w:fldCharType="separate"/>
    </w:r>
    <w:r>
      <w:rPr>
        <w:rStyle w:val="48"/>
      </w:rPr>
      <w:t>1</w:t>
    </w:r>
    <w:r>
      <w:rPr>
        <w:rStyle w:val="48"/>
      </w:rPr>
      <w:fldChar w:fldCharType="end"/>
    </w:r>
  </w:p>
  <w:p w14:paraId="651EDDD9">
    <w:pPr>
      <w:pStyle w:val="3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5512D">
    <w:pPr>
      <w:pStyle w:val="3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3F528">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BC3F528">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92A25">
    <w:pPr>
      <w:pStyle w:val="30"/>
      <w:pBdr>
        <w:top w:val="single" w:color="auto" w:sz="4" w:space="1"/>
      </w:pBdr>
      <w:ind w:left="-141" w:leftChars="-67" w:right="360"/>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8FA0F4D">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mKMRP80BAACnAwAADgAAAAAAAAABACAAAAAeAQAAZHJzL2Uy&#10;b0RvYy54bWxQSwUGAAAAAAYABgBZAQAAXQUAAAAA&#10;">
              <v:fill on="f" focussize="0,0"/>
              <v:stroke on="f"/>
              <v:imagedata o:title=""/>
              <o:lock v:ext="edit" aspectratio="f"/>
              <v:textbox inset="0mm,0mm,0mm,0mm" style="mso-fit-shape-to-text:t;">
                <w:txbxContent>
                  <w:p w14:paraId="58FA0F4D">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E3BAD">
    <w:pPr>
      <w:pStyle w:val="31"/>
      <w:jc w:val="left"/>
    </w:pPr>
    <w:r>
      <w:drawing>
        <wp:inline distT="0" distB="0" distL="0" distR="0">
          <wp:extent cx="1017905" cy="316865"/>
          <wp:effectExtent l="0" t="0" r="317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D89E8">
    <w:pPr>
      <w:pStyle w:val="31"/>
      <w:ind w:right="422" w:firstLine="270" w:firstLineChars="150"/>
      <w:jc w:val="both"/>
      <w:rPr>
        <w:rFonts w:ascii="Batang" w:hAnsi="Batang"/>
        <w:color w:val="999999"/>
        <w:sz w:val="16"/>
        <w:szCs w:val="16"/>
      </w:rPr>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r>
      <w:rPr>
        <w:rFonts w:hint="eastAsia"/>
        <w:b/>
        <w:color w:val="5F5F5F"/>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36D51"/>
    <w:multiLevelType w:val="multilevel"/>
    <w:tmpl w:val="95036D51"/>
    <w:lvl w:ilvl="0" w:tentative="0">
      <w:start w:val="1"/>
      <w:numFmt w:val="chineseCountingThousand"/>
      <w:pStyle w:val="2"/>
      <w:lvlText w:val="%1."/>
      <w:lvlJc w:val="left"/>
      <w:pPr>
        <w:tabs>
          <w:tab w:val="left" w:pos="0"/>
        </w:tabs>
        <w:ind w:left="425" w:hanging="425"/>
      </w:pPr>
    </w:lvl>
    <w:lvl w:ilvl="1" w:tentative="0">
      <w:start w:val="1"/>
      <w:numFmt w:val="decimal"/>
      <w:pStyle w:val="4"/>
      <w:lvlText w:val="%2."/>
      <w:legacy w:legacy="1" w:legacySpace="0" w:legacyIndent="425"/>
      <w:lvlJc w:val="left"/>
      <w:pPr>
        <w:ind w:left="992" w:hanging="425"/>
      </w:pPr>
    </w:lvl>
    <w:lvl w:ilvl="2" w:tentative="0">
      <w:start w:val="1"/>
      <w:numFmt w:val="none"/>
      <w:pStyle w:val="5"/>
      <w:suff w:val="nothing"/>
      <w:lvlText w:val=""/>
      <w:lvlJc w:val="left"/>
      <w:pPr>
        <w:tabs>
          <w:tab w:val="left" w:pos="0"/>
        </w:tabs>
        <w:ind w:left="851" w:hanging="425"/>
      </w:pPr>
    </w:lvl>
    <w:lvl w:ilvl="3" w:tentative="0">
      <w:start w:val="1"/>
      <w:numFmt w:val="lowerLetter"/>
      <w:pStyle w:val="6"/>
      <w:lvlText w:val="%4)"/>
      <w:legacy w:legacy="1" w:legacySpace="0" w:legacyIndent="425"/>
      <w:lvlJc w:val="left"/>
      <w:pPr>
        <w:ind w:left="1700" w:hanging="425"/>
      </w:pPr>
    </w:lvl>
    <w:lvl w:ilvl="4" w:tentative="0">
      <w:start w:val="1"/>
      <w:numFmt w:val="decimal"/>
      <w:pStyle w:val="7"/>
      <w:lvlText w:val="(%5)"/>
      <w:legacy w:legacy="1" w:legacySpace="0" w:legacyIndent="425"/>
      <w:lvlJc w:val="left"/>
      <w:pPr>
        <w:ind w:left="2125" w:hanging="425"/>
      </w:pPr>
    </w:lvl>
    <w:lvl w:ilvl="5" w:tentative="0">
      <w:start w:val="1"/>
      <w:numFmt w:val="lowerLetter"/>
      <w:pStyle w:val="8"/>
      <w:lvlText w:val="(%6)"/>
      <w:legacy w:legacy="1" w:legacySpace="0" w:legacyIndent="425"/>
      <w:lvlJc w:val="left"/>
      <w:pPr>
        <w:ind w:left="2550" w:hanging="425"/>
      </w:pPr>
    </w:lvl>
    <w:lvl w:ilvl="6" w:tentative="0">
      <w:start w:val="1"/>
      <w:numFmt w:val="lowerRoman"/>
      <w:pStyle w:val="9"/>
      <w:lvlText w:val="(%7)"/>
      <w:legacy w:legacy="1" w:legacySpace="0" w:legacyIndent="425"/>
      <w:lvlJc w:val="left"/>
      <w:pPr>
        <w:ind w:left="2975" w:hanging="425"/>
      </w:pPr>
    </w:lvl>
    <w:lvl w:ilvl="7" w:tentative="0">
      <w:start w:val="1"/>
      <w:numFmt w:val="lowerLetter"/>
      <w:pStyle w:val="10"/>
      <w:lvlText w:val="(%8)"/>
      <w:legacy w:legacy="1" w:legacySpace="0" w:legacyIndent="425"/>
      <w:lvlJc w:val="left"/>
      <w:pPr>
        <w:ind w:left="3400" w:hanging="425"/>
      </w:pPr>
    </w:lvl>
    <w:lvl w:ilvl="8" w:tentative="0">
      <w:start w:val="1"/>
      <w:numFmt w:val="lowerRoman"/>
      <w:pStyle w:val="11"/>
      <w:lvlText w:val="(%9)"/>
      <w:legacy w:legacy="1" w:legacySpace="0" w:legacyIndent="425"/>
      <w:lvlJc w:val="left"/>
      <w:pPr>
        <w:ind w:left="3825" w:hanging="425"/>
      </w:pPr>
    </w:lvl>
  </w:abstractNum>
  <w:abstractNum w:abstractNumId="1">
    <w:nsid w:val="3E6C9CA1"/>
    <w:multiLevelType w:val="singleLevel"/>
    <w:tmpl w:val="3E6C9CA1"/>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lODRhNTY2YTliZmVkOWRlODI2MWVjNWFiZjEwN2IifQ=="/>
  </w:docVars>
  <w:rsids>
    <w:rsidRoot w:val="00172A27"/>
    <w:rsid w:val="000333B4"/>
    <w:rsid w:val="00060055"/>
    <w:rsid w:val="00080676"/>
    <w:rsid w:val="00082164"/>
    <w:rsid w:val="000936F9"/>
    <w:rsid w:val="000C79DB"/>
    <w:rsid w:val="00112F37"/>
    <w:rsid w:val="00126895"/>
    <w:rsid w:val="001402AB"/>
    <w:rsid w:val="001646C0"/>
    <w:rsid w:val="00172A27"/>
    <w:rsid w:val="00175D4F"/>
    <w:rsid w:val="00191138"/>
    <w:rsid w:val="001D15F9"/>
    <w:rsid w:val="00223635"/>
    <w:rsid w:val="0023701D"/>
    <w:rsid w:val="00266CC3"/>
    <w:rsid w:val="00286A9F"/>
    <w:rsid w:val="002C2A26"/>
    <w:rsid w:val="002D2E4E"/>
    <w:rsid w:val="002D6454"/>
    <w:rsid w:val="002F54E2"/>
    <w:rsid w:val="00365E9D"/>
    <w:rsid w:val="00375229"/>
    <w:rsid w:val="003C3474"/>
    <w:rsid w:val="0043407A"/>
    <w:rsid w:val="00441CC3"/>
    <w:rsid w:val="00456E8F"/>
    <w:rsid w:val="00462FAC"/>
    <w:rsid w:val="004F343A"/>
    <w:rsid w:val="00596421"/>
    <w:rsid w:val="005A2A64"/>
    <w:rsid w:val="0063068D"/>
    <w:rsid w:val="006358F6"/>
    <w:rsid w:val="00664070"/>
    <w:rsid w:val="006711F1"/>
    <w:rsid w:val="006A6E1A"/>
    <w:rsid w:val="006C46A1"/>
    <w:rsid w:val="006E2EBC"/>
    <w:rsid w:val="00705E78"/>
    <w:rsid w:val="007259EE"/>
    <w:rsid w:val="0072645C"/>
    <w:rsid w:val="007462AC"/>
    <w:rsid w:val="00755913"/>
    <w:rsid w:val="00760583"/>
    <w:rsid w:val="00772835"/>
    <w:rsid w:val="00782C8E"/>
    <w:rsid w:val="00832B18"/>
    <w:rsid w:val="00864308"/>
    <w:rsid w:val="00883693"/>
    <w:rsid w:val="008A00BC"/>
    <w:rsid w:val="008C20A2"/>
    <w:rsid w:val="008E1A2E"/>
    <w:rsid w:val="008E7327"/>
    <w:rsid w:val="0091651F"/>
    <w:rsid w:val="0092150E"/>
    <w:rsid w:val="009515D3"/>
    <w:rsid w:val="009A6AD9"/>
    <w:rsid w:val="009A763C"/>
    <w:rsid w:val="009B1946"/>
    <w:rsid w:val="009E2E06"/>
    <w:rsid w:val="00A061D4"/>
    <w:rsid w:val="00A264A7"/>
    <w:rsid w:val="00A44918"/>
    <w:rsid w:val="00A66172"/>
    <w:rsid w:val="00A91282"/>
    <w:rsid w:val="00AA48D4"/>
    <w:rsid w:val="00AB0385"/>
    <w:rsid w:val="00AB45FE"/>
    <w:rsid w:val="00AC382F"/>
    <w:rsid w:val="00AC4783"/>
    <w:rsid w:val="00AD55B7"/>
    <w:rsid w:val="00AD5910"/>
    <w:rsid w:val="00B06CD4"/>
    <w:rsid w:val="00B30938"/>
    <w:rsid w:val="00B45137"/>
    <w:rsid w:val="00B5264C"/>
    <w:rsid w:val="00B7439C"/>
    <w:rsid w:val="00B95703"/>
    <w:rsid w:val="00BF0416"/>
    <w:rsid w:val="00BF4FB6"/>
    <w:rsid w:val="00C1211F"/>
    <w:rsid w:val="00C304C2"/>
    <w:rsid w:val="00CA755D"/>
    <w:rsid w:val="00CD5CE5"/>
    <w:rsid w:val="00CE3F50"/>
    <w:rsid w:val="00D37F77"/>
    <w:rsid w:val="00D42187"/>
    <w:rsid w:val="00D435CF"/>
    <w:rsid w:val="00D47D1F"/>
    <w:rsid w:val="00DA0F0D"/>
    <w:rsid w:val="00DD6880"/>
    <w:rsid w:val="00DE64F6"/>
    <w:rsid w:val="00E145AA"/>
    <w:rsid w:val="00E32C5A"/>
    <w:rsid w:val="00E34CC7"/>
    <w:rsid w:val="00E4516C"/>
    <w:rsid w:val="00E603F6"/>
    <w:rsid w:val="00E75012"/>
    <w:rsid w:val="00E752EB"/>
    <w:rsid w:val="00E944FB"/>
    <w:rsid w:val="00F22C58"/>
    <w:rsid w:val="00F26133"/>
    <w:rsid w:val="00F4470B"/>
    <w:rsid w:val="00F60EBC"/>
    <w:rsid w:val="00F765F9"/>
    <w:rsid w:val="00F92F61"/>
    <w:rsid w:val="00FD69D7"/>
    <w:rsid w:val="02264AD7"/>
    <w:rsid w:val="024F5D01"/>
    <w:rsid w:val="02553107"/>
    <w:rsid w:val="0276302D"/>
    <w:rsid w:val="04186FF8"/>
    <w:rsid w:val="041B2216"/>
    <w:rsid w:val="04224E51"/>
    <w:rsid w:val="042F236B"/>
    <w:rsid w:val="049F4674"/>
    <w:rsid w:val="051E41F2"/>
    <w:rsid w:val="058977BD"/>
    <w:rsid w:val="05B125F3"/>
    <w:rsid w:val="06443FD4"/>
    <w:rsid w:val="07277E4A"/>
    <w:rsid w:val="07312958"/>
    <w:rsid w:val="07BF4B46"/>
    <w:rsid w:val="07E07279"/>
    <w:rsid w:val="097D251D"/>
    <w:rsid w:val="0985630B"/>
    <w:rsid w:val="09CD7B81"/>
    <w:rsid w:val="0A54172B"/>
    <w:rsid w:val="0A960A6B"/>
    <w:rsid w:val="0ABF587C"/>
    <w:rsid w:val="0AFD1CA5"/>
    <w:rsid w:val="0BE74F15"/>
    <w:rsid w:val="0C337593"/>
    <w:rsid w:val="0C3D62DD"/>
    <w:rsid w:val="0C4726E9"/>
    <w:rsid w:val="0CA6064A"/>
    <w:rsid w:val="0CDE40DD"/>
    <w:rsid w:val="0CF419F4"/>
    <w:rsid w:val="0D177805"/>
    <w:rsid w:val="0DA16E30"/>
    <w:rsid w:val="0DC30CBA"/>
    <w:rsid w:val="0E284C1A"/>
    <w:rsid w:val="0E655679"/>
    <w:rsid w:val="0F0C276E"/>
    <w:rsid w:val="0F6E0B04"/>
    <w:rsid w:val="0FD705BF"/>
    <w:rsid w:val="11074842"/>
    <w:rsid w:val="11241654"/>
    <w:rsid w:val="117048C5"/>
    <w:rsid w:val="118A2253"/>
    <w:rsid w:val="11A021F8"/>
    <w:rsid w:val="11C0052E"/>
    <w:rsid w:val="120D7730"/>
    <w:rsid w:val="12160F3D"/>
    <w:rsid w:val="121A30DC"/>
    <w:rsid w:val="123D14B5"/>
    <w:rsid w:val="125A088B"/>
    <w:rsid w:val="12B10F0A"/>
    <w:rsid w:val="12FD5F29"/>
    <w:rsid w:val="13311A45"/>
    <w:rsid w:val="13585F27"/>
    <w:rsid w:val="141460DB"/>
    <w:rsid w:val="14196A31"/>
    <w:rsid w:val="14352E8E"/>
    <w:rsid w:val="14360F37"/>
    <w:rsid w:val="14423DE3"/>
    <w:rsid w:val="15261AB7"/>
    <w:rsid w:val="153357D3"/>
    <w:rsid w:val="1576002C"/>
    <w:rsid w:val="15973CBB"/>
    <w:rsid w:val="15EC515E"/>
    <w:rsid w:val="16127DEF"/>
    <w:rsid w:val="16295EC5"/>
    <w:rsid w:val="170B5EA3"/>
    <w:rsid w:val="17E625C2"/>
    <w:rsid w:val="17EF635C"/>
    <w:rsid w:val="187212AC"/>
    <w:rsid w:val="1883502B"/>
    <w:rsid w:val="18AE7B2C"/>
    <w:rsid w:val="18B36492"/>
    <w:rsid w:val="18D06D94"/>
    <w:rsid w:val="19B01530"/>
    <w:rsid w:val="1B22142C"/>
    <w:rsid w:val="1B2A271F"/>
    <w:rsid w:val="1B2E1247"/>
    <w:rsid w:val="1B5C67F2"/>
    <w:rsid w:val="1BD50639"/>
    <w:rsid w:val="1BD937BC"/>
    <w:rsid w:val="1C1945A6"/>
    <w:rsid w:val="1C3B70A2"/>
    <w:rsid w:val="1C656C23"/>
    <w:rsid w:val="1CA63D20"/>
    <w:rsid w:val="1CE046C9"/>
    <w:rsid w:val="1D0667AD"/>
    <w:rsid w:val="1D614119"/>
    <w:rsid w:val="1DC069DD"/>
    <w:rsid w:val="1E26620F"/>
    <w:rsid w:val="1E63486F"/>
    <w:rsid w:val="1EB13FC1"/>
    <w:rsid w:val="1ED1585B"/>
    <w:rsid w:val="1F5958FB"/>
    <w:rsid w:val="1FC91507"/>
    <w:rsid w:val="2008641C"/>
    <w:rsid w:val="20516D04"/>
    <w:rsid w:val="2090338D"/>
    <w:rsid w:val="209520FD"/>
    <w:rsid w:val="21455596"/>
    <w:rsid w:val="21560599"/>
    <w:rsid w:val="217D25C9"/>
    <w:rsid w:val="21D9548D"/>
    <w:rsid w:val="22135B75"/>
    <w:rsid w:val="22E443BD"/>
    <w:rsid w:val="22EF1428"/>
    <w:rsid w:val="243D7784"/>
    <w:rsid w:val="2489698A"/>
    <w:rsid w:val="248B50E7"/>
    <w:rsid w:val="24B91AE5"/>
    <w:rsid w:val="254856F3"/>
    <w:rsid w:val="265778D8"/>
    <w:rsid w:val="267D2FC3"/>
    <w:rsid w:val="267F1B6D"/>
    <w:rsid w:val="26873286"/>
    <w:rsid w:val="2705276C"/>
    <w:rsid w:val="272D6799"/>
    <w:rsid w:val="27765CCC"/>
    <w:rsid w:val="281C391F"/>
    <w:rsid w:val="28207959"/>
    <w:rsid w:val="28A736C6"/>
    <w:rsid w:val="28F46BF3"/>
    <w:rsid w:val="29182EB6"/>
    <w:rsid w:val="29363273"/>
    <w:rsid w:val="29BE6110"/>
    <w:rsid w:val="2A1A4C1E"/>
    <w:rsid w:val="2A5D13D8"/>
    <w:rsid w:val="2A5F0040"/>
    <w:rsid w:val="2B122C35"/>
    <w:rsid w:val="2B470F10"/>
    <w:rsid w:val="2B675E6B"/>
    <w:rsid w:val="2B752E86"/>
    <w:rsid w:val="2B88197A"/>
    <w:rsid w:val="2BA8442D"/>
    <w:rsid w:val="2BB15C72"/>
    <w:rsid w:val="2BD92870"/>
    <w:rsid w:val="2BE839D2"/>
    <w:rsid w:val="2C3813B1"/>
    <w:rsid w:val="2C807EC2"/>
    <w:rsid w:val="2C953A5B"/>
    <w:rsid w:val="2CAC29D6"/>
    <w:rsid w:val="2CDA31E3"/>
    <w:rsid w:val="2CEA6A44"/>
    <w:rsid w:val="2D8639BE"/>
    <w:rsid w:val="2E0D56A1"/>
    <w:rsid w:val="2E866EE2"/>
    <w:rsid w:val="2EA8716B"/>
    <w:rsid w:val="2F8B2687"/>
    <w:rsid w:val="2FA66FE8"/>
    <w:rsid w:val="2FE14674"/>
    <w:rsid w:val="3039550A"/>
    <w:rsid w:val="303B246D"/>
    <w:rsid w:val="30B621BB"/>
    <w:rsid w:val="30C654B6"/>
    <w:rsid w:val="30D274EA"/>
    <w:rsid w:val="30DF2D13"/>
    <w:rsid w:val="30DF5A15"/>
    <w:rsid w:val="30F006A0"/>
    <w:rsid w:val="31350C4C"/>
    <w:rsid w:val="31576C02"/>
    <w:rsid w:val="319C5D59"/>
    <w:rsid w:val="31A10EB0"/>
    <w:rsid w:val="31D02C7C"/>
    <w:rsid w:val="31D86A34"/>
    <w:rsid w:val="3220246C"/>
    <w:rsid w:val="32CC14AE"/>
    <w:rsid w:val="32D50CD2"/>
    <w:rsid w:val="32DC7485"/>
    <w:rsid w:val="33B5055C"/>
    <w:rsid w:val="33E9602A"/>
    <w:rsid w:val="345C6BB6"/>
    <w:rsid w:val="346F3BA7"/>
    <w:rsid w:val="349A34DB"/>
    <w:rsid w:val="34BE4CB6"/>
    <w:rsid w:val="35301450"/>
    <w:rsid w:val="36072EA3"/>
    <w:rsid w:val="364D63A5"/>
    <w:rsid w:val="36820344"/>
    <w:rsid w:val="371F3463"/>
    <w:rsid w:val="375279DE"/>
    <w:rsid w:val="37C87133"/>
    <w:rsid w:val="382B20B3"/>
    <w:rsid w:val="383D0ADB"/>
    <w:rsid w:val="3868688C"/>
    <w:rsid w:val="38A360C7"/>
    <w:rsid w:val="38AE0591"/>
    <w:rsid w:val="38B84EED"/>
    <w:rsid w:val="38D83063"/>
    <w:rsid w:val="38EE3475"/>
    <w:rsid w:val="396665B7"/>
    <w:rsid w:val="399E1E42"/>
    <w:rsid w:val="39BB7346"/>
    <w:rsid w:val="3ACB7183"/>
    <w:rsid w:val="3B002731"/>
    <w:rsid w:val="3B1815F0"/>
    <w:rsid w:val="3B2874F7"/>
    <w:rsid w:val="3B7F3415"/>
    <w:rsid w:val="3BDA7340"/>
    <w:rsid w:val="3BEE11AA"/>
    <w:rsid w:val="3C0502AB"/>
    <w:rsid w:val="3CC5653A"/>
    <w:rsid w:val="3CC73400"/>
    <w:rsid w:val="3CD54F47"/>
    <w:rsid w:val="3D0038A0"/>
    <w:rsid w:val="3D19597B"/>
    <w:rsid w:val="3D285D7B"/>
    <w:rsid w:val="3D3E0DAC"/>
    <w:rsid w:val="3D577B32"/>
    <w:rsid w:val="3E3948A1"/>
    <w:rsid w:val="3E4619B8"/>
    <w:rsid w:val="3EA27661"/>
    <w:rsid w:val="3F093020"/>
    <w:rsid w:val="3FCD5D01"/>
    <w:rsid w:val="40B90E06"/>
    <w:rsid w:val="417C49FE"/>
    <w:rsid w:val="424D7FF5"/>
    <w:rsid w:val="425D04A4"/>
    <w:rsid w:val="426104F4"/>
    <w:rsid w:val="42842F36"/>
    <w:rsid w:val="428D00BE"/>
    <w:rsid w:val="42956DD5"/>
    <w:rsid w:val="42CC5625"/>
    <w:rsid w:val="42E41F99"/>
    <w:rsid w:val="43261DC8"/>
    <w:rsid w:val="436305A9"/>
    <w:rsid w:val="43661FA0"/>
    <w:rsid w:val="437C1F45"/>
    <w:rsid w:val="43BF613D"/>
    <w:rsid w:val="44576CC5"/>
    <w:rsid w:val="449569A9"/>
    <w:rsid w:val="44F92EC8"/>
    <w:rsid w:val="45053017"/>
    <w:rsid w:val="45653423"/>
    <w:rsid w:val="459B1F40"/>
    <w:rsid w:val="45BC595B"/>
    <w:rsid w:val="45C13A95"/>
    <w:rsid w:val="45FD4563"/>
    <w:rsid w:val="462349F9"/>
    <w:rsid w:val="46EB1D2A"/>
    <w:rsid w:val="4704194A"/>
    <w:rsid w:val="475A5562"/>
    <w:rsid w:val="490A2131"/>
    <w:rsid w:val="49521259"/>
    <w:rsid w:val="49B70861"/>
    <w:rsid w:val="49C35B92"/>
    <w:rsid w:val="49FC18AB"/>
    <w:rsid w:val="4A702F34"/>
    <w:rsid w:val="4A706FB0"/>
    <w:rsid w:val="4A9E377A"/>
    <w:rsid w:val="4AEE2B01"/>
    <w:rsid w:val="4B456404"/>
    <w:rsid w:val="4B677227"/>
    <w:rsid w:val="4B780053"/>
    <w:rsid w:val="4BF16855"/>
    <w:rsid w:val="4C535046"/>
    <w:rsid w:val="4C62195E"/>
    <w:rsid w:val="4C677B95"/>
    <w:rsid w:val="4CC43DA0"/>
    <w:rsid w:val="4CE86E0B"/>
    <w:rsid w:val="4D046F69"/>
    <w:rsid w:val="4D487E37"/>
    <w:rsid w:val="4DCF52E3"/>
    <w:rsid w:val="4DE1395C"/>
    <w:rsid w:val="4DFA3762"/>
    <w:rsid w:val="4E1D0682"/>
    <w:rsid w:val="4E20229B"/>
    <w:rsid w:val="4E2C224E"/>
    <w:rsid w:val="4E981312"/>
    <w:rsid w:val="4EC004A5"/>
    <w:rsid w:val="4ED22AC0"/>
    <w:rsid w:val="4EDB080A"/>
    <w:rsid w:val="4F20003D"/>
    <w:rsid w:val="4F4E1F8C"/>
    <w:rsid w:val="4FB01E76"/>
    <w:rsid w:val="4FE6551F"/>
    <w:rsid w:val="505446A7"/>
    <w:rsid w:val="505E3468"/>
    <w:rsid w:val="510A7E4A"/>
    <w:rsid w:val="510B71B7"/>
    <w:rsid w:val="51184ACD"/>
    <w:rsid w:val="51270A17"/>
    <w:rsid w:val="51474A60"/>
    <w:rsid w:val="51604B67"/>
    <w:rsid w:val="51CD559C"/>
    <w:rsid w:val="51D606E1"/>
    <w:rsid w:val="520F4294"/>
    <w:rsid w:val="521B44FD"/>
    <w:rsid w:val="52295F56"/>
    <w:rsid w:val="5239078F"/>
    <w:rsid w:val="527275E2"/>
    <w:rsid w:val="537732A3"/>
    <w:rsid w:val="538A4156"/>
    <w:rsid w:val="53D42A42"/>
    <w:rsid w:val="53EE23BF"/>
    <w:rsid w:val="5416102C"/>
    <w:rsid w:val="54556F67"/>
    <w:rsid w:val="54A85071"/>
    <w:rsid w:val="54BF4C96"/>
    <w:rsid w:val="54C26B5D"/>
    <w:rsid w:val="554E1580"/>
    <w:rsid w:val="556C60B3"/>
    <w:rsid w:val="55EB4403"/>
    <w:rsid w:val="5606068F"/>
    <w:rsid w:val="570143F5"/>
    <w:rsid w:val="57214AB9"/>
    <w:rsid w:val="57283E0B"/>
    <w:rsid w:val="57632117"/>
    <w:rsid w:val="579A6F81"/>
    <w:rsid w:val="57AA66A9"/>
    <w:rsid w:val="57EB51CE"/>
    <w:rsid w:val="57EC1469"/>
    <w:rsid w:val="57FB364A"/>
    <w:rsid w:val="57FD6F70"/>
    <w:rsid w:val="58324BD0"/>
    <w:rsid w:val="583940E7"/>
    <w:rsid w:val="586373AA"/>
    <w:rsid w:val="58AF298D"/>
    <w:rsid w:val="58CE7E93"/>
    <w:rsid w:val="58ED4F64"/>
    <w:rsid w:val="594C26E8"/>
    <w:rsid w:val="599018CF"/>
    <w:rsid w:val="5991109E"/>
    <w:rsid w:val="5A2364E7"/>
    <w:rsid w:val="5AA661E3"/>
    <w:rsid w:val="5AAD49D1"/>
    <w:rsid w:val="5AB865E5"/>
    <w:rsid w:val="5AC445F6"/>
    <w:rsid w:val="5ADB4B9F"/>
    <w:rsid w:val="5B1B5005"/>
    <w:rsid w:val="5B2F61C9"/>
    <w:rsid w:val="5B942177"/>
    <w:rsid w:val="5BB01116"/>
    <w:rsid w:val="5BD3104E"/>
    <w:rsid w:val="5BE63B6B"/>
    <w:rsid w:val="5BFF6ACC"/>
    <w:rsid w:val="5C0A6E8C"/>
    <w:rsid w:val="5C7676AF"/>
    <w:rsid w:val="5C867F4B"/>
    <w:rsid w:val="5CFD7060"/>
    <w:rsid w:val="5D187049"/>
    <w:rsid w:val="5D2E6FEF"/>
    <w:rsid w:val="5D444EF8"/>
    <w:rsid w:val="5D5A59D1"/>
    <w:rsid w:val="5E626173"/>
    <w:rsid w:val="5E8F1627"/>
    <w:rsid w:val="5F2B1033"/>
    <w:rsid w:val="5F4D3766"/>
    <w:rsid w:val="5F821A41"/>
    <w:rsid w:val="5FB9411A"/>
    <w:rsid w:val="5FCD5695"/>
    <w:rsid w:val="5FD155C6"/>
    <w:rsid w:val="60265C8E"/>
    <w:rsid w:val="602C17B4"/>
    <w:rsid w:val="61201DC7"/>
    <w:rsid w:val="6132544C"/>
    <w:rsid w:val="614F4690"/>
    <w:rsid w:val="6189573E"/>
    <w:rsid w:val="61B16114"/>
    <w:rsid w:val="620D6B6D"/>
    <w:rsid w:val="62751D3F"/>
    <w:rsid w:val="629038C3"/>
    <w:rsid w:val="62D1432C"/>
    <w:rsid w:val="632A5038"/>
    <w:rsid w:val="633D4D62"/>
    <w:rsid w:val="63BD4768"/>
    <w:rsid w:val="63E044E9"/>
    <w:rsid w:val="64603115"/>
    <w:rsid w:val="649035A9"/>
    <w:rsid w:val="64ED32EB"/>
    <w:rsid w:val="65093EA6"/>
    <w:rsid w:val="662E69F1"/>
    <w:rsid w:val="66763F18"/>
    <w:rsid w:val="66D12D4F"/>
    <w:rsid w:val="672271DD"/>
    <w:rsid w:val="6752307F"/>
    <w:rsid w:val="679A7B08"/>
    <w:rsid w:val="67F319AA"/>
    <w:rsid w:val="67F45A23"/>
    <w:rsid w:val="68C2756A"/>
    <w:rsid w:val="69466FB1"/>
    <w:rsid w:val="69FA23D3"/>
    <w:rsid w:val="6A3C4858"/>
    <w:rsid w:val="6A4807BF"/>
    <w:rsid w:val="6BAA29B3"/>
    <w:rsid w:val="6BAC6692"/>
    <w:rsid w:val="6BDB0A64"/>
    <w:rsid w:val="6C4A3B4B"/>
    <w:rsid w:val="6C501E8D"/>
    <w:rsid w:val="6D013069"/>
    <w:rsid w:val="6D792391"/>
    <w:rsid w:val="6D871E5D"/>
    <w:rsid w:val="6DB7708E"/>
    <w:rsid w:val="6DE83A28"/>
    <w:rsid w:val="6DEB66DF"/>
    <w:rsid w:val="6DF8337A"/>
    <w:rsid w:val="6DFF6BC0"/>
    <w:rsid w:val="6E214EFD"/>
    <w:rsid w:val="6E756BB4"/>
    <w:rsid w:val="6E7D054D"/>
    <w:rsid w:val="6E9047F2"/>
    <w:rsid w:val="6F4C5DA0"/>
    <w:rsid w:val="6F8168C7"/>
    <w:rsid w:val="6F8E04CD"/>
    <w:rsid w:val="6FD06D1B"/>
    <w:rsid w:val="713E6F70"/>
    <w:rsid w:val="71717CF1"/>
    <w:rsid w:val="71A803FB"/>
    <w:rsid w:val="72401A80"/>
    <w:rsid w:val="725A244F"/>
    <w:rsid w:val="7305472C"/>
    <w:rsid w:val="73173CE2"/>
    <w:rsid w:val="732202F3"/>
    <w:rsid w:val="73704370"/>
    <w:rsid w:val="73890952"/>
    <w:rsid w:val="73BA60D9"/>
    <w:rsid w:val="73D525C5"/>
    <w:rsid w:val="73DC4D25"/>
    <w:rsid w:val="73E563D3"/>
    <w:rsid w:val="73FE45EA"/>
    <w:rsid w:val="7430623B"/>
    <w:rsid w:val="7432322A"/>
    <w:rsid w:val="74482916"/>
    <w:rsid w:val="74497941"/>
    <w:rsid w:val="745436E9"/>
    <w:rsid w:val="74ED6FAA"/>
    <w:rsid w:val="75311575"/>
    <w:rsid w:val="765A05BC"/>
    <w:rsid w:val="76A56C07"/>
    <w:rsid w:val="76BD6FDB"/>
    <w:rsid w:val="774954A8"/>
    <w:rsid w:val="776F0136"/>
    <w:rsid w:val="78085CD4"/>
    <w:rsid w:val="78BD7DA6"/>
    <w:rsid w:val="795505F1"/>
    <w:rsid w:val="79BB2D4D"/>
    <w:rsid w:val="79D85E49"/>
    <w:rsid w:val="79DB6AE0"/>
    <w:rsid w:val="7AEE486D"/>
    <w:rsid w:val="7B074AD8"/>
    <w:rsid w:val="7B202462"/>
    <w:rsid w:val="7B334F2B"/>
    <w:rsid w:val="7B452CBB"/>
    <w:rsid w:val="7B5E4E76"/>
    <w:rsid w:val="7B74073F"/>
    <w:rsid w:val="7B9A5912"/>
    <w:rsid w:val="7BBD7AB6"/>
    <w:rsid w:val="7BC930A4"/>
    <w:rsid w:val="7BD87A82"/>
    <w:rsid w:val="7C287FE7"/>
    <w:rsid w:val="7C2B0D47"/>
    <w:rsid w:val="7CC01A84"/>
    <w:rsid w:val="7CC87103"/>
    <w:rsid w:val="7CEF6506"/>
    <w:rsid w:val="7CFA011A"/>
    <w:rsid w:val="7D767BD1"/>
    <w:rsid w:val="7DA170CF"/>
    <w:rsid w:val="7E7514DB"/>
    <w:rsid w:val="7F885A2D"/>
    <w:rsid w:val="7FAC0801"/>
    <w:rsid w:val="7FE83C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iPriority="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iPriority="0" w:name="Message Header"/>
    <w:lsdException w:uiPriority="0" w:name="Subtitle"/>
    <w:lsdException w:uiPriority="0" w:name="Salutation"/>
    <w:lsdException w:qFormat="1" w:unhideWhenUsed="0" w:uiPriority="0" w:semiHidden="0" w:name="Date"/>
    <w:lsdException w:uiPriority="0" w:name="Body Text First Indent"/>
    <w:lsdException w:qFormat="1" w:uiPriority="99"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0" w:semiHidden="0" w:name="Block Text"/>
    <w:lsdException w:qFormat="1" w:unhideWhenUsed="0" w:uiPriority="0" w:semiHidden="0" w:name="Hyperlink"/>
    <w:lsdException w:qFormat="1" w:unhideWhenUsed="0" w:uiPriority="0" w:semiHidden="0" w:name="FollowedHyperlink"/>
    <w:lsdException w:uiPriority="0" w:name="Strong"/>
    <w:lsdException w:uiPriority="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3"/>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4">
    <w:name w:val="heading 2"/>
    <w:basedOn w:val="1"/>
    <w:next w:val="3"/>
    <w:qFormat/>
    <w:uiPriority w:val="0"/>
    <w:pPr>
      <w:keepNext/>
      <w:keepLines/>
      <w:numPr>
        <w:ilvl w:val="1"/>
        <w:numId w:val="1"/>
      </w:numPr>
      <w:tabs>
        <w:tab w:val="left" w:pos="0"/>
        <w:tab w:val="left" w:pos="360"/>
      </w:tabs>
      <w:adjustRightInd w:val="0"/>
      <w:spacing w:before="160" w:after="160" w:line="160" w:lineRule="atLeast"/>
      <w:ind w:left="851" w:hanging="284"/>
      <w:textAlignment w:val="baseline"/>
      <w:outlineLvl w:val="1"/>
    </w:pPr>
    <w:rPr>
      <w:rFonts w:ascii="黑体" w:eastAsia="黑体"/>
      <w:kern w:val="0"/>
      <w:sz w:val="28"/>
      <w:szCs w:val="20"/>
    </w:rPr>
  </w:style>
  <w:style w:type="paragraph" w:styleId="5">
    <w:name w:val="heading 3"/>
    <w:basedOn w:val="1"/>
    <w:next w:val="3"/>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6">
    <w:name w:val="heading 4"/>
    <w:basedOn w:val="1"/>
    <w:next w:val="1"/>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8">
    <w:name w:val="heading 6"/>
    <w:basedOn w:val="1"/>
    <w:next w:val="1"/>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 w:val="24"/>
      <w:szCs w:val="20"/>
    </w:rPr>
  </w:style>
  <w:style w:type="paragraph" w:styleId="10">
    <w:name w:val="heading 8"/>
    <w:basedOn w:val="1"/>
    <w:next w:val="1"/>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customStyle="1" w:styleId="3">
    <w:name w:val="文档正文"/>
    <w:basedOn w:val="1"/>
    <w:qFormat/>
    <w:uiPriority w:val="0"/>
    <w:pPr>
      <w:adjustRightInd w:val="0"/>
      <w:spacing w:line="480" w:lineRule="atLeast"/>
      <w:ind w:firstLine="567"/>
      <w:textAlignment w:val="baseline"/>
    </w:pPr>
    <w:rPr>
      <w:rFonts w:ascii="仿宋_GB2312" w:eastAsia="仿宋_GB2312"/>
      <w:kern w:val="0"/>
      <w:sz w:val="28"/>
      <w:szCs w:val="20"/>
    </w:rPr>
  </w:style>
  <w:style w:type="paragraph" w:styleId="12">
    <w:name w:val="List 3"/>
    <w:basedOn w:val="1"/>
    <w:qFormat/>
    <w:uiPriority w:val="0"/>
    <w:pPr>
      <w:ind w:left="600" w:leftChars="400" w:hanging="200" w:hangingChars="200"/>
    </w:pPr>
    <w:rPr>
      <w:rFonts w:ascii="Times New Roman" w:hAnsi="Times New Roman"/>
      <w:szCs w:val="20"/>
    </w:rPr>
  </w:style>
  <w:style w:type="paragraph" w:styleId="13">
    <w:name w:val="Normal Indent"/>
    <w:basedOn w:val="1"/>
    <w:link w:val="67"/>
    <w:qFormat/>
    <w:uiPriority w:val="0"/>
    <w:pPr>
      <w:ind w:firstLine="420"/>
    </w:pPr>
    <w:rPr>
      <w:rFonts w:ascii="Times New Roman" w:hAnsi="Times New Roman"/>
      <w:sz w:val="28"/>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annotation text"/>
    <w:basedOn w:val="1"/>
    <w:qFormat/>
    <w:uiPriority w:val="0"/>
    <w:pPr>
      <w:jc w:val="left"/>
    </w:pPr>
  </w:style>
  <w:style w:type="paragraph" w:styleId="16">
    <w:name w:val="Body Text 3"/>
    <w:basedOn w:val="1"/>
    <w:qFormat/>
    <w:uiPriority w:val="0"/>
    <w:pPr>
      <w:spacing w:after="120"/>
    </w:pPr>
    <w:rPr>
      <w:rFonts w:ascii="Times New Roman" w:hAnsi="Times New Roman"/>
      <w:sz w:val="16"/>
      <w:szCs w:val="16"/>
    </w:rPr>
  </w:style>
  <w:style w:type="paragraph" w:styleId="17">
    <w:name w:val="Body Text"/>
    <w:basedOn w:val="1"/>
    <w:next w:val="18"/>
    <w:qFormat/>
    <w:uiPriority w:val="0"/>
    <w:pPr>
      <w:spacing w:line="360" w:lineRule="auto"/>
    </w:pPr>
    <w:rPr>
      <w:rFonts w:ascii="Times New Roman" w:hAnsi="Times New Roman"/>
      <w:sz w:val="24"/>
      <w:szCs w:val="20"/>
    </w:rPr>
  </w:style>
  <w:style w:type="paragraph" w:customStyle="1" w:styleId="18">
    <w:name w:val="Default"/>
    <w:next w:val="19"/>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大标题"/>
    <w:basedOn w:val="1"/>
    <w:next w:val="20"/>
    <w:qFormat/>
    <w:uiPriority w:val="0"/>
    <w:pPr>
      <w:jc w:val="center"/>
    </w:pPr>
    <w:rPr>
      <w:rFonts w:ascii="Arial" w:hAnsi="Arial"/>
      <w:b/>
      <w:sz w:val="28"/>
      <w:szCs w:val="24"/>
    </w:rPr>
  </w:style>
  <w:style w:type="paragraph" w:styleId="20">
    <w:name w:val="Body Text First Indent 2"/>
    <w:basedOn w:val="21"/>
    <w:next w:val="17"/>
    <w:semiHidden/>
    <w:unhideWhenUsed/>
    <w:qFormat/>
    <w:uiPriority w:val="99"/>
    <w:pPr>
      <w:spacing w:after="120"/>
      <w:ind w:left="420" w:leftChars="200" w:firstLine="420" w:firstLineChars="200"/>
    </w:pPr>
    <w:rPr>
      <w:rFonts w:ascii="Calibri"/>
      <w:sz w:val="24"/>
      <w:szCs w:val="22"/>
    </w:rPr>
  </w:style>
  <w:style w:type="paragraph" w:styleId="21">
    <w:name w:val="Body Text Indent"/>
    <w:basedOn w:val="1"/>
    <w:next w:val="17"/>
    <w:qFormat/>
    <w:uiPriority w:val="0"/>
    <w:pPr>
      <w:ind w:firstLine="645"/>
    </w:pPr>
    <w:rPr>
      <w:rFonts w:ascii="宋体"/>
      <w:sz w:val="32"/>
      <w:szCs w:val="20"/>
    </w:rPr>
  </w:style>
  <w:style w:type="paragraph" w:styleId="22">
    <w:name w:val="List 2"/>
    <w:basedOn w:val="1"/>
    <w:qFormat/>
    <w:uiPriority w:val="0"/>
    <w:pPr>
      <w:ind w:left="400" w:leftChars="200" w:hanging="200" w:hangingChars="200"/>
    </w:pPr>
    <w:rPr>
      <w:rFonts w:ascii="Times New Roman" w:hAnsi="Times New Roman"/>
      <w:szCs w:val="20"/>
    </w:rPr>
  </w:style>
  <w:style w:type="paragraph" w:styleId="23">
    <w:name w:val="Block Text"/>
    <w:basedOn w:val="1"/>
    <w:unhideWhenUsed/>
    <w:qFormat/>
    <w:uiPriority w:val="0"/>
    <w:pPr>
      <w:autoSpaceDE w:val="0"/>
      <w:autoSpaceDN w:val="0"/>
      <w:adjustRightInd w:val="0"/>
      <w:spacing w:line="500" w:lineRule="exact"/>
      <w:ind w:left="391" w:right="246"/>
    </w:pPr>
    <w:rPr>
      <w:rFonts w:ascii="仿宋_GB2312" w:hAnsi="Times New Roman" w:eastAsia="仿宋_GB2312"/>
      <w:kern w:val="0"/>
      <w:sz w:val="24"/>
      <w:szCs w:val="24"/>
    </w:rPr>
  </w:style>
  <w:style w:type="paragraph" w:styleId="24">
    <w:name w:val="toc 3"/>
    <w:basedOn w:val="1"/>
    <w:next w:val="1"/>
    <w:qFormat/>
    <w:uiPriority w:val="0"/>
    <w:pPr>
      <w:tabs>
        <w:tab w:val="right" w:leader="dot" w:pos="8776"/>
      </w:tabs>
      <w:spacing w:line="400" w:lineRule="exact"/>
      <w:ind w:left="400" w:leftChars="400" w:firstLine="200" w:firstLineChars="200"/>
    </w:pPr>
    <w:rPr>
      <w:rFonts w:ascii="宋体"/>
      <w:bCs/>
      <w:sz w:val="18"/>
      <w:szCs w:val="18"/>
    </w:rPr>
  </w:style>
  <w:style w:type="paragraph" w:styleId="25">
    <w:name w:val="Plain Text"/>
    <w:basedOn w:val="1"/>
    <w:qFormat/>
    <w:uiPriority w:val="0"/>
    <w:pPr>
      <w:spacing w:line="360" w:lineRule="auto"/>
      <w:ind w:firstLine="200" w:firstLineChars="200"/>
    </w:pPr>
    <w:rPr>
      <w:rFonts w:ascii="宋体" w:hAnsi="宋体" w:eastAsia="仿宋_GB2312" w:cs="Courier New"/>
      <w:sz w:val="24"/>
      <w:szCs w:val="21"/>
    </w:rPr>
  </w:style>
  <w:style w:type="paragraph" w:styleId="26">
    <w:name w:val="Date"/>
    <w:basedOn w:val="1"/>
    <w:next w:val="1"/>
    <w:qFormat/>
    <w:uiPriority w:val="0"/>
    <w:pPr>
      <w:ind w:left="2500" w:leftChars="2500"/>
    </w:pPr>
  </w:style>
  <w:style w:type="paragraph" w:styleId="27">
    <w:name w:val="Body Text Indent 2"/>
    <w:basedOn w:val="1"/>
    <w:qFormat/>
    <w:uiPriority w:val="0"/>
    <w:pPr>
      <w:ind w:firstLine="630"/>
    </w:pPr>
    <w:rPr>
      <w:rFonts w:ascii="宋体"/>
      <w:sz w:val="32"/>
      <w:szCs w:val="20"/>
    </w:rPr>
  </w:style>
  <w:style w:type="paragraph" w:styleId="28">
    <w:name w:val="List Continue 5"/>
    <w:basedOn w:val="1"/>
    <w:qFormat/>
    <w:uiPriority w:val="0"/>
    <w:pPr>
      <w:spacing w:after="120"/>
      <w:ind w:left="1000" w:leftChars="1000"/>
    </w:pPr>
    <w:rPr>
      <w:rFonts w:ascii="Times New Roman" w:hAnsi="Times New Roman"/>
      <w:szCs w:val="20"/>
    </w:rPr>
  </w:style>
  <w:style w:type="paragraph" w:styleId="29">
    <w:name w:val="Balloon Text"/>
    <w:basedOn w:val="1"/>
    <w:qFormat/>
    <w:uiPriority w:val="0"/>
    <w:rPr>
      <w:sz w:val="18"/>
      <w:szCs w:val="18"/>
    </w:rPr>
  </w:style>
  <w:style w:type="paragraph" w:styleId="30">
    <w:name w:val="footer"/>
    <w:basedOn w:val="1"/>
    <w:qFormat/>
    <w:uiPriority w:val="0"/>
    <w:pPr>
      <w:tabs>
        <w:tab w:val="center" w:pos="4153"/>
        <w:tab w:val="right" w:pos="8306"/>
      </w:tabs>
      <w:snapToGrid w:val="0"/>
      <w:jc w:val="left"/>
    </w:pPr>
    <w:rPr>
      <w:kern w:val="0"/>
      <w:sz w:val="18"/>
      <w:szCs w:val="18"/>
    </w:rPr>
  </w:style>
  <w:style w:type="paragraph" w:styleId="31">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qFormat/>
    <w:uiPriority w:val="0"/>
    <w:pPr>
      <w:tabs>
        <w:tab w:val="right" w:leader="dot" w:pos="8776"/>
      </w:tabs>
      <w:spacing w:line="360" w:lineRule="exact"/>
      <w:ind w:firstLine="200" w:firstLineChars="200"/>
    </w:pPr>
    <w:rPr>
      <w:rFonts w:ascii="华文中宋" w:eastAsia="华文中宋"/>
      <w:b/>
      <w:sz w:val="24"/>
      <w:szCs w:val="24"/>
    </w:rPr>
  </w:style>
  <w:style w:type="paragraph" w:styleId="33">
    <w:name w:val="List Continue 4"/>
    <w:basedOn w:val="1"/>
    <w:qFormat/>
    <w:uiPriority w:val="0"/>
    <w:pPr>
      <w:spacing w:after="120"/>
      <w:ind w:left="800" w:leftChars="800"/>
    </w:pPr>
    <w:rPr>
      <w:rFonts w:ascii="Times New Roman" w:hAnsi="Times New Roman"/>
      <w:szCs w:val="20"/>
    </w:rPr>
  </w:style>
  <w:style w:type="paragraph" w:styleId="34">
    <w:name w:val="List"/>
    <w:basedOn w:val="1"/>
    <w:qFormat/>
    <w:uiPriority w:val="0"/>
    <w:pPr>
      <w:ind w:left="200" w:hanging="200" w:hangingChars="200"/>
    </w:pPr>
    <w:rPr>
      <w:rFonts w:ascii="Times New Roman" w:hAnsi="Times New Roman"/>
      <w:szCs w:val="20"/>
    </w:rPr>
  </w:style>
  <w:style w:type="paragraph" w:styleId="35">
    <w:name w:val="footnote text"/>
    <w:basedOn w:val="1"/>
    <w:qFormat/>
    <w:uiPriority w:val="0"/>
    <w:pPr>
      <w:adjustRightInd w:val="0"/>
      <w:spacing w:line="312" w:lineRule="atLeast"/>
      <w:jc w:val="left"/>
    </w:pPr>
    <w:rPr>
      <w:rFonts w:ascii="Times New Roman" w:hAnsi="Times New Roman"/>
      <w:kern w:val="0"/>
      <w:sz w:val="18"/>
      <w:szCs w:val="20"/>
    </w:rPr>
  </w:style>
  <w:style w:type="paragraph" w:styleId="36">
    <w:name w:val="List 5"/>
    <w:basedOn w:val="1"/>
    <w:qFormat/>
    <w:uiPriority w:val="0"/>
    <w:pPr>
      <w:ind w:left="1000" w:leftChars="800" w:hanging="200" w:hangingChars="200"/>
    </w:pPr>
    <w:rPr>
      <w:rFonts w:ascii="Times New Roman" w:hAnsi="Times New Roman"/>
      <w:szCs w:val="20"/>
    </w:rPr>
  </w:style>
  <w:style w:type="paragraph" w:styleId="37">
    <w:name w:val="Body Text Indent 3"/>
    <w:basedOn w:val="1"/>
    <w:qFormat/>
    <w:uiPriority w:val="0"/>
    <w:pPr>
      <w:spacing w:line="360" w:lineRule="auto"/>
      <w:ind w:firstLine="468"/>
    </w:pPr>
    <w:rPr>
      <w:rFonts w:ascii="Times New Roman" w:hAnsi="Times New Roman"/>
      <w:sz w:val="24"/>
      <w:szCs w:val="20"/>
    </w:rPr>
  </w:style>
  <w:style w:type="paragraph" w:styleId="38">
    <w:name w:val="toc 2"/>
    <w:basedOn w:val="1"/>
    <w:next w:val="1"/>
    <w:qFormat/>
    <w:uiPriority w:val="0"/>
    <w:pPr>
      <w:tabs>
        <w:tab w:val="right" w:leader="dot" w:pos="8776"/>
      </w:tabs>
      <w:spacing w:line="360" w:lineRule="auto"/>
      <w:ind w:left="200" w:leftChars="200" w:firstLine="200" w:firstLineChars="200"/>
      <w:jc w:val="distribute"/>
    </w:pPr>
    <w:rPr>
      <w:rFonts w:ascii="华文中宋" w:eastAsia="华文中宋"/>
      <w:sz w:val="24"/>
      <w:szCs w:val="24"/>
    </w:rPr>
  </w:style>
  <w:style w:type="paragraph" w:styleId="39">
    <w:name w:val="Body Text 2"/>
    <w:basedOn w:val="1"/>
    <w:qFormat/>
    <w:uiPriority w:val="0"/>
    <w:pPr>
      <w:spacing w:after="120" w:line="480" w:lineRule="auto"/>
    </w:pPr>
    <w:rPr>
      <w:rFonts w:ascii="Times New Roman" w:hAnsi="Times New Roman"/>
      <w:szCs w:val="20"/>
    </w:rPr>
  </w:style>
  <w:style w:type="paragraph" w:styleId="40">
    <w:name w:val="List 4"/>
    <w:basedOn w:val="1"/>
    <w:qFormat/>
    <w:uiPriority w:val="0"/>
    <w:pPr>
      <w:ind w:left="800" w:leftChars="600" w:hanging="200" w:hangingChars="200"/>
    </w:pPr>
    <w:rPr>
      <w:rFonts w:ascii="Times New Roman" w:hAnsi="Times New Roman"/>
      <w:szCs w:val="20"/>
    </w:rPr>
  </w:style>
  <w:style w:type="paragraph" w:styleId="41">
    <w:name w:val="List Continue 2"/>
    <w:basedOn w:val="1"/>
    <w:qFormat/>
    <w:uiPriority w:val="0"/>
    <w:pPr>
      <w:spacing w:after="120"/>
      <w:ind w:left="400" w:leftChars="400"/>
    </w:pPr>
    <w:rPr>
      <w:rFonts w:ascii="Times New Roman" w:hAnsi="Times New Roman"/>
      <w:szCs w:val="20"/>
    </w:rPr>
  </w:style>
  <w:style w:type="paragraph" w:styleId="42">
    <w:name w:val="Normal (Web)"/>
    <w:basedOn w:val="1"/>
    <w:qFormat/>
    <w:uiPriority w:val="0"/>
    <w:pPr>
      <w:widowControl/>
      <w:spacing w:before="100" w:beforeAutospacing="1" w:after="100" w:afterAutospacing="1"/>
      <w:jc w:val="left"/>
    </w:pPr>
    <w:rPr>
      <w:rFonts w:ascii="宋体"/>
      <w:kern w:val="0"/>
      <w:sz w:val="24"/>
      <w:szCs w:val="24"/>
    </w:rPr>
  </w:style>
  <w:style w:type="paragraph" w:styleId="43">
    <w:name w:val="List Continue 3"/>
    <w:basedOn w:val="1"/>
    <w:qFormat/>
    <w:uiPriority w:val="0"/>
    <w:pPr>
      <w:spacing w:after="120"/>
      <w:ind w:left="600" w:leftChars="600"/>
    </w:pPr>
    <w:rPr>
      <w:rFonts w:ascii="Times New Roman" w:hAnsi="Times New Roman"/>
      <w:szCs w:val="20"/>
    </w:rPr>
  </w:style>
  <w:style w:type="paragraph" w:styleId="44">
    <w:name w:val="annotation subject"/>
    <w:basedOn w:val="15"/>
    <w:next w:val="15"/>
    <w:qFormat/>
    <w:uiPriority w:val="0"/>
    <w:rPr>
      <w:b/>
      <w:bCs/>
    </w:rPr>
  </w:style>
  <w:style w:type="table" w:styleId="46">
    <w:name w:val="Table Grid"/>
    <w:basedOn w:val="45"/>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page number"/>
    <w:basedOn w:val="47"/>
    <w:qFormat/>
    <w:uiPriority w:val="0"/>
  </w:style>
  <w:style w:type="character" w:styleId="49">
    <w:name w:val="FollowedHyperlink"/>
    <w:basedOn w:val="47"/>
    <w:qFormat/>
    <w:uiPriority w:val="0"/>
    <w:rPr>
      <w:color w:val="800080"/>
      <w:u w:val="single"/>
    </w:rPr>
  </w:style>
  <w:style w:type="character" w:styleId="50">
    <w:name w:val="Hyperlink"/>
    <w:basedOn w:val="47"/>
    <w:qFormat/>
    <w:uiPriority w:val="0"/>
    <w:rPr>
      <w:color w:val="0000FF"/>
      <w:u w:val="single"/>
    </w:rPr>
  </w:style>
  <w:style w:type="character" w:styleId="51">
    <w:name w:val="annotation reference"/>
    <w:basedOn w:val="47"/>
    <w:qFormat/>
    <w:uiPriority w:val="0"/>
    <w:rPr>
      <w:sz w:val="21"/>
      <w:szCs w:val="21"/>
    </w:rPr>
  </w:style>
  <w:style w:type="paragraph" w:customStyle="1" w:styleId="52">
    <w:name w:val="正文1"/>
    <w:basedOn w:val="1"/>
    <w:qFormat/>
    <w:uiPriority w:val="0"/>
    <w:pPr>
      <w:ind w:firstLine="200" w:firstLineChars="200"/>
    </w:pPr>
  </w:style>
  <w:style w:type="paragraph" w:customStyle="1" w:styleId="53">
    <w:name w:val="表格"/>
    <w:basedOn w:val="1"/>
    <w:qFormat/>
    <w:uiPriority w:val="0"/>
    <w:pPr>
      <w:adjustRightInd w:val="0"/>
      <w:spacing w:line="400" w:lineRule="atLeast"/>
      <w:textAlignment w:val="baseline"/>
    </w:pPr>
    <w:rPr>
      <w:rFonts w:ascii="仿宋_GB2312" w:eastAsia="仿宋_GB2312"/>
      <w:kern w:val="0"/>
      <w:sz w:val="28"/>
      <w:szCs w:val="20"/>
    </w:rPr>
  </w:style>
  <w:style w:type="paragraph" w:customStyle="1" w:styleId="54">
    <w:name w:val="简单回函地址"/>
    <w:basedOn w:val="1"/>
    <w:qFormat/>
    <w:uiPriority w:val="0"/>
    <w:rPr>
      <w:rFonts w:ascii="Times New Roman" w:hAnsi="Times New Roman"/>
      <w:szCs w:val="20"/>
    </w:rPr>
  </w:style>
  <w:style w:type="paragraph" w:customStyle="1" w:styleId="55">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56">
    <w:name w:val="font5"/>
    <w:basedOn w:val="1"/>
    <w:qFormat/>
    <w:uiPriority w:val="0"/>
    <w:pPr>
      <w:widowControl/>
      <w:spacing w:before="100" w:beforeAutospacing="1" w:after="100" w:afterAutospacing="1" w:line="360" w:lineRule="auto"/>
      <w:ind w:firstLine="200" w:firstLineChars="200"/>
      <w:jc w:val="left"/>
    </w:pPr>
    <w:rPr>
      <w:rFonts w:ascii="宋体" w:hAnsi="宋体" w:eastAsia="仿宋_GB2312" w:cs="Arial Unicode MS"/>
      <w:kern w:val="0"/>
      <w:sz w:val="24"/>
      <w:szCs w:val="24"/>
    </w:rPr>
  </w:style>
  <w:style w:type="paragraph" w:customStyle="1" w:styleId="57">
    <w:name w:val="font6"/>
    <w:basedOn w:val="1"/>
    <w:qFormat/>
    <w:uiPriority w:val="0"/>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58">
    <w:name w:val="font7"/>
    <w:basedOn w:val="1"/>
    <w:qFormat/>
    <w:uiPriority w:val="0"/>
    <w:pPr>
      <w:widowControl/>
      <w:spacing w:before="100" w:beforeAutospacing="1" w:after="100" w:afterAutospacing="1" w:line="360" w:lineRule="auto"/>
      <w:ind w:firstLine="200" w:firstLineChars="200"/>
      <w:jc w:val="left"/>
    </w:pPr>
    <w:rPr>
      <w:rFonts w:ascii="仿宋_GB2312" w:hAnsi="仿宋_GB2312" w:eastAsia="Arial Unicode MS"/>
      <w:kern w:val="0"/>
      <w:sz w:val="24"/>
      <w:szCs w:val="24"/>
    </w:rPr>
  </w:style>
  <w:style w:type="paragraph" w:customStyle="1" w:styleId="5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Arial Unicode MS" w:cs="Arial Unicode MS"/>
      <w:kern w:val="0"/>
      <w:sz w:val="24"/>
      <w:szCs w:val="24"/>
    </w:rPr>
  </w:style>
  <w:style w:type="paragraph" w:customStyle="1" w:styleId="6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Arial Unicode MS" w:cs="Arial Unicode MS"/>
      <w:kern w:val="0"/>
      <w:sz w:val="24"/>
      <w:szCs w:val="24"/>
    </w:rPr>
  </w:style>
  <w:style w:type="paragraph" w:customStyle="1" w:styleId="61">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Arial Unicode MS" w:cs="Arial Unicode MS"/>
      <w:kern w:val="0"/>
      <w:sz w:val="18"/>
      <w:szCs w:val="18"/>
    </w:rPr>
  </w:style>
  <w:style w:type="paragraph" w:customStyle="1" w:styleId="62">
    <w:name w:val="正文内容"/>
    <w:basedOn w:val="1"/>
    <w:qFormat/>
    <w:uiPriority w:val="0"/>
    <w:pPr>
      <w:widowControl/>
      <w:jc w:val="left"/>
    </w:pPr>
    <w:rPr>
      <w:rFonts w:ascii="宋体" w:cs="宋体"/>
      <w:kern w:val="0"/>
      <w:sz w:val="28"/>
      <w:szCs w:val="24"/>
    </w:rPr>
  </w:style>
  <w:style w:type="paragraph" w:customStyle="1" w:styleId="63">
    <w:name w:val="Default Text"/>
    <w:basedOn w:val="1"/>
    <w:qFormat/>
    <w:uiPriority w:val="0"/>
    <w:pPr>
      <w:widowControl/>
      <w:overflowPunct w:val="0"/>
      <w:autoSpaceDE w:val="0"/>
      <w:autoSpaceDN w:val="0"/>
      <w:adjustRightInd w:val="0"/>
      <w:jc w:val="left"/>
      <w:textAlignment w:val="baseline"/>
    </w:pPr>
    <w:rPr>
      <w:rFonts w:ascii="Times New Roman" w:hAnsi="Times New Roman"/>
      <w:kern w:val="0"/>
      <w:sz w:val="24"/>
      <w:szCs w:val="24"/>
    </w:rPr>
  </w:style>
  <w:style w:type="paragraph" w:customStyle="1" w:styleId="64">
    <w:name w:val="_Style 6"/>
    <w:basedOn w:val="1"/>
    <w:qFormat/>
    <w:uiPriority w:val="0"/>
    <w:pPr>
      <w:adjustRightInd w:val="0"/>
      <w:spacing w:line="360" w:lineRule="atLeast"/>
    </w:pPr>
    <w:rPr>
      <w:rFonts w:ascii="Times New Roman" w:hAnsi="Times New Roman"/>
      <w:szCs w:val="24"/>
    </w:rPr>
  </w:style>
  <w:style w:type="paragraph" w:customStyle="1" w:styleId="65">
    <w:name w:val="p0"/>
    <w:basedOn w:val="1"/>
    <w:qFormat/>
    <w:uiPriority w:val="0"/>
    <w:pPr>
      <w:widowControl/>
    </w:pPr>
    <w:rPr>
      <w:rFonts w:ascii="Times New Roman" w:hAnsi="Times New Roman"/>
      <w:kern w:val="0"/>
      <w:szCs w:val="21"/>
    </w:rPr>
  </w:style>
  <w:style w:type="character" w:customStyle="1" w:styleId="66">
    <w:name w:val="1051"/>
    <w:basedOn w:val="47"/>
    <w:qFormat/>
    <w:uiPriority w:val="0"/>
    <w:rPr>
      <w:sz w:val="21"/>
      <w:szCs w:val="21"/>
    </w:rPr>
  </w:style>
  <w:style w:type="character" w:customStyle="1" w:styleId="67">
    <w:name w:val="正文缩进 Char"/>
    <w:link w:val="13"/>
    <w:qFormat/>
    <w:uiPriority w:val="0"/>
    <w:rPr>
      <w:kern w:val="2"/>
      <w:sz w:val="28"/>
    </w:rPr>
  </w:style>
  <w:style w:type="paragraph" w:customStyle="1" w:styleId="68">
    <w:name w:val="无间隔1"/>
    <w:basedOn w:val="1"/>
    <w:qFormat/>
    <w:uiPriority w:val="1"/>
    <w:pPr>
      <w:spacing w:line="400" w:lineRule="exact"/>
    </w:pPr>
  </w:style>
  <w:style w:type="paragraph" w:customStyle="1" w:styleId="69">
    <w:name w:val="Table Paragraph"/>
    <w:basedOn w:val="1"/>
    <w:qFormat/>
    <w:uiPriority w:val="1"/>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33</Pages>
  <Words>13917</Words>
  <Characters>14555</Characters>
  <Lines>170</Lines>
  <Paragraphs>47</Paragraphs>
  <TotalTime>77</TotalTime>
  <ScaleCrop>false</ScaleCrop>
  <LinksUpToDate>false</LinksUpToDate>
  <CharactersWithSpaces>14791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2017-11-08T06:36:00Z</dcterms:created>
  <dc:creator>张鹏飞</dc:creator>
  <cp:lastModifiedBy>ff</cp:lastModifiedBy>
  <cp:lastPrinted>2019-10-18T07:37:00Z</cp:lastPrinted>
  <dcterms:modified xsi:type="dcterms:W3CDTF">2024-11-28T02:58:16Z</dcterms:modified>
  <dc:title>洛</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EE136A429A0442CB9805793FF17B2F44_13</vt:lpwstr>
  </property>
</Properties>
</file>