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1135" w:firstLineChars="245"/>
        <w:rPr>
          <w:rFonts w:ascii="宋体" w:hAnsi="宋体"/>
          <w:b/>
          <w:bCs/>
          <w:sz w:val="48"/>
          <w:szCs w:val="28"/>
        </w:rPr>
      </w:pPr>
    </w:p>
    <w:p>
      <w:pPr>
        <w:spacing w:line="580" w:lineRule="exact"/>
        <w:ind w:firstLine="1135" w:firstLineChars="245"/>
        <w:rPr>
          <w:rFonts w:ascii="宋体" w:hAnsi="宋体"/>
          <w:b/>
          <w:bCs/>
          <w:sz w:val="48"/>
          <w:szCs w:val="28"/>
        </w:rPr>
      </w:pPr>
    </w:p>
    <w:p>
      <w:pPr>
        <w:spacing w:line="360" w:lineRule="auto"/>
        <w:ind w:firstLine="1852" w:firstLineChars="400"/>
        <w:rPr>
          <w:rFonts w:ascii="宋体" w:hAnsi="宋体" w:cs="宋体"/>
          <w:b/>
          <w:sz w:val="52"/>
          <w:szCs w:val="52"/>
        </w:rPr>
      </w:pPr>
      <w:r>
        <w:rPr>
          <w:rFonts w:hint="eastAsia" w:ascii="宋体" w:hAnsi="宋体"/>
          <w:b/>
          <w:bCs/>
          <w:sz w:val="48"/>
          <w:szCs w:val="28"/>
        </w:rPr>
        <w:t xml:space="preserve">   </w:t>
      </w:r>
      <w:r>
        <w:rPr>
          <w:rFonts w:ascii="宋体" w:hAnsi="宋体"/>
          <w:b/>
          <w:bCs/>
          <w:sz w:val="48"/>
          <w:szCs w:val="28"/>
        </w:rPr>
        <w:t xml:space="preserve">    </w:t>
      </w:r>
    </w:p>
    <w:p>
      <w:pPr>
        <w:spacing w:line="360" w:lineRule="auto"/>
        <w:ind w:firstLine="0" w:firstLineChars="0"/>
        <w:rPr>
          <w:rFonts w:ascii="宋体" w:hAnsi="宋体" w:cs="宋体"/>
          <w:b/>
          <w:sz w:val="52"/>
          <w:szCs w:val="52"/>
        </w:rPr>
      </w:pPr>
      <w:r>
        <w:rPr>
          <w:rFonts w:hint="eastAsia" w:ascii="宋体" w:hAnsi="宋体" w:cs="宋体"/>
          <w:b/>
          <w:sz w:val="52"/>
          <w:szCs w:val="52"/>
        </w:rPr>
        <w:t>开元壹号62地块</w:t>
      </w:r>
      <w:r>
        <w:rPr>
          <w:rFonts w:hint="eastAsia" w:ascii="宋体" w:hAnsi="宋体" w:cs="宋体"/>
          <w:b/>
          <w:sz w:val="52"/>
          <w:szCs w:val="52"/>
          <w:lang w:eastAsia="zh-CN"/>
        </w:rPr>
        <w:t>50#公寓楼</w:t>
      </w:r>
      <w:r>
        <w:rPr>
          <w:rFonts w:hint="eastAsia" w:ascii="宋体" w:hAnsi="宋体" w:cs="宋体"/>
          <w:b/>
          <w:sz w:val="52"/>
          <w:szCs w:val="52"/>
        </w:rPr>
        <w:t xml:space="preserve">开关插座面板      </w:t>
      </w:r>
    </w:p>
    <w:p>
      <w:pPr>
        <w:spacing w:line="360" w:lineRule="auto"/>
        <w:rPr>
          <w:rFonts w:ascii="宋体" w:hAnsi="宋体" w:cs="宋体"/>
          <w:b/>
          <w:sz w:val="52"/>
          <w:szCs w:val="52"/>
        </w:rPr>
      </w:pPr>
      <w:r>
        <w:rPr>
          <w:rFonts w:hint="eastAsia" w:ascii="宋体" w:hAnsi="宋体" w:cs="宋体"/>
          <w:b/>
          <w:sz w:val="52"/>
          <w:szCs w:val="52"/>
        </w:rPr>
        <w:t xml:space="preserve">               </w:t>
      </w:r>
      <w:r>
        <w:rPr>
          <w:rFonts w:ascii="宋体" w:hAnsi="宋体" w:cs="宋体"/>
          <w:b/>
          <w:sz w:val="52"/>
          <w:szCs w:val="52"/>
        </w:rPr>
        <w:t xml:space="preserve"> </w:t>
      </w:r>
      <w:r>
        <w:rPr>
          <w:rFonts w:hint="eastAsia" w:ascii="宋体" w:hAnsi="宋体" w:cs="宋体"/>
          <w:b/>
          <w:sz w:val="52"/>
          <w:szCs w:val="52"/>
        </w:rPr>
        <w:t>供货合同</w:t>
      </w:r>
    </w:p>
    <w:p>
      <w:pPr>
        <w:spacing w:line="360" w:lineRule="auto"/>
        <w:jc w:val="center"/>
        <w:rPr>
          <w:rFonts w:ascii="宋体" w:hAnsi="宋体" w:cs="宋体"/>
          <w:b/>
          <w:sz w:val="52"/>
          <w:szCs w:val="52"/>
        </w:rPr>
      </w:pPr>
    </w:p>
    <w:p>
      <w:pPr>
        <w:rPr>
          <w:rFonts w:ascii="宋体" w:hAnsi="宋体" w:cs="宋体"/>
          <w:b/>
          <w:sz w:val="32"/>
          <w:szCs w:val="32"/>
        </w:rPr>
      </w:pPr>
      <w:r>
        <w:rPr>
          <w:rFonts w:hint="eastAsia" w:ascii="宋体" w:hAnsi="宋体" w:cs="宋体"/>
          <w:b/>
          <w:sz w:val="32"/>
          <w:szCs w:val="32"/>
        </w:rPr>
        <w:t xml:space="preserve">      </w:t>
      </w:r>
    </w:p>
    <w:p>
      <w:pPr>
        <w:rPr>
          <w:rFonts w:ascii="宋体" w:hAnsi="宋体" w:cs="宋体"/>
          <w:b/>
          <w:sz w:val="32"/>
          <w:szCs w:val="32"/>
        </w:rPr>
      </w:pPr>
    </w:p>
    <w:p>
      <w:pPr>
        <w:rPr>
          <w:rFonts w:ascii="宋体" w:hAnsi="宋体" w:cs="宋体"/>
          <w:b/>
          <w:sz w:val="32"/>
          <w:szCs w:val="32"/>
        </w:rPr>
      </w:pPr>
    </w:p>
    <w:p>
      <w:pPr>
        <w:rPr>
          <w:rFonts w:ascii="宋体" w:hAnsi="宋体" w:cs="宋体"/>
          <w:b/>
          <w:sz w:val="32"/>
          <w:szCs w:val="32"/>
        </w:rPr>
      </w:pPr>
      <w:r>
        <w:rPr>
          <w:rFonts w:hint="eastAsia" w:ascii="宋体" w:hAnsi="宋体" w:cs="宋体"/>
          <w:b/>
          <w:sz w:val="32"/>
          <w:szCs w:val="32"/>
        </w:rPr>
        <w:t xml:space="preserve">            成本代码：3.2.1.2</w:t>
      </w:r>
    </w:p>
    <w:p>
      <w:pPr>
        <w:rPr>
          <w:rFonts w:hint="eastAsia" w:ascii="宋体" w:hAnsi="宋体" w:eastAsia="宋体" w:cs="宋体"/>
          <w:b/>
          <w:sz w:val="32"/>
          <w:szCs w:val="32"/>
          <w:lang w:eastAsia="zh-CN"/>
        </w:rPr>
      </w:pPr>
      <w:r>
        <w:rPr>
          <w:rFonts w:hint="eastAsia" w:ascii="宋体" w:hAnsi="宋体" w:cs="宋体"/>
          <w:b/>
          <w:sz w:val="32"/>
          <w:szCs w:val="32"/>
        </w:rPr>
        <w:t xml:space="preserve">            合同编号：KYYH.62-JA-</w:t>
      </w:r>
      <w:r>
        <w:rPr>
          <w:rFonts w:hint="eastAsia" w:ascii="宋体" w:hAnsi="宋体" w:cs="宋体"/>
          <w:b/>
          <w:sz w:val="32"/>
          <w:szCs w:val="32"/>
          <w:lang w:val="en-US" w:eastAsia="zh-CN"/>
        </w:rPr>
        <w:t xml:space="preserve">195 </w:t>
      </w:r>
    </w:p>
    <w:p>
      <w:pPr>
        <w:ind w:firstLine="909" w:firstLineChars="300"/>
        <w:rPr>
          <w:rFonts w:ascii="宋体" w:hAnsi="宋体" w:cs="宋体"/>
          <w:b/>
          <w:sz w:val="32"/>
          <w:szCs w:val="32"/>
        </w:rPr>
      </w:pPr>
      <w:r>
        <w:rPr>
          <w:rFonts w:hint="eastAsia" w:ascii="宋体" w:hAnsi="宋体" w:cs="宋体"/>
          <w:b/>
          <w:sz w:val="32"/>
          <w:szCs w:val="32"/>
        </w:rPr>
        <w:t xml:space="preserve">      </w:t>
      </w:r>
    </w:p>
    <w:p>
      <w:pPr>
        <w:ind w:firstLine="1818" w:firstLineChars="600"/>
        <w:rPr>
          <w:rFonts w:ascii="宋体" w:hAnsi="宋体" w:cs="宋体"/>
          <w:b/>
          <w:sz w:val="32"/>
          <w:szCs w:val="32"/>
        </w:rPr>
      </w:pPr>
    </w:p>
    <w:p>
      <w:pPr>
        <w:ind w:firstLine="1818" w:firstLineChars="600"/>
        <w:rPr>
          <w:rFonts w:ascii="宋体" w:hAnsi="宋体" w:cs="宋体"/>
          <w:b/>
          <w:sz w:val="32"/>
          <w:szCs w:val="32"/>
        </w:rPr>
      </w:pPr>
    </w:p>
    <w:p>
      <w:pPr>
        <w:ind w:firstLine="1818" w:firstLineChars="600"/>
        <w:rPr>
          <w:rFonts w:ascii="宋体" w:hAnsi="宋体" w:cs="宋体"/>
          <w:b/>
          <w:sz w:val="32"/>
          <w:szCs w:val="32"/>
        </w:rPr>
      </w:pPr>
      <w:r>
        <w:rPr>
          <w:rFonts w:hint="eastAsia" w:ascii="宋体" w:hAnsi="宋体" w:cs="宋体"/>
          <w:b/>
          <w:sz w:val="32"/>
          <w:szCs w:val="32"/>
        </w:rPr>
        <w:t xml:space="preserve">甲    方: 洛阳浩德鑫置地有限公司           </w:t>
      </w:r>
    </w:p>
    <w:p>
      <w:pPr>
        <w:ind w:firstLine="909" w:firstLineChars="300"/>
        <w:rPr>
          <w:rFonts w:ascii="宋体" w:hAnsi="宋体" w:cs="宋体"/>
          <w:b/>
          <w:sz w:val="32"/>
          <w:szCs w:val="32"/>
        </w:rPr>
      </w:pPr>
      <w:r>
        <w:rPr>
          <w:rFonts w:hint="eastAsia" w:ascii="宋体" w:hAnsi="宋体" w:cs="宋体"/>
          <w:b/>
          <w:sz w:val="32"/>
          <w:szCs w:val="32"/>
        </w:rPr>
        <w:t xml:space="preserve">      乙    方: </w:t>
      </w:r>
      <w:r>
        <w:rPr>
          <w:rFonts w:hint="eastAsia" w:ascii="宋体" w:hAnsi="宋体" w:cs="宋体"/>
          <w:b/>
          <w:sz w:val="32"/>
          <w:szCs w:val="32"/>
          <w:lang w:eastAsia="zh-CN"/>
        </w:rPr>
        <w:t>洛阳铭一电器设备有限公司</w:t>
      </w:r>
      <w:r>
        <w:rPr>
          <w:rFonts w:hint="eastAsia" w:ascii="宋体" w:hAnsi="宋体" w:cs="宋体"/>
          <w:b/>
          <w:sz w:val="32"/>
          <w:szCs w:val="32"/>
        </w:rPr>
        <w:t xml:space="preserve">  </w:t>
      </w:r>
    </w:p>
    <w:p>
      <w:pPr>
        <w:ind w:firstLine="1818" w:firstLineChars="600"/>
        <w:rPr>
          <w:rFonts w:ascii="宋体" w:hAnsi="宋体" w:cs="宋体"/>
          <w:b/>
          <w:sz w:val="32"/>
          <w:szCs w:val="32"/>
        </w:rPr>
        <w:sectPr>
          <w:headerReference r:id="rId3" w:type="default"/>
          <w:footerReference r:id="rId4" w:type="default"/>
          <w:footerReference r:id="rId5" w:type="even"/>
          <w:pgSz w:w="11906" w:h="16838"/>
          <w:pgMar w:top="1440" w:right="1080" w:bottom="1440" w:left="1080" w:header="851" w:footer="992" w:gutter="0"/>
          <w:cols w:space="720" w:num="1"/>
          <w:docGrid w:type="linesAndChars" w:linePitch="312" w:charSpace="-3486"/>
        </w:sectPr>
      </w:pPr>
      <w:r>
        <w:rPr>
          <w:rFonts w:hint="eastAsia" w:ascii="宋体" w:hAnsi="宋体" w:cs="宋体"/>
          <w:b/>
          <w:sz w:val="32"/>
          <w:szCs w:val="32"/>
        </w:rPr>
        <w:t xml:space="preserve">签订日期: </w:t>
      </w:r>
      <w:r>
        <w:rPr>
          <w:rFonts w:hint="eastAsia" w:ascii="宋体" w:hAnsi="宋体" w:cs="宋体"/>
          <w:b/>
          <w:sz w:val="32"/>
          <w:szCs w:val="32"/>
          <w:lang w:eastAsia="zh-CN"/>
        </w:rPr>
        <w:t>2024年</w:t>
      </w:r>
      <w:r>
        <w:rPr>
          <w:rFonts w:hint="eastAsia" w:ascii="宋体" w:hAnsi="宋体" w:cs="宋体"/>
          <w:b/>
          <w:sz w:val="32"/>
          <w:szCs w:val="32"/>
          <w:u w:val="single"/>
          <w:lang w:val="en-US" w:eastAsia="zh-CN"/>
        </w:rPr>
        <w:t>11</w:t>
      </w:r>
      <w:r>
        <w:rPr>
          <w:rFonts w:hint="eastAsia" w:ascii="宋体" w:hAnsi="宋体" w:cs="宋体"/>
          <w:b/>
          <w:sz w:val="32"/>
          <w:szCs w:val="32"/>
        </w:rPr>
        <w:t>月</w:t>
      </w:r>
      <w:r>
        <w:rPr>
          <w:rFonts w:hint="eastAsia" w:ascii="宋体" w:hAnsi="宋体" w:cs="宋体"/>
          <w:b/>
          <w:sz w:val="32"/>
          <w:szCs w:val="32"/>
          <w:u w:val="single"/>
          <w:lang w:val="en-US" w:eastAsia="zh-CN"/>
        </w:rPr>
        <w:t>30</w:t>
      </w:r>
      <w:r>
        <w:rPr>
          <w:rFonts w:hint="eastAsia" w:ascii="宋体" w:hAnsi="宋体" w:cs="宋体"/>
          <w:b/>
          <w:sz w:val="32"/>
          <w:szCs w:val="32"/>
        </w:rPr>
        <w:t>日</w:t>
      </w:r>
    </w:p>
    <w:p>
      <w:pPr>
        <w:spacing w:line="360" w:lineRule="auto"/>
        <w:jc w:val="center"/>
        <w:rPr>
          <w:rFonts w:ascii="宋体" w:hAnsi="宋体" w:cs="宋体"/>
          <w:sz w:val="24"/>
        </w:rPr>
      </w:pPr>
      <w:r>
        <w:rPr>
          <w:rFonts w:hint="eastAsia" w:ascii="宋体" w:hAnsi="宋体" w:cs="宋体"/>
          <w:b/>
          <w:sz w:val="36"/>
          <w:szCs w:val="36"/>
        </w:rPr>
        <w:t>开元壹号62地块</w:t>
      </w:r>
      <w:r>
        <w:rPr>
          <w:rFonts w:hint="eastAsia" w:ascii="宋体" w:hAnsi="宋体" w:cs="宋体"/>
          <w:b/>
          <w:sz w:val="36"/>
          <w:szCs w:val="36"/>
          <w:lang w:eastAsia="zh-CN"/>
        </w:rPr>
        <w:t>50#公寓楼</w:t>
      </w:r>
      <w:r>
        <w:rPr>
          <w:rFonts w:hint="eastAsia" w:ascii="宋体" w:hAnsi="宋体" w:cs="宋体"/>
          <w:b/>
          <w:sz w:val="36"/>
          <w:szCs w:val="36"/>
        </w:rPr>
        <w:t>开关插座面板供货合同</w:t>
      </w:r>
    </w:p>
    <w:p>
      <w:pPr>
        <w:spacing w:line="360" w:lineRule="auto"/>
        <w:jc w:val="left"/>
        <w:rPr>
          <w:rFonts w:hint="eastAsia" w:ascii="宋体" w:hAnsi="宋体" w:eastAsia="宋体" w:cs="宋体"/>
          <w:sz w:val="24"/>
          <w:szCs w:val="24"/>
        </w:rPr>
      </w:pPr>
      <w:r>
        <w:rPr>
          <w:rFonts w:hint="eastAsia" w:ascii="宋体" w:hAnsi="宋体" w:eastAsia="宋体" w:cs="宋体"/>
          <w:spacing w:val="-2"/>
          <w:sz w:val="24"/>
          <w:szCs w:val="24"/>
        </w:rPr>
        <w:t>甲方（需方）：</w:t>
      </w:r>
      <w:r>
        <w:rPr>
          <w:rFonts w:hint="eastAsia" w:ascii="宋体" w:hAnsi="宋体" w:eastAsia="宋体" w:cs="宋体"/>
          <w:spacing w:val="-2"/>
          <w:sz w:val="24"/>
          <w:szCs w:val="24"/>
          <w:u w:val="single"/>
        </w:rPr>
        <w:t>洛阳浩德鑫置地有限公司</w:t>
      </w:r>
    </w:p>
    <w:p>
      <w:pPr>
        <w:tabs>
          <w:tab w:val="left" w:pos="840"/>
        </w:tabs>
        <w:snapToGrid w:val="0"/>
        <w:spacing w:line="360" w:lineRule="auto"/>
        <w:rPr>
          <w:rFonts w:hint="eastAsia" w:ascii="宋体" w:hAnsi="宋体" w:eastAsia="宋体" w:cs="宋体"/>
          <w:spacing w:val="-1"/>
          <w:sz w:val="24"/>
          <w:szCs w:val="24"/>
          <w:u w:val="single"/>
          <w:lang w:eastAsia="zh-CN"/>
        </w:rPr>
      </w:pPr>
      <w:r>
        <w:rPr>
          <w:rFonts w:hint="eastAsia" w:ascii="宋体" w:hAnsi="宋体" w:eastAsia="宋体" w:cs="宋体"/>
          <w:spacing w:val="-1"/>
          <w:sz w:val="24"/>
          <w:szCs w:val="24"/>
        </w:rPr>
        <w:t>乙方（供方）：</w:t>
      </w:r>
      <w:r>
        <w:rPr>
          <w:rFonts w:hint="eastAsia" w:ascii="宋体" w:hAnsi="宋体" w:cs="宋体"/>
          <w:bCs/>
          <w:sz w:val="24"/>
          <w:szCs w:val="24"/>
          <w:u w:val="single"/>
          <w:lang w:eastAsia="zh-CN"/>
        </w:rPr>
        <w:t>洛阳铭一电器设备有限公司</w:t>
      </w:r>
    </w:p>
    <w:p>
      <w:pPr>
        <w:spacing w:line="360" w:lineRule="auto"/>
        <w:ind w:firstLine="446" w:firstLineChars="200"/>
        <w:rPr>
          <w:rFonts w:hint="eastAsia" w:ascii="宋体" w:hAnsi="宋体" w:eastAsia="宋体" w:cs="宋体"/>
          <w:sz w:val="24"/>
          <w:szCs w:val="24"/>
        </w:rPr>
      </w:pPr>
      <w:r>
        <w:rPr>
          <w:rFonts w:hint="eastAsia" w:ascii="宋体" w:hAnsi="宋体" w:eastAsia="宋体" w:cs="宋体"/>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rPr>
          <w:rFonts w:ascii="宋体" w:hAnsi="宋体" w:cs="宋体"/>
          <w:sz w:val="24"/>
          <w:szCs w:val="24"/>
        </w:rPr>
      </w:pPr>
      <w:r>
        <w:rPr>
          <w:rFonts w:hint="eastAsia" w:ascii="宋体" w:hAnsi="宋体" w:cs="宋体"/>
          <w:b/>
          <w:bCs/>
          <w:sz w:val="24"/>
          <w:szCs w:val="24"/>
        </w:rPr>
        <w:t>一、材料名称、规格、品牌、数量、金额</w:t>
      </w:r>
    </w:p>
    <w:p>
      <w:pPr>
        <w:spacing w:line="360" w:lineRule="auto"/>
        <w:ind w:firstLine="494" w:firstLineChars="200"/>
        <w:jc w:val="left"/>
        <w:rPr>
          <w:rFonts w:hint="eastAsia" w:ascii="宋体" w:hAnsi="宋体" w:eastAsia="宋体" w:cs="宋体"/>
          <w:snapToGrid w:val="0"/>
          <w:kern w:val="0"/>
          <w:sz w:val="24"/>
          <w:szCs w:val="24"/>
        </w:rPr>
      </w:pPr>
      <w:r>
        <w:rPr>
          <w:rFonts w:hint="eastAsia" w:ascii="宋体" w:hAnsi="宋体" w:eastAsia="宋体" w:cs="宋体"/>
          <w:spacing w:val="12"/>
          <w:kern w:val="1"/>
          <w:sz w:val="24"/>
          <w:szCs w:val="24"/>
        </w:rPr>
        <w:t>工程范围：开元壹号62地块</w:t>
      </w:r>
      <w:r>
        <w:rPr>
          <w:rFonts w:hint="eastAsia" w:ascii="宋体" w:hAnsi="宋体" w:eastAsia="宋体" w:cs="宋体"/>
          <w:spacing w:val="12"/>
          <w:kern w:val="1"/>
          <w:sz w:val="24"/>
          <w:szCs w:val="24"/>
          <w:lang w:eastAsia="zh-CN"/>
        </w:rPr>
        <w:t>50#公寓楼</w:t>
      </w:r>
      <w:r>
        <w:rPr>
          <w:rFonts w:hint="eastAsia" w:ascii="宋体" w:hAnsi="宋体" w:eastAsia="宋体" w:cs="宋体"/>
          <w:spacing w:val="12"/>
          <w:kern w:val="1"/>
          <w:sz w:val="24"/>
          <w:szCs w:val="24"/>
        </w:rPr>
        <w:t>开关插座面板供货</w:t>
      </w:r>
      <w:r>
        <w:rPr>
          <w:rFonts w:hint="eastAsia" w:ascii="宋体" w:hAnsi="宋体" w:eastAsia="宋体" w:cs="宋体"/>
          <w:snapToGrid w:val="0"/>
          <w:kern w:val="0"/>
          <w:sz w:val="24"/>
          <w:szCs w:val="24"/>
        </w:rPr>
        <w:t>合同清单量</w:t>
      </w:r>
      <w:r>
        <w:rPr>
          <w:rFonts w:hint="eastAsia" w:ascii="宋体" w:hAnsi="宋体" w:cs="宋体"/>
          <w:snapToGrid w:val="0"/>
          <w:kern w:val="0"/>
          <w:sz w:val="24"/>
          <w:szCs w:val="24"/>
          <w:lang w:eastAsia="zh-CN"/>
        </w:rPr>
        <w:t>，</w:t>
      </w:r>
      <w:r>
        <w:rPr>
          <w:rFonts w:hint="eastAsia" w:ascii="宋体" w:hAnsi="宋体" w:eastAsia="宋体" w:cs="宋体"/>
          <w:sz w:val="24"/>
          <w:szCs w:val="24"/>
        </w:rPr>
        <w:t>附件一《工程量清单计价表》</w:t>
      </w:r>
      <w:r>
        <w:rPr>
          <w:rFonts w:hint="eastAsia" w:ascii="宋体" w:hAnsi="宋体" w:eastAsia="宋体" w:cs="宋体"/>
          <w:snapToGrid w:val="0"/>
          <w:kern w:val="0"/>
          <w:sz w:val="24"/>
          <w:szCs w:val="24"/>
        </w:rPr>
        <w:t>为暂定量，</w:t>
      </w:r>
      <w:r>
        <w:rPr>
          <w:rFonts w:hint="eastAsia" w:ascii="宋体" w:hAnsi="宋体" w:eastAsia="宋体" w:cs="宋体"/>
          <w:sz w:val="24"/>
          <w:szCs w:val="24"/>
        </w:rPr>
        <w:t>最终以甲方通知并验收合格的量为准</w:t>
      </w:r>
      <w:r>
        <w:rPr>
          <w:rFonts w:hint="eastAsia" w:ascii="宋体" w:hAnsi="宋体" w:cs="宋体"/>
          <w:sz w:val="24"/>
          <w:szCs w:val="24"/>
          <w:lang w:eastAsia="zh-CN"/>
        </w:rPr>
        <w:t>。</w:t>
      </w:r>
      <w:r>
        <w:rPr>
          <w:rFonts w:hint="eastAsia" w:ascii="宋体" w:hAnsi="宋体" w:eastAsia="宋体" w:cs="宋体"/>
          <w:snapToGrid w:val="0"/>
          <w:kern w:val="0"/>
          <w:sz w:val="24"/>
          <w:szCs w:val="24"/>
        </w:rPr>
        <w:t>乙方每次供货前需向甲方书面确认，按施工方每次申报的规格型号、数量并经甲方工程部确认后的书面确认单进行安排供货。</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二、合同价款</w:t>
      </w:r>
    </w:p>
    <w:p>
      <w:pPr>
        <w:kinsoku w:val="0"/>
        <w:overflowPunct w:val="0"/>
        <w:autoSpaceDE w:val="0"/>
        <w:autoSpaceDN w:val="0"/>
        <w:spacing w:line="360" w:lineRule="auto"/>
        <w:ind w:firstLine="446" w:firstLineChars="200"/>
        <w:rPr>
          <w:rFonts w:hint="eastAsia" w:ascii="宋体" w:hAnsi="宋体" w:eastAsia="宋体" w:cs="宋体"/>
          <w:sz w:val="24"/>
          <w:szCs w:val="24"/>
        </w:rPr>
      </w:pPr>
      <w:r>
        <w:rPr>
          <w:rFonts w:hint="eastAsia" w:ascii="宋体" w:hAnsi="宋体" w:eastAsia="宋体" w:cs="宋体"/>
          <w:sz w:val="24"/>
          <w:szCs w:val="24"/>
        </w:rPr>
        <w:t>本合同为固定单价合同，暂定总价</w:t>
      </w:r>
      <w:r>
        <w:rPr>
          <w:rFonts w:hint="eastAsia" w:ascii="宋体" w:hAnsi="宋体" w:eastAsia="宋体" w:cs="宋体"/>
          <w:position w:val="-2"/>
          <w:sz w:val="24"/>
          <w:szCs w:val="24"/>
        </w:rPr>
        <w:t>为人民币金额（大写</w:t>
      </w:r>
      <w:r>
        <w:rPr>
          <w:rFonts w:hint="eastAsia" w:ascii="宋体" w:hAnsi="宋体" w:eastAsia="宋体" w:cs="宋体"/>
          <w:sz w:val="24"/>
          <w:szCs w:val="24"/>
        </w:rPr>
        <w:t>）</w:t>
      </w:r>
      <w:r>
        <w:rPr>
          <w:rFonts w:hint="eastAsia" w:ascii="宋体" w:hAnsi="宋体" w:cs="宋体"/>
          <w:b/>
          <w:bCs/>
          <w:sz w:val="24"/>
          <w:szCs w:val="24"/>
          <w:u w:val="single"/>
          <w:lang w:val="en-US" w:eastAsia="zh-CN"/>
        </w:rPr>
        <w:t>贰万柒仟肆佰肆拾元整</w:t>
      </w:r>
      <w:r>
        <w:rPr>
          <w:rFonts w:hint="eastAsia" w:ascii="宋体" w:hAnsi="宋体" w:eastAsia="宋体" w:cs="宋体"/>
          <w:position w:val="-2"/>
          <w:sz w:val="24"/>
          <w:szCs w:val="24"/>
        </w:rPr>
        <w:t>（以下简称“合同总价”，人民币小写</w:t>
      </w:r>
      <w:r>
        <w:rPr>
          <w:rFonts w:hint="eastAsia" w:ascii="宋体" w:hAnsi="宋体" w:eastAsia="宋体" w:cs="宋体"/>
          <w:sz w:val="24"/>
          <w:szCs w:val="24"/>
        </w:rPr>
        <w:t>：</w:t>
      </w:r>
      <w:r>
        <w:rPr>
          <w:rFonts w:hint="eastAsia" w:ascii="宋体" w:hAnsi="宋体" w:cs="宋体"/>
          <w:b/>
          <w:sz w:val="24"/>
          <w:szCs w:val="24"/>
          <w:u w:val="single"/>
          <w:lang w:val="en-US" w:eastAsia="zh-CN"/>
        </w:rPr>
        <w:t>27440</w:t>
      </w:r>
      <w:r>
        <w:rPr>
          <w:rFonts w:hint="eastAsia" w:ascii="宋体" w:hAnsi="宋体" w:eastAsia="宋体" w:cs="宋体"/>
          <w:sz w:val="24"/>
          <w:szCs w:val="24"/>
        </w:rPr>
        <w:t>元），上述金额为含税价格。其中，不含税金额为人民币金额人民币小写：</w:t>
      </w:r>
      <w:r>
        <w:rPr>
          <w:rFonts w:hint="eastAsia" w:ascii="宋体" w:hAnsi="宋体" w:cs="宋体"/>
          <w:b/>
          <w:sz w:val="24"/>
          <w:szCs w:val="24"/>
          <w:u w:val="single"/>
          <w:lang w:val="en-US" w:eastAsia="zh-CN"/>
        </w:rPr>
        <w:t>24283.1</w:t>
      </w:r>
      <w:ins w:id="0" w:author="飞飞" w:date="2024-12-05T15:11:21Z">
        <w:r>
          <w:rPr>
            <w:rFonts w:hint="eastAsia" w:ascii="宋体" w:hAnsi="宋体" w:cs="宋体"/>
            <w:b/>
            <w:sz w:val="24"/>
            <w:szCs w:val="24"/>
            <w:u w:val="single"/>
            <w:lang w:val="en-US" w:eastAsia="zh-CN"/>
          </w:rPr>
          <w:t>9</w:t>
        </w:r>
      </w:ins>
      <w:bookmarkStart w:id="0" w:name="_GoBack"/>
      <w:bookmarkEnd w:id="0"/>
      <w:r>
        <w:rPr>
          <w:rFonts w:hint="eastAsia" w:ascii="宋体" w:hAnsi="宋体" w:eastAsia="宋体" w:cs="宋体"/>
          <w:sz w:val="24"/>
          <w:szCs w:val="24"/>
        </w:rPr>
        <w:t>元，增值税率为【</w:t>
      </w:r>
      <w:r>
        <w:rPr>
          <w:rFonts w:hint="eastAsia" w:ascii="宋体" w:hAnsi="宋体" w:cs="宋体"/>
          <w:sz w:val="24"/>
          <w:szCs w:val="24"/>
          <w:lang w:val="en-US" w:eastAsia="zh-CN"/>
        </w:rPr>
        <w:t>13</w:t>
      </w:r>
      <w:r>
        <w:rPr>
          <w:rFonts w:hint="eastAsia" w:ascii="宋体" w:hAnsi="宋体" w:eastAsia="宋体" w:cs="宋体"/>
          <w:sz w:val="24"/>
          <w:szCs w:val="24"/>
        </w:rPr>
        <w:t>】%，税款为人民币金额人民币小写：</w:t>
      </w:r>
      <w:r>
        <w:rPr>
          <w:rFonts w:hint="eastAsia" w:ascii="宋体" w:hAnsi="宋体" w:cs="宋体"/>
          <w:b/>
          <w:sz w:val="24"/>
          <w:szCs w:val="24"/>
          <w:u w:val="single"/>
          <w:lang w:val="en-US" w:eastAsia="zh-CN"/>
        </w:rPr>
        <w:t>3156.81</w:t>
      </w:r>
      <w:r>
        <w:rPr>
          <w:rFonts w:hint="eastAsia" w:ascii="宋体" w:hAnsi="宋体" w:eastAsia="宋体" w:cs="宋体"/>
          <w:sz w:val="24"/>
          <w:szCs w:val="24"/>
        </w:rPr>
        <w:t>元。合同总价包括但不限于材料费、包装、运输（含保险费、卸车费）等所有伴随服务所需费用、管理、利润、税金、货到工地负责</w:t>
      </w:r>
      <w:r>
        <w:rPr>
          <w:rFonts w:hint="eastAsia" w:ascii="宋体" w:hAnsi="宋体" w:cs="宋体"/>
          <w:sz w:val="24"/>
          <w:szCs w:val="24"/>
          <w:lang w:val="en-US" w:eastAsia="zh-CN"/>
        </w:rPr>
        <w:t>码放</w:t>
      </w:r>
      <w:r>
        <w:rPr>
          <w:rFonts w:hint="eastAsia" w:ascii="宋体" w:hAnsi="宋体" w:eastAsia="宋体" w:cs="宋体"/>
          <w:sz w:val="24"/>
          <w:szCs w:val="24"/>
        </w:rPr>
        <w:t>至甲方指定地点所发生的一切费用。</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三、发票开具要求及责任</w:t>
      </w:r>
    </w:p>
    <w:p>
      <w:pPr>
        <w:spacing w:line="360" w:lineRule="auto"/>
        <w:ind w:firstLine="446" w:firstLineChars="200"/>
        <w:rPr>
          <w:rFonts w:ascii="宋体" w:hAnsi="宋体" w:cs="宋体"/>
          <w:sz w:val="24"/>
          <w:szCs w:val="24"/>
        </w:rPr>
      </w:pPr>
      <w:r>
        <w:rPr>
          <w:rFonts w:hint="eastAsia" w:ascii="宋体" w:hAnsi="宋体" w:cs="宋体"/>
          <w:sz w:val="24"/>
          <w:szCs w:val="24"/>
        </w:rPr>
        <w:t>1、对发票不合规的约定：</w:t>
      </w:r>
    </w:p>
    <w:p>
      <w:pPr>
        <w:spacing w:line="360" w:lineRule="auto"/>
        <w:ind w:firstLine="446" w:firstLineChars="200"/>
        <w:rPr>
          <w:rFonts w:ascii="宋体" w:hAnsi="宋体" w:cs="宋体"/>
          <w:sz w:val="24"/>
          <w:szCs w:val="24"/>
        </w:rPr>
      </w:pPr>
      <w:r>
        <w:rPr>
          <w:rFonts w:hint="eastAsia" w:ascii="宋体" w:hAnsi="宋体" w:cs="宋体"/>
          <w:sz w:val="24"/>
          <w:szCs w:val="24"/>
        </w:rPr>
        <w:t>1.1、乙方提供的发票为增值税专用发票的，因乙方迟延送达、开具错误等原因导致其提供的增值税专用发票没有通过税务部门认证，造成甲方不能抵扣的，甲方有权拒绝接收。</w:t>
      </w:r>
    </w:p>
    <w:p>
      <w:pPr>
        <w:spacing w:line="360" w:lineRule="auto"/>
        <w:ind w:firstLine="446" w:firstLineChars="200"/>
        <w:rPr>
          <w:rFonts w:ascii="宋体" w:hAnsi="宋体" w:cs="宋体"/>
          <w:sz w:val="24"/>
          <w:szCs w:val="24"/>
        </w:rPr>
      </w:pPr>
      <w:r>
        <w:rPr>
          <w:rFonts w:hint="eastAsia" w:ascii="宋体" w:hAnsi="宋体" w:cs="宋体"/>
          <w:sz w:val="24"/>
          <w:szCs w:val="24"/>
        </w:rPr>
        <w:t>1.2、乙方开具虚假、作废等无效发票或者违反国家法律法规开具、提供发票的，乙方应自行承担相应法律责任，赔偿由此给甲方造成的全部损失并应向甲方支付合同总价20%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46" w:firstLineChars="200"/>
        <w:rPr>
          <w:rFonts w:ascii="宋体" w:hAnsi="宋体" w:cs="宋体"/>
          <w:sz w:val="24"/>
          <w:szCs w:val="24"/>
        </w:rPr>
      </w:pPr>
      <w:r>
        <w:rPr>
          <w:rFonts w:hint="eastAsia" w:ascii="宋体" w:hAnsi="宋体" w:cs="宋体"/>
          <w:sz w:val="24"/>
          <w:szCs w:val="24"/>
        </w:rPr>
        <w:t>2、其它税务风险的合同约定：</w:t>
      </w:r>
    </w:p>
    <w:p>
      <w:pPr>
        <w:spacing w:line="360" w:lineRule="auto"/>
        <w:ind w:firstLine="446" w:firstLineChars="200"/>
        <w:rPr>
          <w:rFonts w:ascii="宋体" w:hAnsi="宋体" w:cs="宋体"/>
          <w:sz w:val="24"/>
          <w:szCs w:val="24"/>
        </w:rPr>
      </w:pPr>
      <w:r>
        <w:rPr>
          <w:rFonts w:hint="eastAsia" w:ascii="宋体" w:hAnsi="宋体" w:cs="宋体"/>
          <w:sz w:val="24"/>
          <w:szCs w:val="24"/>
        </w:rPr>
        <w:t>2.1、如果甲方丢失增值税专用发票联和抵扣联，乙方应向甲方提供专用发票记账联复印件，并加盖乙方发票专用章。如因甲方丢失发票原因导致乙方被税务机关处罚的，甲方应承担由此产生的后果及费用。</w:t>
      </w:r>
    </w:p>
    <w:p>
      <w:pPr>
        <w:spacing w:line="360" w:lineRule="auto"/>
        <w:ind w:firstLine="446" w:firstLineChars="200"/>
        <w:rPr>
          <w:rFonts w:ascii="宋体" w:hAnsi="宋体" w:cs="宋体"/>
          <w:sz w:val="24"/>
          <w:szCs w:val="24"/>
        </w:rPr>
      </w:pPr>
      <w:r>
        <w:rPr>
          <w:rFonts w:hint="eastAsia" w:ascii="宋体" w:hAnsi="宋体" w:cs="宋体"/>
          <w:sz w:val="24"/>
          <w:szCs w:val="24"/>
        </w:rPr>
        <w:t>2.2、如果获得开具的汇总专用发票，则乙方应提供其防伪税控系统开具的《销售货物或者提供应税劳务清单》，并加盖发票专用章。</w:t>
      </w:r>
    </w:p>
    <w:p>
      <w:pPr>
        <w:spacing w:line="360" w:lineRule="auto"/>
        <w:ind w:firstLine="446" w:firstLineChars="200"/>
        <w:rPr>
          <w:rFonts w:ascii="宋体" w:hAnsi="宋体" w:cs="宋体"/>
          <w:sz w:val="24"/>
          <w:szCs w:val="24"/>
        </w:rPr>
      </w:pPr>
      <w:r>
        <w:rPr>
          <w:rFonts w:hint="eastAsia" w:ascii="宋体" w:hAnsi="宋体" w:cs="宋体"/>
          <w:sz w:val="24"/>
          <w:szCs w:val="24"/>
        </w:rPr>
        <w:t>3、真实发生且合理合规的设计变更、现场签证事项，在按甲方制度审批完成后的次月随节点进度款进行付款（每次具备支付条件的签证变更金额累计金额需超过3万元，累计已审批变更签证金额不足3万元时依次滚动到下节点，甲方内部流程显示为审批中或未发起审批的金额不具备支付条件）；支付比例为流程已审批完成且已确认金额的80%，剩余20%于竣工结算后支付。</w:t>
      </w:r>
    </w:p>
    <w:p>
      <w:pPr>
        <w:spacing w:line="360" w:lineRule="auto"/>
        <w:rPr>
          <w:rFonts w:ascii="宋体" w:hAnsi="宋体" w:cs="宋体"/>
          <w:sz w:val="24"/>
          <w:szCs w:val="24"/>
        </w:rPr>
      </w:pPr>
      <w:r>
        <w:rPr>
          <w:rFonts w:hint="eastAsia" w:ascii="宋体" w:hAnsi="宋体" w:cs="宋体"/>
          <w:b/>
          <w:bCs/>
          <w:sz w:val="24"/>
          <w:szCs w:val="24"/>
        </w:rPr>
        <w:t>四、质量要求</w:t>
      </w:r>
    </w:p>
    <w:p>
      <w:pPr>
        <w:spacing w:line="360" w:lineRule="auto"/>
        <w:ind w:firstLine="446" w:firstLineChars="200"/>
        <w:rPr>
          <w:rFonts w:ascii="宋体" w:hAnsi="宋体" w:cs="宋体"/>
          <w:sz w:val="24"/>
          <w:szCs w:val="24"/>
        </w:rPr>
      </w:pPr>
      <w:r>
        <w:rPr>
          <w:rFonts w:hint="eastAsia" w:ascii="宋体" w:hAnsi="宋体" w:cs="宋体"/>
          <w:sz w:val="24"/>
          <w:szCs w:val="24"/>
        </w:rPr>
        <w:t xml:space="preserve">1、乙方应严格按照双方约定的质量和技术标准要求供应材料，且需符合现行的国家标准。 </w:t>
      </w:r>
    </w:p>
    <w:p>
      <w:pPr>
        <w:spacing w:line="360" w:lineRule="auto"/>
        <w:ind w:firstLine="446" w:firstLineChars="200"/>
        <w:rPr>
          <w:rFonts w:ascii="宋体" w:hAnsi="宋体" w:cs="宋体"/>
          <w:sz w:val="24"/>
          <w:szCs w:val="24"/>
        </w:rPr>
      </w:pPr>
      <w:r>
        <w:rPr>
          <w:rFonts w:hint="eastAsia" w:ascii="宋体" w:hAnsi="宋体" w:cs="宋体"/>
          <w:sz w:val="24"/>
          <w:szCs w:val="24"/>
        </w:rPr>
        <w:t>2、乙方应随每批产品提供相应的《产品合格证明》、《质量检验报告》、《产品质量保证书》、材料发票和其他相关技术质量资料。</w:t>
      </w:r>
    </w:p>
    <w:p>
      <w:pPr>
        <w:spacing w:line="360" w:lineRule="auto"/>
        <w:ind w:firstLine="446" w:firstLineChars="200"/>
        <w:rPr>
          <w:rFonts w:ascii="宋体" w:hAnsi="宋体" w:cs="宋体"/>
          <w:sz w:val="24"/>
          <w:szCs w:val="24"/>
        </w:rPr>
      </w:pPr>
      <w:r>
        <w:rPr>
          <w:rFonts w:hint="eastAsia" w:ascii="宋体" w:hAnsi="宋体" w:cs="宋体"/>
          <w:sz w:val="24"/>
          <w:szCs w:val="24"/>
        </w:rPr>
        <w:t>3、乙方所供的开关插座质量必须符合相应的国家检验质量标准，如达不到此标准，甲方有权要求乙方退货，乙方应在7日内再次交付直至复验合格，因此产生的包括但不限于运费等由乙方承担。</w:t>
      </w:r>
    </w:p>
    <w:p>
      <w:pPr>
        <w:spacing w:line="360" w:lineRule="auto"/>
        <w:ind w:firstLine="446" w:firstLineChars="200"/>
        <w:rPr>
          <w:rFonts w:ascii="宋体" w:hAnsi="宋体" w:cs="宋体"/>
          <w:sz w:val="24"/>
          <w:szCs w:val="24"/>
        </w:rPr>
      </w:pPr>
      <w:r>
        <w:rPr>
          <w:rFonts w:hint="eastAsia" w:ascii="宋体" w:hAnsi="宋体" w:cs="宋体"/>
          <w:sz w:val="24"/>
          <w:szCs w:val="24"/>
        </w:rPr>
        <w:t>4、各型开关插座的规格、型号必须符合设计要求，应有合格证、“CCC”认证标志和认证证书复印件。</w:t>
      </w:r>
    </w:p>
    <w:p>
      <w:pPr>
        <w:spacing w:line="360" w:lineRule="auto"/>
        <w:ind w:firstLine="446" w:firstLineChars="200"/>
        <w:rPr>
          <w:rFonts w:ascii="宋体" w:hAnsi="宋体" w:cs="宋体"/>
          <w:sz w:val="24"/>
          <w:szCs w:val="24"/>
        </w:rPr>
      </w:pPr>
      <w:r>
        <w:rPr>
          <w:rFonts w:hint="eastAsia" w:ascii="宋体" w:hAnsi="宋体" w:cs="宋体"/>
          <w:sz w:val="24"/>
          <w:szCs w:val="24"/>
        </w:rPr>
        <w:t>5、开关插座的绝缘性能、导电性能和阻燃性能必须符合相应的国家检验质量标准。</w:t>
      </w:r>
    </w:p>
    <w:p>
      <w:pPr>
        <w:spacing w:line="360" w:lineRule="auto"/>
        <w:ind w:firstLine="446" w:firstLineChars="200"/>
        <w:rPr>
          <w:rFonts w:ascii="宋体" w:hAnsi="宋体" w:cs="宋体"/>
          <w:sz w:val="24"/>
          <w:szCs w:val="24"/>
        </w:rPr>
      </w:pPr>
      <w:r>
        <w:rPr>
          <w:rFonts w:hint="eastAsia" w:ascii="宋体" w:hAnsi="宋体" w:cs="宋体"/>
          <w:sz w:val="24"/>
          <w:szCs w:val="24"/>
        </w:rPr>
        <w:t>6、塑料（台）板，应具有足够的强度</w:t>
      </w:r>
      <w:r>
        <w:rPr>
          <w:rFonts w:hint="eastAsia" w:ascii="宋体" w:hAnsi="宋体" w:cs="宋体"/>
          <w:sz w:val="24"/>
          <w:szCs w:val="24"/>
          <w:lang w:eastAsia="zh-CN"/>
        </w:rPr>
        <w:t>、</w:t>
      </w:r>
      <w:r>
        <w:rPr>
          <w:rFonts w:hint="eastAsia" w:ascii="宋体" w:hAnsi="宋体" w:cs="宋体"/>
          <w:sz w:val="24"/>
          <w:szCs w:val="24"/>
        </w:rPr>
        <w:t>应平整，无弯翘变形等现象。</w:t>
      </w:r>
    </w:p>
    <w:p>
      <w:pPr>
        <w:spacing w:line="360" w:lineRule="auto"/>
        <w:rPr>
          <w:rFonts w:ascii="宋体" w:hAnsi="宋体" w:cs="宋体"/>
          <w:b/>
          <w:bCs/>
          <w:sz w:val="24"/>
          <w:szCs w:val="24"/>
        </w:rPr>
      </w:pPr>
      <w:r>
        <w:rPr>
          <w:rFonts w:hint="eastAsia" w:ascii="宋体" w:hAnsi="宋体" w:cs="宋体"/>
          <w:b/>
          <w:bCs/>
          <w:sz w:val="24"/>
          <w:szCs w:val="24"/>
        </w:rPr>
        <w:t>五、包装标准及包装方式</w:t>
      </w:r>
    </w:p>
    <w:p>
      <w:pPr>
        <w:spacing w:line="360" w:lineRule="auto"/>
        <w:rPr>
          <w:rFonts w:ascii="宋体" w:hAnsi="宋体" w:cs="宋体"/>
          <w:sz w:val="24"/>
          <w:szCs w:val="24"/>
        </w:rPr>
      </w:pPr>
      <w:r>
        <w:rPr>
          <w:rFonts w:hint="eastAsia" w:ascii="宋体" w:hAnsi="宋体" w:cs="宋体"/>
          <w:sz w:val="24"/>
          <w:szCs w:val="24"/>
        </w:rPr>
        <w:t xml:space="preserve">    纸箱包装</w:t>
      </w:r>
      <w:r>
        <w:rPr>
          <w:rFonts w:hint="eastAsia" w:ascii="宋体" w:hAnsi="宋体" w:cs="宋体"/>
          <w:sz w:val="24"/>
          <w:szCs w:val="24"/>
          <w:lang w:val="en-US" w:eastAsia="zh-CN"/>
        </w:rPr>
        <w:t>并满足运输要求</w:t>
      </w:r>
      <w:r>
        <w:rPr>
          <w:rFonts w:hint="eastAsia" w:ascii="宋体" w:hAnsi="宋体" w:cs="宋体"/>
          <w:sz w:val="24"/>
          <w:szCs w:val="24"/>
        </w:rPr>
        <w:t>。</w:t>
      </w:r>
    </w:p>
    <w:p>
      <w:pPr>
        <w:spacing w:line="360" w:lineRule="auto"/>
        <w:rPr>
          <w:rFonts w:ascii="宋体" w:hAnsi="宋体" w:cs="宋体"/>
          <w:b/>
          <w:bCs/>
          <w:sz w:val="24"/>
          <w:szCs w:val="24"/>
        </w:rPr>
      </w:pPr>
      <w:r>
        <w:rPr>
          <w:rFonts w:hint="eastAsia" w:ascii="宋体" w:hAnsi="宋体" w:cs="宋体"/>
          <w:b/>
          <w:bCs/>
          <w:sz w:val="24"/>
          <w:szCs w:val="24"/>
        </w:rPr>
        <w:t>六、交货时间、地点及交货方式</w:t>
      </w:r>
    </w:p>
    <w:p>
      <w:pPr>
        <w:spacing w:line="360" w:lineRule="auto"/>
        <w:ind w:firstLine="446" w:firstLineChars="200"/>
        <w:rPr>
          <w:rFonts w:ascii="宋体" w:hAnsi="宋体" w:cs="宋体"/>
          <w:sz w:val="24"/>
          <w:szCs w:val="24"/>
        </w:rPr>
      </w:pPr>
      <w:r>
        <w:rPr>
          <w:rFonts w:hint="eastAsia" w:ascii="宋体" w:hAnsi="宋体" w:cs="宋体"/>
          <w:sz w:val="24"/>
          <w:szCs w:val="24"/>
        </w:rPr>
        <w:t>1、产品的交货期限：接到甲方通知后7个工作日内；</w:t>
      </w:r>
    </w:p>
    <w:p>
      <w:pPr>
        <w:spacing w:line="360" w:lineRule="auto"/>
        <w:ind w:firstLine="446" w:firstLineChars="200"/>
        <w:rPr>
          <w:rFonts w:ascii="宋体" w:hAnsi="宋体" w:cs="宋体"/>
          <w:sz w:val="24"/>
          <w:szCs w:val="24"/>
        </w:rPr>
      </w:pPr>
      <w:r>
        <w:rPr>
          <w:rFonts w:hint="eastAsia" w:ascii="宋体" w:hAnsi="宋体" w:cs="宋体"/>
          <w:sz w:val="24"/>
          <w:szCs w:val="24"/>
        </w:rPr>
        <w:t>2、产品的交货地点：洛阳开元壹号项目</w:t>
      </w:r>
      <w:r>
        <w:rPr>
          <w:rFonts w:hint="eastAsia" w:ascii="宋体" w:hAnsi="宋体" w:cs="宋体"/>
          <w:sz w:val="24"/>
          <w:szCs w:val="24"/>
          <w:lang w:val="en-US" w:eastAsia="zh-CN"/>
        </w:rPr>
        <w:t>62地块</w:t>
      </w:r>
      <w:r>
        <w:rPr>
          <w:rFonts w:hint="eastAsia" w:ascii="宋体" w:hAnsi="宋体" w:cs="宋体"/>
          <w:sz w:val="24"/>
          <w:szCs w:val="24"/>
        </w:rPr>
        <w:t>内，甲方指定地点；</w:t>
      </w:r>
    </w:p>
    <w:p>
      <w:pPr>
        <w:spacing w:line="360" w:lineRule="auto"/>
        <w:ind w:firstLine="446" w:firstLineChars="200"/>
        <w:rPr>
          <w:rFonts w:ascii="宋体" w:hAnsi="宋体" w:cs="宋体"/>
          <w:sz w:val="24"/>
          <w:szCs w:val="24"/>
        </w:rPr>
      </w:pPr>
      <w:r>
        <w:rPr>
          <w:rFonts w:hint="eastAsia" w:ascii="宋体" w:hAnsi="宋体" w:cs="宋体"/>
          <w:sz w:val="24"/>
          <w:szCs w:val="24"/>
        </w:rPr>
        <w:t>3、交货方式：</w:t>
      </w:r>
      <w:r>
        <w:rPr>
          <w:rFonts w:hint="eastAsia" w:ascii="宋体" w:hAnsi="宋体" w:cs="宋体"/>
          <w:bCs/>
          <w:sz w:val="24"/>
          <w:szCs w:val="24"/>
        </w:rPr>
        <w:t>根据甲方的工期要求供货，货到甲方指定地点并验收合格移交甲方前的所有风险由乙方承担。</w:t>
      </w:r>
      <w:r>
        <w:rPr>
          <w:rFonts w:hint="eastAsia" w:ascii="宋体" w:hAnsi="宋体" w:cs="宋体"/>
          <w:sz w:val="24"/>
          <w:szCs w:val="24"/>
        </w:rPr>
        <w:t xml:space="preserve"> </w:t>
      </w:r>
    </w:p>
    <w:p>
      <w:pPr>
        <w:spacing w:line="360" w:lineRule="auto"/>
        <w:rPr>
          <w:rFonts w:ascii="宋体" w:hAnsi="宋体" w:cs="宋体"/>
          <w:b/>
          <w:bCs/>
          <w:sz w:val="24"/>
          <w:szCs w:val="24"/>
        </w:rPr>
      </w:pPr>
      <w:r>
        <w:rPr>
          <w:rFonts w:hint="eastAsia" w:ascii="宋体" w:hAnsi="宋体" w:cs="宋体"/>
          <w:b/>
          <w:bCs/>
          <w:sz w:val="24"/>
          <w:szCs w:val="24"/>
        </w:rPr>
        <w:t>七、货款结算方式及付款时间</w:t>
      </w:r>
    </w:p>
    <w:p>
      <w:pPr>
        <w:spacing w:line="360" w:lineRule="auto"/>
        <w:ind w:firstLine="446" w:firstLineChars="200"/>
        <w:rPr>
          <w:rFonts w:hint="eastAsia" w:ascii="宋体" w:hAnsi="宋体" w:eastAsia="宋体" w:cs="宋体"/>
          <w:sz w:val="24"/>
          <w:szCs w:val="24"/>
        </w:rPr>
      </w:pPr>
      <w:r>
        <w:rPr>
          <w:rFonts w:hint="eastAsia" w:ascii="宋体" w:hAnsi="宋体" w:eastAsia="宋体" w:cs="宋体"/>
          <w:sz w:val="24"/>
          <w:szCs w:val="24"/>
        </w:rPr>
        <w:t>1、结算方式：</w:t>
      </w:r>
    </w:p>
    <w:p>
      <w:pPr>
        <w:spacing w:line="360" w:lineRule="auto"/>
        <w:ind w:firstLine="446" w:firstLineChars="200"/>
        <w:rPr>
          <w:rFonts w:hint="eastAsia" w:ascii="宋体" w:hAnsi="宋体" w:eastAsia="宋体" w:cs="宋体"/>
          <w:sz w:val="24"/>
          <w:szCs w:val="24"/>
        </w:rPr>
      </w:pPr>
      <w:r>
        <w:rPr>
          <w:rFonts w:hint="eastAsia" w:ascii="宋体" w:hAnsi="宋体" w:eastAsia="宋体" w:cs="宋体"/>
          <w:sz w:val="24"/>
          <w:szCs w:val="24"/>
        </w:rPr>
        <w:t>1.1 结算采用“固定单价×实际供应并移交</w:t>
      </w:r>
      <w:r>
        <w:rPr>
          <w:rFonts w:hint="eastAsia" w:ascii="宋体" w:hAnsi="宋体" w:cs="宋体"/>
          <w:sz w:val="24"/>
          <w:szCs w:val="24"/>
          <w:lang w:val="en-US" w:eastAsia="zh-CN"/>
        </w:rPr>
        <w:t>合格</w:t>
      </w:r>
      <w:r>
        <w:rPr>
          <w:rFonts w:hint="eastAsia" w:ascii="宋体" w:hAnsi="宋体" w:eastAsia="宋体" w:cs="宋体"/>
          <w:sz w:val="24"/>
          <w:szCs w:val="24"/>
        </w:rPr>
        <w:t>的数量-应扣费用”以实结算的方式。</w:t>
      </w:r>
    </w:p>
    <w:p>
      <w:pPr>
        <w:spacing w:line="360" w:lineRule="auto"/>
        <w:ind w:firstLine="446" w:firstLineChars="200"/>
        <w:rPr>
          <w:rFonts w:hint="eastAsia" w:ascii="宋体" w:hAnsi="宋体" w:eastAsia="宋体" w:cs="宋体"/>
          <w:sz w:val="24"/>
          <w:szCs w:val="24"/>
        </w:rPr>
      </w:pPr>
      <w:r>
        <w:rPr>
          <w:rFonts w:hint="eastAsia" w:ascii="宋体" w:hAnsi="宋体" w:eastAsia="宋体" w:cs="宋体"/>
          <w:sz w:val="24"/>
          <w:szCs w:val="24"/>
        </w:rPr>
        <w:t>1.2 乙方将产品生产完毕全部运送到甲方指定施工现场，由甲方委托的监理方组织工程施工方一并进行验收合格后卸货码放整齐至指定地点，由甲方、乙方、工程施工方及监理方共同在乙方出具的四联供货验收单(附件二)上签字认可，</w:t>
      </w:r>
      <w:r>
        <w:rPr>
          <w:rFonts w:hint="eastAsia" w:ascii="宋体" w:hAnsi="宋体" w:cs="宋体"/>
          <w:sz w:val="24"/>
          <w:szCs w:val="24"/>
          <w:lang w:val="en-US" w:eastAsia="zh-CN"/>
        </w:rPr>
        <w:t>各方的签字认可</w:t>
      </w:r>
      <w:r>
        <w:rPr>
          <w:rFonts w:hint="eastAsia" w:ascii="宋体" w:hAnsi="宋体" w:cs="宋体"/>
          <w:sz w:val="24"/>
          <w:szCs w:val="24"/>
        </w:rPr>
        <w:t>不因此免除乙方对设备及材料的质量瑕疵担保的责任</w:t>
      </w:r>
      <w:r>
        <w:rPr>
          <w:rFonts w:hint="eastAsia" w:ascii="宋体" w:hAnsi="宋体" w:eastAsia="宋体" w:cs="宋体"/>
          <w:sz w:val="24"/>
          <w:szCs w:val="24"/>
        </w:rPr>
        <w:t>。甲方持两联，工程施工方、乙方各持一联，作为结算依据。</w:t>
      </w:r>
    </w:p>
    <w:p>
      <w:pPr>
        <w:spacing w:line="360" w:lineRule="auto"/>
        <w:ind w:firstLine="446"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1.3</w:t>
      </w:r>
      <w:r>
        <w:rPr>
          <w:rFonts w:hint="eastAsia" w:ascii="宋体" w:hAnsi="宋体" w:eastAsia="宋体" w:cs="宋体"/>
          <w:color w:val="auto"/>
          <w:sz w:val="24"/>
          <w:szCs w:val="24"/>
          <w:highlight w:val="none"/>
          <w:lang w:val="en-US" w:eastAsia="zh-CN"/>
        </w:rPr>
        <w:t>工程全部完工，验收合格且出具合格验收意见文件后30日内乙方提交装订成册完整</w:t>
      </w:r>
      <w:r>
        <w:rPr>
          <w:rFonts w:hint="eastAsia" w:ascii="宋体" w:hAnsi="宋体" w:cs="宋体"/>
          <w:sz w:val="24"/>
          <w:szCs w:val="24"/>
          <w:lang w:val="en-US" w:eastAsia="zh-CN"/>
        </w:rPr>
        <w:t>且满足甲方要求</w:t>
      </w:r>
      <w:r>
        <w:rPr>
          <w:rFonts w:hint="eastAsia" w:ascii="宋体" w:hAnsi="宋体" w:eastAsia="宋体" w:cs="宋体"/>
          <w:color w:val="auto"/>
          <w:sz w:val="24"/>
          <w:szCs w:val="24"/>
          <w:highlight w:val="none"/>
          <w:lang w:val="en-US" w:eastAsia="zh-CN"/>
        </w:rPr>
        <w:t>的工程竣工结算资料两套，逾期提交或提交资料不合格，由此产生未能及时结算的责任由乙方承担。若乙方在上述时间内不提交结算资料，甲方有权单独进行结算，乙方应接受甲方结算结果；若提交资料不完整（遗漏或后补资料）视为放弃；放弃部分甲方只计算变更减少部分，不再计算变更增加部分，乙方不得提出异议，由此产生的未能及时结算的责任由乙方自己承担。甲方成本部门收到乙方提交</w:t>
      </w:r>
      <w:r>
        <w:rPr>
          <w:rFonts w:hint="eastAsia" w:ascii="宋体" w:hAnsi="宋体" w:cs="宋体"/>
          <w:sz w:val="24"/>
          <w:szCs w:val="24"/>
          <w:lang w:val="en-US" w:eastAsia="zh-CN"/>
        </w:rPr>
        <w:t>且</w:t>
      </w:r>
      <w:r>
        <w:rPr>
          <w:rFonts w:hint="eastAsia" w:ascii="宋体" w:hAnsi="宋体" w:eastAsia="宋体" w:cs="宋体"/>
          <w:color w:val="auto"/>
          <w:sz w:val="24"/>
          <w:szCs w:val="24"/>
          <w:highlight w:val="none"/>
          <w:lang w:val="en-US" w:eastAsia="zh-CN"/>
        </w:rPr>
        <w:t>合格的结算资料后90个工作日内审查完毕并通知乙方，乙方接到结算审查通知后10个工作日内确认或提出异议，逾期视为已认可甲方审查意见。</w:t>
      </w:r>
    </w:p>
    <w:p>
      <w:pPr>
        <w:spacing w:line="360" w:lineRule="auto"/>
        <w:ind w:firstLine="446" w:firstLineChars="200"/>
        <w:rPr>
          <w:rFonts w:hint="eastAsia" w:ascii="宋体" w:hAnsi="宋体" w:eastAsia="宋体" w:cs="宋体"/>
          <w:sz w:val="24"/>
          <w:szCs w:val="24"/>
        </w:rPr>
      </w:pPr>
      <w:r>
        <w:rPr>
          <w:rFonts w:hint="eastAsia" w:ascii="宋体" w:hAnsi="宋体" w:eastAsia="宋体" w:cs="宋体"/>
          <w:sz w:val="24"/>
          <w:szCs w:val="24"/>
        </w:rPr>
        <w:t>2、付款方式及质保期：</w:t>
      </w:r>
    </w:p>
    <w:p>
      <w:pPr>
        <w:spacing w:line="360" w:lineRule="auto"/>
        <w:ind w:firstLine="446" w:firstLineChars="200"/>
        <w:rPr>
          <w:rFonts w:hint="eastAsia" w:ascii="宋体" w:hAnsi="宋体" w:eastAsia="宋体" w:cs="宋体"/>
          <w:sz w:val="24"/>
          <w:szCs w:val="24"/>
        </w:rPr>
      </w:pPr>
      <w:r>
        <w:rPr>
          <w:rFonts w:hint="eastAsia" w:ascii="宋体" w:hAnsi="宋体" w:eastAsia="宋体" w:cs="宋体"/>
          <w:sz w:val="24"/>
          <w:szCs w:val="24"/>
        </w:rPr>
        <w:t>2.1 本合同无预付款，</w:t>
      </w:r>
    </w:p>
    <w:p>
      <w:pPr>
        <w:spacing w:line="360" w:lineRule="auto"/>
        <w:ind w:firstLine="446" w:firstLineChars="200"/>
        <w:rPr>
          <w:rFonts w:hint="eastAsia" w:ascii="宋体" w:hAnsi="宋体" w:eastAsia="宋体" w:cs="宋体"/>
          <w:sz w:val="24"/>
          <w:szCs w:val="24"/>
        </w:rPr>
      </w:pPr>
      <w:r>
        <w:rPr>
          <w:rFonts w:hint="eastAsia" w:ascii="宋体" w:hAnsi="宋体" w:eastAsia="宋体" w:cs="宋体"/>
          <w:sz w:val="24"/>
          <w:szCs w:val="24"/>
        </w:rPr>
        <w:t>2.2 每批次开关插座全部货物送到</w:t>
      </w:r>
      <w:r>
        <w:rPr>
          <w:rFonts w:hint="eastAsia" w:ascii="宋体" w:hAnsi="宋体" w:cs="宋体"/>
          <w:sz w:val="24"/>
          <w:szCs w:val="24"/>
          <w:lang w:val="en-US" w:eastAsia="zh-CN"/>
        </w:rPr>
        <w:t>现场</w:t>
      </w:r>
      <w:r>
        <w:rPr>
          <w:rFonts w:hint="eastAsia" w:ascii="宋体" w:hAnsi="宋体" w:eastAsia="宋体" w:cs="宋体"/>
          <w:sz w:val="24"/>
          <w:szCs w:val="24"/>
        </w:rPr>
        <w:t>并验收合格</w:t>
      </w:r>
      <w:r>
        <w:rPr>
          <w:rFonts w:hint="eastAsia" w:ascii="宋体" w:hAnsi="宋体" w:cs="宋体"/>
          <w:sz w:val="24"/>
          <w:szCs w:val="24"/>
          <w:lang w:val="en-US" w:eastAsia="zh-CN"/>
        </w:rPr>
        <w:t>移交</w:t>
      </w:r>
      <w:r>
        <w:rPr>
          <w:rFonts w:hint="eastAsia" w:ascii="宋体" w:hAnsi="宋体" w:eastAsia="宋体" w:cs="宋体"/>
          <w:sz w:val="24"/>
          <w:szCs w:val="24"/>
        </w:rPr>
        <w:t>之日</w:t>
      </w:r>
      <w:r>
        <w:rPr>
          <w:rFonts w:hint="eastAsia" w:ascii="宋体" w:hAnsi="宋体" w:cs="宋体"/>
          <w:sz w:val="24"/>
          <w:szCs w:val="24"/>
          <w:lang w:val="en-US" w:eastAsia="zh-CN"/>
        </w:rPr>
        <w:t>起</w:t>
      </w:r>
      <w:r>
        <w:rPr>
          <w:rFonts w:hint="eastAsia" w:ascii="宋体" w:hAnsi="宋体" w:eastAsia="宋体" w:cs="宋体"/>
          <w:sz w:val="24"/>
          <w:szCs w:val="24"/>
        </w:rPr>
        <w:t>十日内，甲方支付本批次送货金额的80%；待全部</w:t>
      </w:r>
      <w:r>
        <w:rPr>
          <w:rFonts w:hint="eastAsia" w:ascii="宋体" w:hAnsi="宋体" w:cs="宋体"/>
          <w:sz w:val="24"/>
          <w:szCs w:val="24"/>
          <w:lang w:val="en-US" w:eastAsia="zh-CN"/>
        </w:rPr>
        <w:t>工程</w:t>
      </w:r>
      <w:r>
        <w:rPr>
          <w:rFonts w:hint="eastAsia" w:ascii="宋体" w:hAnsi="宋体" w:eastAsia="宋体" w:cs="宋体"/>
          <w:sz w:val="24"/>
          <w:szCs w:val="24"/>
        </w:rPr>
        <w:t>验收完毕并配合甲方完成结算</w:t>
      </w:r>
      <w:r>
        <w:rPr>
          <w:rFonts w:hint="eastAsia" w:ascii="宋体" w:hAnsi="宋体" w:cs="宋体"/>
          <w:sz w:val="24"/>
          <w:szCs w:val="24"/>
          <w:lang w:eastAsia="zh-CN"/>
        </w:rPr>
        <w:t>（</w:t>
      </w:r>
      <w:r>
        <w:rPr>
          <w:rFonts w:hint="eastAsia" w:ascii="宋体" w:hAnsi="宋体" w:cs="宋体"/>
          <w:sz w:val="24"/>
          <w:szCs w:val="24"/>
          <w:lang w:val="en-US" w:eastAsia="zh-CN"/>
        </w:rPr>
        <w:t>双方签订结算协议</w:t>
      </w:r>
      <w:r>
        <w:rPr>
          <w:rFonts w:hint="eastAsia" w:ascii="宋体" w:hAnsi="宋体" w:cs="宋体"/>
          <w:sz w:val="24"/>
          <w:szCs w:val="24"/>
          <w:lang w:eastAsia="zh-CN"/>
        </w:rPr>
        <w:t>）</w:t>
      </w:r>
      <w:r>
        <w:rPr>
          <w:rFonts w:hint="eastAsia" w:ascii="宋体" w:hAnsi="宋体" w:eastAsia="宋体" w:cs="宋体"/>
          <w:sz w:val="24"/>
          <w:szCs w:val="24"/>
        </w:rPr>
        <w:t>后30个工作日内支付至结算金额的95%，剩余款项（结算金额的</w:t>
      </w:r>
      <w:r>
        <w:rPr>
          <w:rFonts w:hint="eastAsia" w:ascii="宋体" w:hAnsi="宋体" w:cs="宋体"/>
          <w:sz w:val="24"/>
          <w:szCs w:val="24"/>
          <w:lang w:val="en-US" w:eastAsia="zh-CN"/>
        </w:rPr>
        <w:t>5</w:t>
      </w:r>
      <w:r>
        <w:rPr>
          <w:rFonts w:hint="eastAsia" w:ascii="宋体" w:hAnsi="宋体" w:eastAsia="宋体" w:cs="宋体"/>
          <w:sz w:val="24"/>
          <w:szCs w:val="24"/>
        </w:rPr>
        <w:t>%）为质保金，</w:t>
      </w:r>
      <w:r>
        <w:rPr>
          <w:rFonts w:hint="eastAsia" w:ascii="宋体" w:hAnsi="宋体" w:cs="宋体"/>
          <w:sz w:val="24"/>
          <w:szCs w:val="24"/>
        </w:rPr>
        <w:t>质保期内，如因质量问题或乙方其他违约行为等导致乙方存在应支付未支付款项或甲方代乙方支出的款项的，甲方有权在质保金中直接扣除，质保金不足以弥补甲方损失的，乙方应负责赔偿，因此导致工程质保金低于</w:t>
      </w:r>
      <w:r>
        <w:rPr>
          <w:rFonts w:ascii="宋体" w:hAnsi="宋体" w:cs="宋体"/>
          <w:sz w:val="24"/>
          <w:szCs w:val="24"/>
        </w:rPr>
        <w:t>5</w:t>
      </w:r>
      <w:r>
        <w:rPr>
          <w:rFonts w:hint="eastAsia" w:ascii="宋体" w:hAnsi="宋体" w:cs="宋体"/>
          <w:sz w:val="24"/>
          <w:szCs w:val="24"/>
        </w:rPr>
        <w:t>%，乙方应在收到甲方补足通知之日起3日内予以补足。</w:t>
      </w:r>
      <w:r>
        <w:rPr>
          <w:rFonts w:hint="eastAsia" w:ascii="宋体" w:hAnsi="宋体" w:eastAsia="宋体" w:cs="宋体"/>
          <w:sz w:val="24"/>
          <w:szCs w:val="24"/>
        </w:rPr>
        <w:t>质保期满且无质量问题后，一次性无息付清剩余款项（若有）。质保期一年，自工程竣工验收合格</w:t>
      </w:r>
      <w:r>
        <w:rPr>
          <w:rFonts w:hint="eastAsia" w:ascii="宋体" w:hAnsi="宋体" w:cs="宋体"/>
          <w:sz w:val="24"/>
          <w:szCs w:val="24"/>
          <w:lang w:val="en-US" w:eastAsia="zh-CN"/>
        </w:rPr>
        <w:t>之次日</w:t>
      </w:r>
      <w:r>
        <w:rPr>
          <w:rFonts w:hint="eastAsia" w:ascii="宋体" w:hAnsi="宋体" w:eastAsia="宋体" w:cs="宋体"/>
          <w:sz w:val="24"/>
          <w:szCs w:val="24"/>
        </w:rPr>
        <w:t>起算。</w:t>
      </w:r>
    </w:p>
    <w:p>
      <w:pPr>
        <w:spacing w:line="360" w:lineRule="auto"/>
        <w:ind w:firstLine="446" w:firstLineChars="200"/>
        <w:rPr>
          <w:rFonts w:hint="eastAsia" w:ascii="宋体" w:hAnsi="宋体" w:eastAsia="宋体" w:cs="宋体"/>
          <w:sz w:val="24"/>
          <w:szCs w:val="24"/>
        </w:rPr>
      </w:pPr>
      <w:r>
        <w:rPr>
          <w:rFonts w:hint="eastAsia" w:ascii="宋体" w:hAnsi="宋体" w:eastAsia="宋体" w:cs="宋体"/>
          <w:sz w:val="24"/>
          <w:szCs w:val="24"/>
        </w:rPr>
        <w:t>2.3 每次付款前，乙方应按甲方要求出具合法有效的增值税专用发票。当甲方向乙方累计支付款项至本合同结算值的9</w:t>
      </w:r>
      <w:r>
        <w:rPr>
          <w:rFonts w:hint="eastAsia" w:ascii="宋体" w:hAnsi="宋体" w:cs="宋体"/>
          <w:sz w:val="24"/>
          <w:szCs w:val="24"/>
          <w:lang w:val="en-US" w:eastAsia="zh-CN"/>
        </w:rPr>
        <w:t>5</w:t>
      </w:r>
      <w:r>
        <w:rPr>
          <w:rFonts w:hint="eastAsia" w:ascii="宋体" w:hAnsi="宋体" w:eastAsia="宋体" w:cs="宋体"/>
          <w:sz w:val="24"/>
          <w:szCs w:val="24"/>
        </w:rPr>
        <w:t>％时，乙方须向甲方开具结算金额100％的合法有效的增值税专用发票，否则甲方除扣留质保金外，还有权延迟支付该批次工程款且不视为违约。乙方应在开票之后5个工作日内将发票送达甲方，甲方签收发票的日期为发票的送达日期。</w:t>
      </w:r>
      <w:r>
        <w:rPr>
          <w:rFonts w:hint="eastAsia" w:ascii="宋体" w:hAnsi="宋体" w:eastAsia="宋体" w:cs="宋体"/>
          <w:sz w:val="24"/>
          <w:szCs w:val="24"/>
        </w:rPr>
        <w:tab/>
      </w:r>
    </w:p>
    <w:p>
      <w:pPr>
        <w:spacing w:line="360" w:lineRule="auto"/>
        <w:ind w:firstLine="446" w:firstLineChars="200"/>
        <w:rPr>
          <w:rFonts w:hint="eastAsia" w:ascii="宋体" w:hAnsi="宋体" w:eastAsia="宋体" w:cs="宋体"/>
          <w:sz w:val="24"/>
          <w:szCs w:val="24"/>
        </w:rPr>
      </w:pPr>
      <w:r>
        <w:rPr>
          <w:rFonts w:hint="eastAsia" w:ascii="宋体" w:hAnsi="宋体" w:eastAsia="宋体" w:cs="宋体"/>
          <w:sz w:val="24"/>
          <w:szCs w:val="24"/>
        </w:rPr>
        <w:t>2.4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八、质保期维修</w:t>
      </w:r>
    </w:p>
    <w:p>
      <w:pPr>
        <w:tabs>
          <w:tab w:val="left" w:pos="2700"/>
          <w:tab w:val="left" w:pos="3780"/>
          <w:tab w:val="left" w:pos="5400"/>
        </w:tabs>
        <w:spacing w:line="360" w:lineRule="auto"/>
        <w:ind w:firstLine="446" w:firstLineChars="200"/>
        <w:rPr>
          <w:rFonts w:hint="eastAsia" w:ascii="宋体" w:hAnsi="宋体" w:eastAsia="宋体" w:cs="宋体"/>
          <w:sz w:val="24"/>
          <w:szCs w:val="24"/>
        </w:rPr>
      </w:pPr>
      <w:r>
        <w:rPr>
          <w:rFonts w:hint="eastAsia" w:ascii="宋体" w:hAnsi="宋体" w:eastAsia="宋体" w:cs="宋体"/>
          <w:sz w:val="24"/>
          <w:szCs w:val="24"/>
        </w:rPr>
        <w:t>乙方供应的所有开关插座面板属于保修范围、内容的项目，乙方应当在接到保修通知之日起48小时内派人保修。乙方不在约定期限内派人维修或更换的，甲方</w:t>
      </w:r>
      <w:r>
        <w:rPr>
          <w:rFonts w:hint="eastAsia" w:ascii="宋体" w:hAnsi="宋体" w:cs="宋体"/>
          <w:sz w:val="24"/>
          <w:szCs w:val="24"/>
          <w:lang w:val="en-US" w:eastAsia="zh-CN"/>
        </w:rPr>
        <w:t>有权（非义务）</w:t>
      </w:r>
      <w:r>
        <w:rPr>
          <w:rFonts w:hint="eastAsia" w:ascii="宋体" w:hAnsi="宋体" w:eastAsia="宋体" w:cs="宋体"/>
          <w:sz w:val="24"/>
          <w:szCs w:val="24"/>
        </w:rPr>
        <w:t>委托他人维修或更换，费用由乙方全部承担。在正常使用中，对于由乙方开关插座自身质量问题造成的客户索赔</w:t>
      </w:r>
      <w:r>
        <w:rPr>
          <w:rFonts w:hint="eastAsia" w:ascii="宋体" w:hAnsi="宋体" w:cs="宋体"/>
          <w:sz w:val="24"/>
          <w:szCs w:val="24"/>
          <w:lang w:val="en-US" w:eastAsia="zh-CN"/>
        </w:rPr>
        <w:t>及责任</w:t>
      </w:r>
      <w:r>
        <w:rPr>
          <w:rFonts w:hint="eastAsia" w:ascii="宋体" w:hAnsi="宋体" w:eastAsia="宋体" w:cs="宋体"/>
          <w:sz w:val="24"/>
          <w:szCs w:val="24"/>
        </w:rPr>
        <w:t>，乙方承担一切责任和损失。</w:t>
      </w:r>
    </w:p>
    <w:p>
      <w:pPr>
        <w:spacing w:line="360" w:lineRule="auto"/>
        <w:rPr>
          <w:rFonts w:ascii="宋体" w:hAnsi="宋体" w:cs="宋体"/>
          <w:b/>
          <w:bCs/>
          <w:sz w:val="24"/>
          <w:szCs w:val="24"/>
        </w:rPr>
      </w:pPr>
      <w:r>
        <w:rPr>
          <w:rFonts w:hint="eastAsia" w:ascii="宋体" w:hAnsi="宋体" w:cs="宋体"/>
          <w:b/>
          <w:bCs/>
          <w:sz w:val="24"/>
          <w:szCs w:val="24"/>
        </w:rPr>
        <w:t>九、违约责任</w:t>
      </w:r>
    </w:p>
    <w:p>
      <w:pPr>
        <w:spacing w:line="360" w:lineRule="auto"/>
        <w:ind w:firstLine="446" w:firstLineChars="200"/>
        <w:rPr>
          <w:rFonts w:ascii="宋体" w:hAnsi="宋体" w:cs="宋体"/>
          <w:sz w:val="24"/>
          <w:szCs w:val="24"/>
        </w:rPr>
      </w:pPr>
      <w:r>
        <w:rPr>
          <w:rFonts w:hint="eastAsia" w:ascii="宋体" w:hAnsi="宋体" w:cs="宋体"/>
          <w:sz w:val="24"/>
          <w:szCs w:val="24"/>
        </w:rPr>
        <w:t>1、乙方所供产品品种、型号、规格、颜色、质量必须和乙方提供给甲方的样品保持一致，不符合规定的，由乙方负责</w:t>
      </w:r>
      <w:r>
        <w:rPr>
          <w:rFonts w:hint="eastAsia" w:ascii="宋体" w:hAnsi="宋体" w:cs="宋体"/>
          <w:sz w:val="24"/>
          <w:szCs w:val="24"/>
          <w:lang w:val="en-US" w:eastAsia="zh-CN"/>
        </w:rPr>
        <w:t>更</w:t>
      </w:r>
      <w:r>
        <w:rPr>
          <w:rFonts w:hint="eastAsia" w:ascii="宋体" w:hAnsi="宋体" w:cs="宋体"/>
          <w:sz w:val="24"/>
          <w:szCs w:val="24"/>
        </w:rPr>
        <w:t>换，并承担调换或退货而支付的实际费用。乙方拒绝</w:t>
      </w:r>
      <w:r>
        <w:rPr>
          <w:rFonts w:hint="eastAsia" w:ascii="宋体" w:hAnsi="宋体" w:cs="宋体"/>
          <w:sz w:val="24"/>
          <w:szCs w:val="24"/>
          <w:lang w:val="en-US" w:eastAsia="zh-CN"/>
        </w:rPr>
        <w:t>更</w:t>
      </w:r>
      <w:r>
        <w:rPr>
          <w:rFonts w:hint="eastAsia" w:ascii="宋体" w:hAnsi="宋体" w:cs="宋体"/>
          <w:sz w:val="24"/>
          <w:szCs w:val="24"/>
        </w:rPr>
        <w:t>换的，按不能交货处理。</w:t>
      </w:r>
    </w:p>
    <w:p>
      <w:pPr>
        <w:spacing w:line="360" w:lineRule="auto"/>
        <w:ind w:firstLine="446" w:firstLineChars="200"/>
        <w:rPr>
          <w:rFonts w:ascii="宋体" w:hAnsi="宋体" w:cs="宋体"/>
          <w:sz w:val="24"/>
          <w:szCs w:val="24"/>
        </w:rPr>
      </w:pPr>
      <w:r>
        <w:rPr>
          <w:rFonts w:hint="eastAsia" w:ascii="宋体" w:hAnsi="宋体" w:cs="宋体"/>
          <w:sz w:val="24"/>
          <w:szCs w:val="24"/>
        </w:rPr>
        <w:t>2、产品交货时间不符合合同规定时，每延期1天，乙方应按 500元/日的标准向甲方支付违约金。</w:t>
      </w:r>
    </w:p>
    <w:p>
      <w:pPr>
        <w:pStyle w:val="27"/>
        <w:spacing w:line="360" w:lineRule="auto"/>
        <w:ind w:firstLine="446"/>
        <w:rPr>
          <w:rFonts w:ascii="宋体" w:hAnsi="宋体" w:cs="宋体"/>
          <w:sz w:val="24"/>
          <w:szCs w:val="24"/>
        </w:rPr>
      </w:pPr>
      <w:r>
        <w:rPr>
          <w:rFonts w:hint="eastAsia" w:ascii="宋体" w:hAnsi="宋体" w:cs="宋体"/>
          <w:sz w:val="24"/>
          <w:szCs w:val="24"/>
        </w:rPr>
        <w:t>乙方存在其它违约行</w:t>
      </w:r>
      <w:r>
        <w:rPr>
          <w:rFonts w:hint="eastAsia" w:ascii="宋体" w:hAnsi="宋体" w:cs="宋体"/>
          <w:bCs w:val="0"/>
          <w:color w:val="000000"/>
          <w:sz w:val="24"/>
          <w:szCs w:val="22"/>
        </w:rPr>
        <w:t>但未达到</w:t>
      </w:r>
      <w:r>
        <w:rPr>
          <w:rFonts w:hint="eastAsia" w:ascii="宋体" w:hAnsi="宋体" w:cs="宋体"/>
          <w:bCs w:val="0"/>
          <w:color w:val="000000"/>
          <w:sz w:val="24"/>
          <w:szCs w:val="22"/>
          <w:lang w:val="en-US" w:eastAsia="zh-CN"/>
        </w:rPr>
        <w:t>甲</w:t>
      </w:r>
      <w:r>
        <w:rPr>
          <w:rFonts w:hint="eastAsia" w:ascii="宋体" w:hAnsi="宋体" w:cs="宋体"/>
          <w:bCs w:val="0"/>
          <w:color w:val="000000"/>
          <w:sz w:val="24"/>
          <w:szCs w:val="22"/>
        </w:rPr>
        <w:t>方行使单方解除条件</w:t>
      </w:r>
      <w:r>
        <w:rPr>
          <w:rFonts w:hint="eastAsia" w:ascii="宋体" w:hAnsi="宋体" w:cs="宋体"/>
          <w:sz w:val="24"/>
          <w:szCs w:val="24"/>
        </w:rPr>
        <w:t>的，每出现一次</w:t>
      </w:r>
      <w:r>
        <w:rPr>
          <w:rFonts w:hint="eastAsia" w:ascii="宋体" w:hAnsi="宋体" w:cs="宋体"/>
          <w:sz w:val="24"/>
          <w:szCs w:val="24"/>
          <w:lang w:val="en-US" w:eastAsia="zh-CN"/>
        </w:rPr>
        <w:t>/项</w:t>
      </w:r>
      <w:r>
        <w:rPr>
          <w:rFonts w:hint="eastAsia" w:ascii="宋体" w:hAnsi="宋体" w:cs="宋体"/>
          <w:sz w:val="24"/>
          <w:szCs w:val="24"/>
        </w:rPr>
        <w:t>，按照</w:t>
      </w:r>
      <w:r>
        <w:rPr>
          <w:rFonts w:ascii="宋体" w:hAnsi="宋体" w:cs="宋体"/>
          <w:sz w:val="24"/>
          <w:szCs w:val="24"/>
        </w:rPr>
        <w:t xml:space="preserve"> </w:t>
      </w:r>
      <w:r>
        <w:rPr>
          <w:rFonts w:hint="eastAsia" w:ascii="宋体" w:hAnsi="宋体" w:cs="宋体"/>
          <w:sz w:val="24"/>
          <w:szCs w:val="24"/>
        </w:rPr>
        <w:t>500元</w:t>
      </w:r>
      <w:r>
        <w:rPr>
          <w:rFonts w:ascii="宋体" w:hAnsi="宋体" w:cs="宋体"/>
          <w:sz w:val="24"/>
          <w:szCs w:val="24"/>
        </w:rPr>
        <w:t>/</w:t>
      </w:r>
      <w:r>
        <w:rPr>
          <w:rFonts w:hint="eastAsia" w:ascii="宋体" w:hAnsi="宋体" w:cs="宋体"/>
          <w:sz w:val="24"/>
          <w:szCs w:val="24"/>
        </w:rPr>
        <w:t>次</w:t>
      </w:r>
      <w:r>
        <w:rPr>
          <w:rFonts w:hint="eastAsia" w:ascii="宋体" w:hAnsi="宋体" w:cs="宋体"/>
          <w:sz w:val="24"/>
          <w:szCs w:val="24"/>
          <w:lang w:val="en-US" w:eastAsia="zh-CN"/>
        </w:rPr>
        <w:t>或项</w:t>
      </w:r>
      <w:r>
        <w:rPr>
          <w:rFonts w:hint="eastAsia" w:ascii="宋体" w:hAnsi="宋体" w:cs="宋体"/>
          <w:sz w:val="24"/>
          <w:szCs w:val="24"/>
        </w:rPr>
        <w:t>向甲方支付违约金。</w:t>
      </w:r>
    </w:p>
    <w:p>
      <w:pPr>
        <w:spacing w:line="360" w:lineRule="auto"/>
        <w:ind w:firstLine="446" w:firstLineChars="200"/>
        <w:rPr>
          <w:rFonts w:ascii="宋体" w:hAnsi="宋体" w:cs="宋体"/>
          <w:sz w:val="24"/>
          <w:szCs w:val="24"/>
        </w:rPr>
      </w:pPr>
      <w:r>
        <w:rPr>
          <w:rFonts w:hint="eastAsia" w:ascii="宋体" w:hAnsi="宋体" w:cs="宋体"/>
          <w:sz w:val="24"/>
          <w:szCs w:val="24"/>
        </w:rPr>
        <w:t>3、开关插座在正常使用中，因自身质量问题引起的火灾、触电等安全事故，乙方应承担由此造成的一切责任和损失。</w:t>
      </w:r>
    </w:p>
    <w:p>
      <w:pPr>
        <w:spacing w:line="360" w:lineRule="auto"/>
        <w:ind w:firstLine="480"/>
        <w:rPr>
          <w:rFonts w:ascii="宋体" w:hAnsi="宋体" w:cs="宋体"/>
          <w:sz w:val="24"/>
          <w:szCs w:val="24"/>
        </w:rPr>
      </w:pPr>
      <w:r>
        <w:rPr>
          <w:rFonts w:hint="eastAsia" w:ascii="宋体" w:hAnsi="宋体" w:cs="宋体"/>
          <w:sz w:val="24"/>
          <w:szCs w:val="24"/>
        </w:rPr>
        <w:t>4、甲、乙双方应严格履行合同规定的各项条款，如合同一方违约，由违约方承担责任。</w:t>
      </w:r>
    </w:p>
    <w:p>
      <w:pPr>
        <w:overflowPunct/>
        <w:spacing w:line="360" w:lineRule="auto"/>
        <w:ind w:firstLine="446" w:firstLineChars="200"/>
        <w:rPr>
          <w:rFonts w:hint="eastAsia" w:ascii="宋体" w:hAnsi="宋体" w:eastAsia="宋体" w:cs="宋体"/>
          <w:color w:val="auto"/>
          <w:sz w:val="24"/>
          <w:szCs w:val="24"/>
          <w:highlight w:val="none"/>
        </w:rPr>
      </w:pP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color w:val="auto"/>
          <w:sz w:val="24"/>
          <w:szCs w:val="24"/>
          <w:highlight w:val="none"/>
        </w:rPr>
        <w:t>材料供应要求：</w:t>
      </w:r>
    </w:p>
    <w:p>
      <w:pPr>
        <w:overflowPunct/>
        <w:spacing w:line="360" w:lineRule="auto"/>
        <w:ind w:firstLine="446" w:firstLineChars="200"/>
        <w:rPr>
          <w:rFonts w:hint="eastAsia" w:ascii="宋体" w:hAnsi="宋体" w:eastAsia="宋体" w:cs="宋体"/>
          <w:color w:val="auto"/>
          <w:sz w:val="24"/>
          <w:szCs w:val="24"/>
          <w:highlight w:val="none"/>
        </w:rPr>
      </w:pPr>
      <w:r>
        <w:rPr>
          <w:rFonts w:hint="eastAsia" w:ascii="宋体" w:hAnsi="宋体" w:cs="宋体"/>
          <w:sz w:val="24"/>
          <w:szCs w:val="24"/>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1、本工程所有材料及设备均由乙方采购，乙方必须保证所采用的材料符合国家和地方现行规范标准，符合本合同要求的材料品牌、规格、质量标准及其他技术要求。</w:t>
      </w:r>
    </w:p>
    <w:p>
      <w:pPr>
        <w:overflowPunct/>
        <w:spacing w:line="360" w:lineRule="auto"/>
        <w:ind w:firstLine="446" w:firstLineChars="200"/>
        <w:rPr>
          <w:rFonts w:hint="eastAsia" w:ascii="宋体" w:hAnsi="宋体" w:eastAsia="宋体" w:cs="宋体"/>
          <w:color w:val="auto"/>
          <w:sz w:val="24"/>
          <w:szCs w:val="24"/>
          <w:highlight w:val="none"/>
        </w:rPr>
      </w:pPr>
      <w:r>
        <w:rPr>
          <w:rFonts w:hint="eastAsia" w:ascii="宋体" w:hAnsi="宋体" w:cs="宋体"/>
          <w:sz w:val="24"/>
          <w:szCs w:val="24"/>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2、乙方使用的材料设备如不符合合同约定要求，甲方或监理单位有权要求乙方负责更换、拆除并重新采购，由此产生的责任及损失由乙方承担。因材料不合格造成费用等损失均由乙方承担。</w:t>
      </w:r>
    </w:p>
    <w:p>
      <w:pPr>
        <w:overflowPunct/>
        <w:spacing w:line="360" w:lineRule="auto"/>
        <w:ind w:firstLine="446" w:firstLineChars="200"/>
        <w:rPr>
          <w:rFonts w:hint="eastAsia" w:ascii="宋体" w:hAnsi="宋体" w:eastAsia="宋体" w:cs="宋体"/>
          <w:color w:val="auto"/>
          <w:sz w:val="24"/>
          <w:szCs w:val="24"/>
          <w:highlight w:val="none"/>
        </w:rPr>
      </w:pPr>
      <w:r>
        <w:rPr>
          <w:rFonts w:hint="eastAsia" w:ascii="宋体" w:hAnsi="宋体" w:cs="宋体"/>
          <w:sz w:val="24"/>
          <w:szCs w:val="24"/>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乙方在购置设备及材料前必须经甲方、监理书面认可后方可采购。乙方采购的设备、材料等在进场前要先向甲方和监理方填报《材料、设备进场报验单》，经甲方和监理验收合格并书面签字认可后方能进场。材料进场验收要求详见《中浩德控股集团有限公司工程材料/设备进场验收管理制度V1.0 》。未经甲方和监理工程师检查认可的设备、材料不得进场；已进场但自检或甲方检验不合格的设备、材料应清退出场，由此造成的责任及损失由乙方负责。甲方的认可及/或签证并不视为对乙方供应设备及材料的质量合格的认可，也不因此免除乙方对设备及材料的质量瑕疵担保的责任。</w:t>
      </w:r>
    </w:p>
    <w:p>
      <w:pPr>
        <w:overflowPunct/>
        <w:spacing w:line="360" w:lineRule="auto"/>
        <w:ind w:firstLine="446" w:firstLineChars="200"/>
        <w:rPr>
          <w:rFonts w:hint="eastAsia" w:ascii="宋体" w:hAnsi="宋体" w:eastAsia="宋体" w:cs="宋体"/>
          <w:color w:val="auto"/>
          <w:sz w:val="24"/>
          <w:szCs w:val="24"/>
          <w:highlight w:val="none"/>
        </w:rPr>
      </w:pPr>
      <w:r>
        <w:rPr>
          <w:rFonts w:hint="eastAsia" w:ascii="宋体" w:hAnsi="宋体" w:cs="宋体"/>
          <w:sz w:val="24"/>
          <w:szCs w:val="24"/>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pPr>
        <w:overflowPunct/>
        <w:spacing w:line="360" w:lineRule="auto"/>
        <w:ind w:firstLine="446" w:firstLineChars="200"/>
        <w:rPr>
          <w:rFonts w:hint="eastAsia" w:ascii="宋体" w:hAnsi="宋体" w:eastAsia="宋体" w:cs="宋体"/>
          <w:color w:val="auto"/>
          <w:sz w:val="24"/>
          <w:szCs w:val="24"/>
          <w:highlight w:val="none"/>
        </w:rPr>
      </w:pPr>
      <w:r>
        <w:rPr>
          <w:rFonts w:hint="eastAsia" w:ascii="宋体" w:hAnsi="宋体" w:cs="宋体"/>
          <w:sz w:val="24"/>
          <w:szCs w:val="24"/>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5、主要材料品牌约定详见附件《主要材料品牌表》中约定的品牌，定制材料以现场封样确认的品牌为准。</w:t>
      </w:r>
    </w:p>
    <w:p>
      <w:pPr>
        <w:spacing w:line="360" w:lineRule="auto"/>
        <w:ind w:firstLine="446"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6、乙方确保随货提供的检测报告、合格证的真实性，否则，乙方应对所供产品符合合同约定承担证明责任。</w:t>
      </w:r>
    </w:p>
    <w:p>
      <w:pPr>
        <w:spacing w:line="360" w:lineRule="auto"/>
        <w:rPr>
          <w:rFonts w:ascii="宋体" w:hAnsi="宋体" w:cs="宋体"/>
          <w:b/>
          <w:bCs/>
          <w:sz w:val="24"/>
          <w:szCs w:val="24"/>
        </w:rPr>
      </w:pPr>
      <w:r>
        <w:rPr>
          <w:rFonts w:hint="eastAsia" w:ascii="宋体" w:hAnsi="宋体" w:cs="宋体"/>
          <w:b/>
          <w:bCs/>
          <w:sz w:val="24"/>
          <w:szCs w:val="24"/>
        </w:rPr>
        <w:t>十、送达条款</w:t>
      </w:r>
    </w:p>
    <w:p>
      <w:pPr>
        <w:spacing w:line="360" w:lineRule="auto"/>
        <w:ind w:firstLine="446" w:firstLineChars="200"/>
        <w:jc w:val="left"/>
        <w:rPr>
          <w:rFonts w:hint="eastAsia" w:ascii="宋体" w:hAnsi="宋体" w:cs="宋体"/>
          <w:sz w:val="24"/>
          <w:szCs w:val="24"/>
        </w:rPr>
      </w:pPr>
      <w:r>
        <w:rPr>
          <w:rFonts w:hint="eastAsia" w:ascii="宋体" w:hAnsi="宋体" w:cs="宋体"/>
          <w:sz w:val="24"/>
          <w:szCs w:val="24"/>
        </w:rPr>
        <w:t>1、</w:t>
      </w:r>
      <w:r>
        <w:rPr>
          <w:rFonts w:ascii="宋体" w:hAnsi="宋体" w:cs="宋体"/>
          <w:sz w:val="24"/>
          <w:szCs w:val="24"/>
        </w:rPr>
        <w:t>甲方</w:t>
      </w:r>
      <w:r>
        <w:rPr>
          <w:rFonts w:hint="eastAsia" w:ascii="宋体" w:hAnsi="宋体" w:cs="宋体"/>
          <w:sz w:val="24"/>
          <w:szCs w:val="24"/>
        </w:rPr>
        <w:t>确认的</w:t>
      </w:r>
      <w:r>
        <w:rPr>
          <w:rFonts w:ascii="宋体" w:hAnsi="宋体" w:cs="宋体"/>
          <w:sz w:val="24"/>
          <w:szCs w:val="24"/>
        </w:rPr>
        <w:t>送达信息如下：</w:t>
      </w:r>
    </w:p>
    <w:p>
      <w:pPr>
        <w:spacing w:line="360" w:lineRule="auto"/>
        <w:ind w:firstLine="446" w:firstLineChars="200"/>
        <w:rPr>
          <w:rFonts w:ascii="宋体" w:hAnsi="宋体" w:cs="宋体"/>
          <w:sz w:val="24"/>
          <w:szCs w:val="24"/>
        </w:rPr>
      </w:pPr>
      <w:r>
        <w:rPr>
          <w:rFonts w:hint="eastAsia" w:ascii="宋体" w:hAnsi="宋体" w:cs="宋体"/>
          <w:sz w:val="24"/>
          <w:szCs w:val="24"/>
        </w:rPr>
        <w:t>送达地址：</w:t>
      </w:r>
      <w:r>
        <w:rPr>
          <w:rFonts w:hint="eastAsia" w:ascii="宋体" w:hAnsi="宋体" w:cs="宋体"/>
          <w:sz w:val="24"/>
          <w:szCs w:val="24"/>
          <w:u w:val="single"/>
        </w:rPr>
        <w:t>洛阳市洛龙区开元大道开元壹号营销中心三楼</w:t>
      </w:r>
    </w:p>
    <w:p>
      <w:pPr>
        <w:spacing w:line="360" w:lineRule="auto"/>
        <w:ind w:firstLine="446" w:firstLineChars="200"/>
        <w:rPr>
          <w:rFonts w:ascii="宋体" w:hAnsi="宋体" w:cs="宋体"/>
          <w:sz w:val="24"/>
          <w:szCs w:val="24"/>
          <w:u w:val="single"/>
        </w:rPr>
      </w:pPr>
      <w:r>
        <w:rPr>
          <w:rFonts w:hint="eastAsia" w:ascii="宋体" w:hAnsi="宋体" w:cs="宋体"/>
          <w:sz w:val="24"/>
          <w:szCs w:val="24"/>
        </w:rPr>
        <w:t>联系人及联系方式：</w:t>
      </w:r>
      <w:r>
        <w:rPr>
          <w:rFonts w:hint="eastAsia" w:ascii="宋体" w:hAnsi="宋体" w:cs="宋体"/>
          <w:sz w:val="24"/>
          <w:szCs w:val="24"/>
          <w:u w:val="single"/>
        </w:rPr>
        <w:t>招采合约部 0379-</w:t>
      </w:r>
      <w:r>
        <w:rPr>
          <w:rFonts w:ascii="宋体" w:hAnsi="宋体" w:cs="宋体"/>
          <w:sz w:val="24"/>
          <w:szCs w:val="24"/>
          <w:u w:val="single"/>
        </w:rPr>
        <w:t>60198086</w:t>
      </w:r>
    </w:p>
    <w:p>
      <w:pPr>
        <w:spacing w:line="360" w:lineRule="auto"/>
        <w:ind w:firstLine="446" w:firstLineChars="200"/>
        <w:rPr>
          <w:rFonts w:ascii="宋体" w:hAnsi="宋体" w:cs="宋体"/>
          <w:sz w:val="24"/>
          <w:szCs w:val="24"/>
        </w:rPr>
      </w:pPr>
      <w:r>
        <w:rPr>
          <w:rFonts w:hint="eastAsia" w:ascii="宋体" w:hAnsi="宋体" w:cs="宋体"/>
          <w:sz w:val="24"/>
          <w:szCs w:val="24"/>
        </w:rPr>
        <w:t xml:space="preserve">2、乙方确认的送达信息如下： </w:t>
      </w:r>
    </w:p>
    <w:p>
      <w:pPr>
        <w:spacing w:line="360" w:lineRule="auto"/>
        <w:ind w:firstLine="480"/>
        <w:rPr>
          <w:rFonts w:ascii="宋体" w:hAnsi="宋体" w:cs="宋体"/>
          <w:sz w:val="24"/>
          <w:szCs w:val="24"/>
        </w:rPr>
      </w:pPr>
      <w:r>
        <w:rPr>
          <w:rFonts w:hint="eastAsia" w:ascii="宋体" w:hAnsi="宋体" w:cs="宋体"/>
          <w:sz w:val="24"/>
          <w:szCs w:val="24"/>
        </w:rPr>
        <w:t xml:space="preserve">送达地址：洛阳市涧西区九都西路中弘中央广场9-709                                              </w:t>
      </w:r>
    </w:p>
    <w:p>
      <w:pPr>
        <w:spacing w:line="360" w:lineRule="auto"/>
        <w:ind w:firstLine="446" w:firstLineChars="200"/>
        <w:rPr>
          <w:rFonts w:ascii="宋体" w:hAnsi="宋体" w:cs="宋体"/>
          <w:sz w:val="24"/>
          <w:szCs w:val="24"/>
          <w:highlight w:val="yellow"/>
          <w:u w:val="single"/>
        </w:rPr>
      </w:pPr>
      <w:r>
        <w:rPr>
          <w:rFonts w:hint="eastAsia" w:ascii="宋体" w:hAnsi="宋体" w:cs="宋体"/>
          <w:sz w:val="24"/>
          <w:szCs w:val="24"/>
        </w:rPr>
        <w:t>联系人及联系方式：赵经理，13938896555</w:t>
      </w:r>
      <w:r>
        <w:rPr>
          <w:rFonts w:hint="eastAsia" w:ascii="宋体" w:hAnsi="宋体" w:cs="宋体"/>
          <w:sz w:val="24"/>
          <w:szCs w:val="24"/>
          <w:lang w:eastAsia="zh-CN"/>
        </w:rPr>
        <w:t>、</w:t>
      </w:r>
      <w:r>
        <w:rPr>
          <w:rFonts w:hint="eastAsia" w:ascii="宋体" w:hAnsi="宋体" w:cs="宋体"/>
          <w:sz w:val="24"/>
          <w:szCs w:val="24"/>
        </w:rPr>
        <w:t>13526987666</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pPr>
        <w:spacing w:line="360" w:lineRule="auto"/>
        <w:ind w:firstLine="435" w:firstLineChars="195"/>
        <w:rPr>
          <w:rFonts w:hint="eastAsia" w:ascii="宋体" w:hAnsi="宋体" w:cs="宋体"/>
          <w:sz w:val="24"/>
          <w:szCs w:val="24"/>
        </w:rPr>
      </w:pPr>
      <w:r>
        <w:rPr>
          <w:rFonts w:hint="eastAsia" w:ascii="宋体" w:hAnsi="宋体" w:cs="宋体"/>
          <w:sz w:val="24"/>
          <w:szCs w:val="24"/>
        </w:rPr>
        <w:t>3、双方在此共同确认，上述送达信息将作为双方在合同项下邮寄往来通知、函件等任何文件资料及法院送达法律文书的唯一有效送达地址及联系信息。任何一方变更送达信息，应当提前10日书面通知对方，否则视为未变更。任何一方按照上述送达信息向对方邮寄任何文件资料，自邮件发出后的第3日视为已经有效送达对方并产生相应的法律后果，不论该邮件是否已经由对方实际签收。</w:t>
      </w:r>
    </w:p>
    <w:p>
      <w:pPr>
        <w:spacing w:line="360" w:lineRule="auto"/>
        <w:rPr>
          <w:rFonts w:hint="eastAsia" w:ascii="宋体" w:hAnsi="宋体" w:eastAsia="宋体" w:cs="宋体"/>
          <w:b/>
          <w:bCs/>
          <w:kern w:val="2"/>
          <w:sz w:val="24"/>
          <w:szCs w:val="24"/>
        </w:rPr>
      </w:pPr>
      <w:r>
        <w:rPr>
          <w:rFonts w:hint="eastAsia" w:ascii="宋体" w:hAnsi="宋体" w:cs="宋体"/>
          <w:b/>
          <w:bCs/>
          <w:sz w:val="24"/>
          <w:szCs w:val="24"/>
        </w:rPr>
        <w:t>十</w:t>
      </w:r>
      <w:r>
        <w:rPr>
          <w:rFonts w:hint="eastAsia" w:ascii="宋体" w:hAnsi="宋体" w:cs="宋体"/>
          <w:b/>
          <w:bCs/>
          <w:kern w:val="2"/>
          <w:sz w:val="24"/>
          <w:szCs w:val="24"/>
        </w:rPr>
        <w:t>一、</w:t>
      </w:r>
      <w:r>
        <w:rPr>
          <w:rFonts w:hint="eastAsia" w:ascii="宋体" w:hAnsi="宋体" w:eastAsia="宋体" w:cs="宋体"/>
          <w:b/>
          <w:bCs/>
          <w:kern w:val="2"/>
          <w:sz w:val="24"/>
          <w:szCs w:val="24"/>
        </w:rPr>
        <w:t>合同解约条款</w:t>
      </w:r>
    </w:p>
    <w:p>
      <w:pPr>
        <w:spacing w:line="360" w:lineRule="auto"/>
        <w:ind w:firstLine="446" w:firstLineChars="200"/>
        <w:rPr>
          <w:rFonts w:hint="eastAsia" w:ascii="宋体" w:hAnsi="宋体" w:cs="宋体"/>
          <w:color w:val="auto"/>
          <w:sz w:val="24"/>
          <w:szCs w:val="24"/>
          <w:highlight w:val="none"/>
        </w:rPr>
      </w:pPr>
      <w:r>
        <w:rPr>
          <w:rFonts w:hint="eastAsia" w:ascii="宋体" w:hAnsi="宋体" w:cs="宋体"/>
          <w:b w:val="0"/>
          <w:bCs w:val="0"/>
          <w:color w:val="auto"/>
          <w:sz w:val="24"/>
          <w:szCs w:val="24"/>
          <w:highlight w:val="none"/>
        </w:rPr>
        <w:t>1、乙方存在如下任</w:t>
      </w:r>
      <w:r>
        <w:rPr>
          <w:rFonts w:hint="eastAsia" w:ascii="宋体" w:hAnsi="宋体" w:cs="宋体"/>
          <w:color w:val="auto"/>
          <w:sz w:val="24"/>
          <w:szCs w:val="24"/>
          <w:highlight w:val="none"/>
        </w:rPr>
        <w:t>一情况的，甲方有权要求乙方按照合同总价的20%支付违约金（本合同另有约定时除外），且有权解除本合同，解除通知到达乙方之日生效，该违约金不足以弥补甲方损失，乙方还应继续承担赔偿责任。</w:t>
      </w:r>
    </w:p>
    <w:p>
      <w:pPr>
        <w:tabs>
          <w:tab w:val="left" w:pos="900"/>
        </w:tabs>
        <w:spacing w:line="360" w:lineRule="auto"/>
        <w:ind w:firstLine="446"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1.1、本工程不能通过验收的；</w:t>
      </w:r>
    </w:p>
    <w:p>
      <w:pPr>
        <w:tabs>
          <w:tab w:val="left" w:pos="900"/>
        </w:tabs>
        <w:spacing w:line="360" w:lineRule="auto"/>
        <w:ind w:firstLine="446"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1.2、乙方未能按时</w:t>
      </w:r>
      <w:r>
        <w:rPr>
          <w:rFonts w:hint="eastAsia" w:ascii="宋体" w:hAnsi="宋体" w:cs="宋体"/>
          <w:color w:val="auto"/>
          <w:sz w:val="24"/>
          <w:szCs w:val="24"/>
          <w:highlight w:val="none"/>
          <w:lang w:val="en-US" w:eastAsia="zh-CN"/>
        </w:rPr>
        <w:t>供应</w:t>
      </w:r>
      <w:r>
        <w:rPr>
          <w:rFonts w:hint="eastAsia" w:ascii="宋体" w:hAnsi="宋体" w:cs="宋体"/>
          <w:color w:val="auto"/>
          <w:sz w:val="24"/>
          <w:szCs w:val="24"/>
          <w:highlight w:val="none"/>
        </w:rPr>
        <w:t>，在甲方发出书面通知后的</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日内仍未</w:t>
      </w:r>
      <w:r>
        <w:rPr>
          <w:rFonts w:hint="eastAsia" w:ascii="宋体" w:hAnsi="宋体" w:cs="宋体"/>
          <w:color w:val="auto"/>
          <w:sz w:val="24"/>
          <w:szCs w:val="24"/>
          <w:highlight w:val="none"/>
          <w:lang w:val="en-US" w:eastAsia="zh-CN"/>
        </w:rPr>
        <w:t>供应</w:t>
      </w:r>
      <w:r>
        <w:rPr>
          <w:rFonts w:hint="eastAsia" w:ascii="宋体" w:hAnsi="宋体" w:cs="宋体"/>
          <w:color w:val="auto"/>
          <w:sz w:val="24"/>
          <w:szCs w:val="24"/>
          <w:highlight w:val="none"/>
        </w:rPr>
        <w:t>的；</w:t>
      </w:r>
    </w:p>
    <w:p>
      <w:pPr>
        <w:tabs>
          <w:tab w:val="left" w:pos="900"/>
        </w:tabs>
        <w:spacing w:line="360" w:lineRule="auto"/>
        <w:ind w:firstLine="446"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1.3、乙方在施工过程中非因不可抗力或甲方原因造成连续停工</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日以上或累计达</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日的；</w:t>
      </w:r>
    </w:p>
    <w:p>
      <w:pPr>
        <w:tabs>
          <w:tab w:val="left" w:pos="900"/>
        </w:tabs>
        <w:spacing w:line="360" w:lineRule="auto"/>
        <w:ind w:firstLine="446"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1.4、乙方逾期</w:t>
      </w:r>
      <w:r>
        <w:rPr>
          <w:rFonts w:hint="eastAsia" w:ascii="宋体" w:hAnsi="宋体" w:cs="宋体"/>
          <w:bCs w:val="0"/>
          <w:color w:val="000000"/>
          <w:sz w:val="24"/>
          <w:szCs w:val="22"/>
        </w:rPr>
        <w:t>向</w:t>
      </w:r>
      <w:r>
        <w:rPr>
          <w:rFonts w:hint="eastAsia" w:ascii="宋体" w:hAnsi="宋体" w:cs="宋体"/>
          <w:bCs w:val="0"/>
          <w:color w:val="000000"/>
          <w:sz w:val="24"/>
          <w:szCs w:val="22"/>
          <w:lang w:val="en-US" w:eastAsia="zh-CN"/>
        </w:rPr>
        <w:t>甲</w:t>
      </w:r>
      <w:r>
        <w:rPr>
          <w:rFonts w:hint="eastAsia" w:ascii="宋体" w:hAnsi="宋体" w:cs="宋体"/>
          <w:bCs w:val="0"/>
          <w:color w:val="000000"/>
          <w:sz w:val="24"/>
          <w:szCs w:val="22"/>
        </w:rPr>
        <w:t>方提交竣工结算书及完整的竣工结算资料、核对工程价款或其他逾期行为达</w:t>
      </w:r>
      <w:r>
        <w:rPr>
          <w:rFonts w:hint="eastAsia" w:ascii="宋体" w:hAnsi="宋体" w:cs="宋体"/>
          <w:bCs w:val="0"/>
          <w:color w:val="000000"/>
          <w:sz w:val="24"/>
          <w:szCs w:val="22"/>
          <w:lang w:val="en-US" w:eastAsia="zh-CN"/>
        </w:rPr>
        <w:t>15</w:t>
      </w:r>
      <w:r>
        <w:rPr>
          <w:rFonts w:hint="eastAsia" w:ascii="宋体" w:hAnsi="宋体" w:cs="宋体"/>
          <w:bCs w:val="0"/>
          <w:color w:val="000000"/>
          <w:sz w:val="24"/>
          <w:szCs w:val="22"/>
        </w:rPr>
        <w:t>日及以上的</w:t>
      </w:r>
      <w:r>
        <w:rPr>
          <w:rFonts w:hint="eastAsia" w:ascii="宋体" w:hAnsi="宋体" w:cs="宋体"/>
          <w:color w:val="auto"/>
          <w:sz w:val="24"/>
          <w:szCs w:val="24"/>
          <w:highlight w:val="none"/>
        </w:rPr>
        <w:t>；</w:t>
      </w:r>
    </w:p>
    <w:p>
      <w:pPr>
        <w:tabs>
          <w:tab w:val="left" w:pos="900"/>
        </w:tabs>
        <w:spacing w:line="360" w:lineRule="auto"/>
        <w:ind w:firstLine="446"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1.5、乙方人员在施工区内出现打架斗殴行为至警察出警、立案、相关行为人</w:t>
      </w:r>
      <w:r>
        <w:rPr>
          <w:rFonts w:hint="eastAsia" w:ascii="宋体" w:hAnsi="宋体" w:cs="宋体"/>
          <w:color w:val="auto"/>
          <w:sz w:val="24"/>
          <w:szCs w:val="24"/>
          <w:highlight w:val="none"/>
          <w:lang w:val="en-US" w:eastAsia="zh-CN"/>
        </w:rPr>
        <w:t>受到</w:t>
      </w:r>
      <w:r>
        <w:rPr>
          <w:rFonts w:hint="eastAsia" w:ascii="宋体" w:hAnsi="宋体" w:cs="宋体"/>
          <w:color w:val="auto"/>
          <w:sz w:val="24"/>
          <w:szCs w:val="24"/>
          <w:highlight w:val="none"/>
        </w:rPr>
        <w:t>行政处罚或刑事处罚的</w:t>
      </w:r>
      <w:r>
        <w:rPr>
          <w:rFonts w:hint="eastAsia" w:ascii="宋体" w:hAnsi="宋体" w:cs="宋体"/>
          <w:color w:val="auto"/>
          <w:sz w:val="24"/>
          <w:szCs w:val="24"/>
          <w:highlight w:val="none"/>
          <w:lang w:eastAsia="zh-CN"/>
        </w:rPr>
        <w:t>，且乙方未妥善处理的</w:t>
      </w:r>
      <w:r>
        <w:rPr>
          <w:rFonts w:hint="eastAsia" w:ascii="宋体" w:hAnsi="宋体" w:cs="宋体"/>
          <w:color w:val="auto"/>
          <w:sz w:val="24"/>
          <w:szCs w:val="24"/>
          <w:highlight w:val="none"/>
        </w:rPr>
        <w:t>；</w:t>
      </w:r>
    </w:p>
    <w:p>
      <w:pPr>
        <w:tabs>
          <w:tab w:val="left" w:pos="900"/>
        </w:tabs>
        <w:spacing w:line="360" w:lineRule="auto"/>
        <w:ind w:firstLine="446"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1.6、乙方擅自把工程分包或转包给其他任何单位的；</w:t>
      </w:r>
    </w:p>
    <w:p>
      <w:pPr>
        <w:tabs>
          <w:tab w:val="left" w:pos="900"/>
        </w:tabs>
        <w:spacing w:line="360" w:lineRule="auto"/>
        <w:ind w:firstLine="446"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1.7、乙方与甲方工作人员串通、虚构事实或使用其他方式虚报工程量的；</w:t>
      </w:r>
    </w:p>
    <w:p>
      <w:pPr>
        <w:tabs>
          <w:tab w:val="left" w:pos="900"/>
        </w:tabs>
        <w:spacing w:line="360" w:lineRule="auto"/>
        <w:ind w:firstLine="446"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1.8、甲方或监理方对同一施工问题连续下发三次整改通知书后乙方无作为或整改问题未在整改通知书要求的期限内解决；</w:t>
      </w:r>
    </w:p>
    <w:p>
      <w:pPr>
        <w:tabs>
          <w:tab w:val="left" w:pos="900"/>
        </w:tabs>
        <w:spacing w:line="360" w:lineRule="auto"/>
        <w:ind w:firstLine="446"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1.9、乙方购置不符合合同约定的品牌、厂家、产地、材质、工艺、规格、型号等标准的产品或者假冒伪劣产品用于本工程；</w:t>
      </w:r>
    </w:p>
    <w:p>
      <w:pPr>
        <w:tabs>
          <w:tab w:val="left" w:pos="900"/>
        </w:tabs>
        <w:spacing w:line="360" w:lineRule="auto"/>
        <w:ind w:firstLine="446"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1.10、乙方存在其他违约行为，经甲方书面通知之日</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日内仍未纠正的。</w:t>
      </w:r>
    </w:p>
    <w:p>
      <w:pPr>
        <w:spacing w:line="360" w:lineRule="auto"/>
        <w:ind w:firstLine="446"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spacing w:line="360" w:lineRule="auto"/>
        <w:ind w:firstLine="435" w:firstLineChars="195"/>
        <w:rPr>
          <w:rFonts w:hint="eastAsia" w:ascii="宋体" w:hAnsi="宋体" w:cs="宋体"/>
          <w:color w:val="auto"/>
          <w:sz w:val="24"/>
          <w:szCs w:val="24"/>
          <w:highlight w:val="none"/>
        </w:rPr>
      </w:pPr>
      <w:r>
        <w:rPr>
          <w:rFonts w:hint="eastAsia" w:ascii="宋体" w:hAnsi="宋体" w:cs="宋体"/>
          <w:bCs w:val="0"/>
          <w:color w:val="auto"/>
          <w:sz w:val="24"/>
          <w:szCs w:val="24"/>
          <w:highlight w:val="none"/>
        </w:rPr>
        <w:t>3、如合同解约甲方有权委托其他公司进行施工。</w:t>
      </w:r>
    </w:p>
    <w:p>
      <w:pPr>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cs="宋体"/>
          <w:b/>
          <w:bCs/>
          <w:sz w:val="24"/>
          <w:szCs w:val="24"/>
          <w:lang w:val="en-US" w:eastAsia="zh-CN"/>
        </w:rPr>
        <w:t>二</w:t>
      </w:r>
      <w:r>
        <w:rPr>
          <w:rFonts w:hint="eastAsia" w:ascii="宋体" w:hAnsi="宋体" w:eastAsia="宋体" w:cs="宋体"/>
          <w:b/>
          <w:bCs/>
          <w:color w:val="auto"/>
          <w:sz w:val="24"/>
          <w:szCs w:val="24"/>
          <w:highlight w:val="none"/>
        </w:rPr>
        <w:t>、争议的解决</w:t>
      </w:r>
    </w:p>
    <w:p>
      <w:pPr>
        <w:kinsoku w:val="0"/>
        <w:wordWrap w:val="0"/>
        <w:topLinePunct/>
        <w:autoSpaceDE w:val="0"/>
        <w:spacing w:line="360" w:lineRule="auto"/>
        <w:ind w:firstLine="47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本合同履行过程中发生争议或纠纷的，由当事人双方协商解决。协商不成时，双方同意向合同签约地人民法院提起诉讼。</w:t>
      </w:r>
    </w:p>
    <w:p>
      <w:pPr>
        <w:pStyle w:val="2"/>
        <w:kinsoku w:val="0"/>
        <w:wordWrap w:val="0"/>
        <w:topLinePunct/>
        <w:autoSpaceDE w:val="0"/>
        <w:rPr>
          <w:rFonts w:ascii="宋体" w:hAnsi="宋体" w:cs="宋体"/>
          <w:b/>
          <w:bCs/>
          <w:szCs w:val="24"/>
        </w:rPr>
      </w:pPr>
      <w:r>
        <w:rPr>
          <w:rFonts w:hint="eastAsia" w:ascii="宋体" w:hAnsi="宋体" w:eastAsia="宋体" w:cs="宋体"/>
          <w:b/>
          <w:bCs/>
          <w:sz w:val="24"/>
          <w:szCs w:val="24"/>
          <w:lang w:val="en-US" w:eastAsia="zh-CN"/>
        </w:rPr>
        <w:t>十三</w:t>
      </w:r>
      <w:r>
        <w:rPr>
          <w:rFonts w:hint="eastAsia" w:ascii="宋体" w:hAnsi="宋体" w:cs="宋体"/>
          <w:b/>
          <w:bCs/>
          <w:sz w:val="24"/>
          <w:szCs w:val="24"/>
        </w:rPr>
        <w:t>、其他</w:t>
      </w:r>
    </w:p>
    <w:p>
      <w:pPr>
        <w:kinsoku w:val="0"/>
        <w:wordWrap w:val="0"/>
        <w:topLinePunct/>
        <w:autoSpaceDE w:val="0"/>
        <w:spacing w:line="360" w:lineRule="auto"/>
        <w:ind w:firstLine="47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1、本合同未尽事宜双方协商解决或另签补充协议，补充协议与本合同具有同等法律效力。</w:t>
      </w:r>
    </w:p>
    <w:p>
      <w:pPr>
        <w:kinsoku w:val="0"/>
        <w:wordWrap w:val="0"/>
        <w:topLinePunct/>
        <w:autoSpaceDE w:val="0"/>
        <w:spacing w:line="360" w:lineRule="auto"/>
        <w:ind w:firstLine="47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2、本合同一式柒份，甲方伍份，乙方贰份，均具同等法律效力。</w:t>
      </w:r>
    </w:p>
    <w:p>
      <w:pPr>
        <w:kinsoku w:val="0"/>
        <w:wordWrap w:val="0"/>
        <w:topLinePunct/>
        <w:autoSpaceDE w:val="0"/>
        <w:spacing w:line="360" w:lineRule="auto"/>
        <w:ind w:firstLine="478" w:firstLineChars="200"/>
        <w:rPr>
          <w:rFonts w:hint="eastAsia" w:ascii="宋体" w:hAnsi="宋体" w:cs="宋体"/>
          <w:color w:val="auto"/>
          <w:spacing w:val="8"/>
          <w:sz w:val="24"/>
          <w:szCs w:val="24"/>
          <w:highlight w:val="none"/>
        </w:rPr>
      </w:pPr>
      <w:r>
        <w:rPr>
          <w:rFonts w:hint="eastAsia" w:ascii="宋体" w:hAnsi="宋体" w:cs="宋体"/>
          <w:color w:val="auto"/>
          <w:spacing w:val="8"/>
          <w:sz w:val="24"/>
          <w:szCs w:val="24"/>
          <w:highlight w:val="none"/>
        </w:rPr>
        <w:t>3、本合同及其补充协议自双方盖章之日起生效。</w:t>
      </w:r>
    </w:p>
    <w:p>
      <w:pPr>
        <w:kinsoku w:val="0"/>
        <w:wordWrap w:val="0"/>
        <w:topLinePunct/>
        <w:autoSpaceDE w:val="0"/>
        <w:spacing w:line="360" w:lineRule="auto"/>
        <w:ind w:firstLine="478" w:firstLineChars="200"/>
        <w:rPr>
          <w:rFonts w:ascii="宋体" w:hAnsi="宋体" w:cs="宋体"/>
          <w:sz w:val="24"/>
          <w:szCs w:val="24"/>
        </w:rPr>
      </w:pPr>
      <w:r>
        <w:rPr>
          <w:rFonts w:hint="eastAsia" w:ascii="宋体" w:hAnsi="宋体" w:cs="宋体"/>
          <w:color w:val="auto"/>
          <w:spacing w:val="8"/>
          <w:sz w:val="24"/>
          <w:szCs w:val="24"/>
          <w:highlight w:val="none"/>
        </w:rPr>
        <w:t xml:space="preserve">4、合同签订地点：洛阳市洛龙区开。 </w:t>
      </w:r>
    </w:p>
    <w:p>
      <w:pPr>
        <w:spacing w:line="360" w:lineRule="auto"/>
        <w:rPr>
          <w:rFonts w:ascii="宋体" w:hAnsi="宋体" w:cs="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四</w:t>
      </w:r>
      <w:r>
        <w:rPr>
          <w:rFonts w:hint="eastAsia" w:ascii="宋体" w:hAnsi="宋体" w:cs="宋体"/>
          <w:b/>
          <w:bCs/>
          <w:sz w:val="24"/>
          <w:szCs w:val="24"/>
        </w:rPr>
        <w:t>、附件</w:t>
      </w:r>
    </w:p>
    <w:p>
      <w:pPr>
        <w:pStyle w:val="27"/>
        <w:spacing w:line="360" w:lineRule="auto"/>
        <w:ind w:firstLine="446"/>
        <w:rPr>
          <w:rFonts w:ascii="宋体" w:hAnsi="宋体" w:cs="宋体"/>
          <w:sz w:val="24"/>
          <w:szCs w:val="24"/>
        </w:rPr>
      </w:pPr>
      <w:r>
        <w:rPr>
          <w:rFonts w:hint="eastAsia" w:ascii="宋体" w:hAnsi="宋体" w:cs="宋体"/>
          <w:sz w:val="24"/>
          <w:szCs w:val="24"/>
        </w:rPr>
        <w:t>1、附件一、《工程量清单计价表》</w:t>
      </w:r>
    </w:p>
    <w:p>
      <w:pPr>
        <w:pStyle w:val="27"/>
        <w:spacing w:line="360" w:lineRule="auto"/>
        <w:ind w:firstLine="446"/>
        <w:rPr>
          <w:rFonts w:ascii="宋体" w:hAnsi="宋体" w:cs="宋体"/>
          <w:sz w:val="24"/>
          <w:szCs w:val="24"/>
        </w:rPr>
      </w:pPr>
      <w:r>
        <w:rPr>
          <w:rFonts w:hint="eastAsia" w:ascii="宋体" w:hAnsi="宋体" w:cs="宋体"/>
          <w:sz w:val="24"/>
          <w:szCs w:val="24"/>
        </w:rPr>
        <w:t>2、附件二、</w:t>
      </w:r>
      <w:r>
        <w:rPr>
          <w:rFonts w:hint="eastAsia" w:ascii="宋体" w:hAnsi="宋体" w:eastAsia="宋体" w:cs="宋体"/>
          <w:sz w:val="24"/>
          <w:szCs w:val="24"/>
        </w:rPr>
        <w:t>开关插座验收单（四方签字单）</w:t>
      </w:r>
    </w:p>
    <w:p>
      <w:pPr>
        <w:pStyle w:val="27"/>
        <w:spacing w:line="360" w:lineRule="auto"/>
        <w:ind w:firstLine="446"/>
        <w:rPr>
          <w:rFonts w:ascii="宋体" w:hAnsi="宋体" w:cs="宋体"/>
          <w:sz w:val="24"/>
          <w:szCs w:val="24"/>
        </w:rPr>
      </w:pPr>
      <w:r>
        <w:rPr>
          <w:rFonts w:hint="eastAsia" w:ascii="宋体" w:hAnsi="宋体" w:cs="宋体"/>
          <w:sz w:val="24"/>
          <w:szCs w:val="24"/>
        </w:rPr>
        <w:t>2、附件三、廉政合作协议</w:t>
      </w:r>
    </w:p>
    <w:p>
      <w:pPr>
        <w:spacing w:line="360" w:lineRule="auto"/>
        <w:ind w:firstLine="446" w:firstLineChars="200"/>
        <w:rPr>
          <w:rFonts w:ascii="宋体" w:hAnsi="宋体" w:cs="宋体"/>
          <w:sz w:val="24"/>
          <w:szCs w:val="24"/>
        </w:rPr>
      </w:pPr>
      <w:r>
        <w:rPr>
          <w:rFonts w:hint="eastAsia" w:ascii="宋体" w:hAnsi="宋体" w:cs="宋体"/>
          <w:sz w:val="24"/>
          <w:szCs w:val="24"/>
        </w:rPr>
        <w:t>（以下无正文）</w:t>
      </w:r>
    </w:p>
    <w:p>
      <w:pPr>
        <w:spacing w:line="360" w:lineRule="auto"/>
        <w:ind w:left="8245" w:leftChars="228" w:hanging="7805" w:hangingChars="3500"/>
        <w:rPr>
          <w:rFonts w:hint="eastAsia" w:ascii="宋体" w:hAnsi="宋体" w:eastAsia="宋体" w:cs="宋体"/>
          <w:sz w:val="24"/>
          <w:szCs w:val="24"/>
          <w:lang w:eastAsia="zh-CN"/>
        </w:rPr>
      </w:pPr>
      <w:r>
        <w:rPr>
          <w:rFonts w:hint="eastAsia" w:ascii="宋体" w:hAnsi="宋体" w:cs="宋体"/>
          <w:sz w:val="24"/>
          <w:szCs w:val="24"/>
        </w:rPr>
        <w:t>甲方（盖章）:洛阳浩德鑫置地有限公司   乙方（盖章）:</w:t>
      </w:r>
      <w:r>
        <w:rPr>
          <w:rFonts w:hint="eastAsia" w:ascii="宋体" w:hAnsi="宋体" w:cs="宋体"/>
          <w:sz w:val="24"/>
          <w:szCs w:val="24"/>
          <w:lang w:eastAsia="zh-CN"/>
        </w:rPr>
        <w:t>洛阳铭一电器设备有限公司</w:t>
      </w:r>
    </w:p>
    <w:p>
      <w:pPr>
        <w:spacing w:line="360" w:lineRule="auto"/>
        <w:ind w:firstLine="446" w:firstLineChars="200"/>
        <w:rPr>
          <w:rFonts w:hint="eastAsia" w:ascii="宋体" w:hAnsi="宋体" w:cs="宋体"/>
          <w:sz w:val="24"/>
          <w:szCs w:val="24"/>
        </w:rPr>
      </w:pPr>
      <w:r>
        <w:rPr>
          <w:rFonts w:hint="eastAsia" w:ascii="宋体" w:hAnsi="宋体" w:cs="宋体"/>
          <w:sz w:val="24"/>
          <w:szCs w:val="24"/>
        </w:rPr>
        <w:t>法 人 代 表：</w:t>
      </w:r>
      <w:r>
        <w:rPr>
          <w:rFonts w:hint="eastAsia" w:ascii="宋体" w:hAnsi="宋体" w:cs="宋体"/>
          <w:sz w:val="24"/>
          <w:szCs w:val="24"/>
        </w:rPr>
        <w:tab/>
      </w:r>
      <w:r>
        <w:rPr>
          <w:rFonts w:hint="eastAsia" w:ascii="宋体" w:hAnsi="宋体" w:cs="宋体"/>
          <w:sz w:val="24"/>
          <w:szCs w:val="24"/>
        </w:rPr>
        <w:t xml:space="preserve">                       法 人 代 表：</w:t>
      </w:r>
    </w:p>
    <w:p>
      <w:pPr>
        <w:spacing w:line="360" w:lineRule="auto"/>
        <w:ind w:firstLine="446" w:firstLineChars="200"/>
        <w:rPr>
          <w:rFonts w:hint="eastAsia" w:ascii="宋体" w:hAnsi="宋体" w:cs="宋体"/>
          <w:sz w:val="24"/>
          <w:szCs w:val="24"/>
        </w:rPr>
      </w:pPr>
      <w:r>
        <w:rPr>
          <w:rFonts w:hint="eastAsia" w:ascii="宋体" w:hAnsi="宋体" w:cs="宋体"/>
          <w:sz w:val="24"/>
          <w:szCs w:val="24"/>
        </w:rPr>
        <w:t>或授权委托人：                        或授权委托人：</w:t>
      </w:r>
    </w:p>
    <w:p>
      <w:pPr>
        <w:spacing w:line="360" w:lineRule="auto"/>
        <w:ind w:firstLine="446" w:firstLineChars="200"/>
        <w:rPr>
          <w:rFonts w:hint="eastAsia" w:ascii="宋体" w:hAnsi="宋体" w:cs="宋体"/>
          <w:sz w:val="24"/>
          <w:szCs w:val="24"/>
        </w:rPr>
      </w:pPr>
      <w:r>
        <w:rPr>
          <w:rFonts w:hint="eastAsia" w:ascii="宋体" w:hAnsi="宋体" w:cs="宋体"/>
          <w:sz w:val="24"/>
          <w:szCs w:val="24"/>
        </w:rPr>
        <w:t>税号：91410 30055 42480 325           税号：91410305076831775F</w:t>
      </w:r>
    </w:p>
    <w:p>
      <w:pPr>
        <w:ind w:left="1458" w:leftChars="178" w:hanging="1115" w:hangingChars="500"/>
        <w:rPr>
          <w:rFonts w:hint="eastAsia" w:ascii="宋体" w:hAnsi="宋体" w:cs="宋体"/>
          <w:sz w:val="24"/>
          <w:szCs w:val="24"/>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rPr>
        <w:t>账户：00000061411416707012            账户：1705020809200167293</w:t>
      </w:r>
      <w:r>
        <w:rPr>
          <w:rFonts w:hint="eastAsia" w:ascii="宋体" w:hAnsi="宋体" w:cs="宋体"/>
          <w:sz w:val="24"/>
          <w:szCs w:val="24"/>
          <w:lang w:val="en-US" w:eastAsia="zh-CN"/>
        </w:rPr>
        <w:t xml:space="preserve"> </w:t>
      </w:r>
    </w:p>
    <w:p>
      <w:pPr>
        <w:spacing w:line="240" w:lineRule="auto"/>
        <w:ind w:left="1455" w:leftChars="292" w:hanging="892" w:hangingChars="400"/>
        <w:rPr>
          <w:rFonts w:hint="eastAsia" w:ascii="宋体" w:hAnsi="宋体" w:eastAsia="宋体" w:cs="宋体"/>
          <w:sz w:val="24"/>
          <w:szCs w:val="24"/>
          <w:lang w:val="en-US" w:eastAsia="zh-CN"/>
        </w:rPr>
      </w:pPr>
      <w:r>
        <w:rPr>
          <w:rFonts w:hint="eastAsia" w:ascii="宋体" w:hAnsi="宋体" w:cs="宋体"/>
          <w:sz w:val="24"/>
          <w:szCs w:val="24"/>
        </w:rPr>
        <w:t xml:space="preserve">开户行：洛阳农村商业银行股份有限公司 开户行：中国工商银行洛阳分行涧西支行 </w:t>
      </w:r>
    </w:p>
    <w:p>
      <w:pPr>
        <w:spacing w:line="360" w:lineRule="auto"/>
        <w:ind w:firstLine="1338" w:firstLineChars="600"/>
        <w:rPr>
          <w:rFonts w:hint="eastAsia" w:ascii="宋体" w:hAnsi="宋体" w:eastAsia="宋体" w:cs="宋体"/>
          <w:sz w:val="24"/>
          <w:szCs w:val="24"/>
          <w:lang w:val="en-US" w:eastAsia="zh-CN"/>
        </w:rPr>
      </w:pPr>
      <w:r>
        <w:rPr>
          <w:rFonts w:hint="eastAsia" w:ascii="宋体" w:hAnsi="宋体" w:cs="宋体"/>
          <w:sz w:val="24"/>
          <w:szCs w:val="24"/>
        </w:rPr>
        <w:t xml:space="preserve">李楼支行                              </w:t>
      </w:r>
      <w:r>
        <w:rPr>
          <w:rFonts w:hint="eastAsia" w:ascii="宋体" w:hAnsi="宋体" w:cs="宋体"/>
          <w:sz w:val="24"/>
          <w:szCs w:val="24"/>
          <w:lang w:val="en-US" w:eastAsia="zh-CN"/>
        </w:rPr>
        <w:t xml:space="preserve"> </w:t>
      </w:r>
    </w:p>
    <w:p>
      <w:pPr>
        <w:spacing w:line="360" w:lineRule="auto"/>
        <w:ind w:firstLine="446" w:firstLineChars="200"/>
        <w:rPr>
          <w:rFonts w:hint="eastAsia" w:ascii="宋体" w:hAnsi="宋体" w:cs="宋体"/>
          <w:sz w:val="24"/>
          <w:szCs w:val="24"/>
        </w:rPr>
      </w:pPr>
      <w:r>
        <w:rPr>
          <w:rFonts w:hint="eastAsia" w:ascii="宋体" w:hAnsi="宋体" w:cs="宋体"/>
          <w:sz w:val="24"/>
          <w:szCs w:val="24"/>
        </w:rPr>
        <w:t xml:space="preserve">日期： </w:t>
      </w:r>
      <w:r>
        <w:rPr>
          <w:rFonts w:hint="eastAsia" w:ascii="宋体" w:hAnsi="宋体" w:cs="宋体"/>
          <w:sz w:val="24"/>
          <w:szCs w:val="24"/>
          <w:lang w:eastAsia="zh-CN"/>
        </w:rPr>
        <w:t>2024年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30</w:t>
      </w:r>
      <w:r>
        <w:rPr>
          <w:rFonts w:hint="eastAsia" w:ascii="宋体" w:hAnsi="宋体" w:cs="宋体"/>
          <w:sz w:val="24"/>
          <w:szCs w:val="24"/>
        </w:rPr>
        <w:t>日               日期：</w:t>
      </w:r>
      <w:r>
        <w:rPr>
          <w:rFonts w:hint="eastAsia" w:ascii="宋体" w:hAnsi="宋体" w:cs="宋体"/>
          <w:sz w:val="24"/>
          <w:szCs w:val="24"/>
          <w:lang w:eastAsia="zh-CN"/>
        </w:rPr>
        <w:t>2024年</w:t>
      </w:r>
      <w:r>
        <w:rPr>
          <w:rFonts w:hint="eastAsia" w:ascii="宋体" w:hAnsi="宋体" w:cs="宋体"/>
          <w:sz w:val="24"/>
          <w:szCs w:val="24"/>
          <w:lang w:val="en-US" w:eastAsia="zh-CN"/>
        </w:rPr>
        <w:t xml:space="preserve">11 </w:t>
      </w:r>
      <w:r>
        <w:rPr>
          <w:rFonts w:hint="eastAsia" w:ascii="宋体" w:hAnsi="宋体" w:cs="宋体"/>
          <w:sz w:val="24"/>
          <w:szCs w:val="24"/>
        </w:rPr>
        <w:t>月</w:t>
      </w:r>
      <w:r>
        <w:rPr>
          <w:rFonts w:hint="eastAsia" w:ascii="宋体" w:hAnsi="宋体" w:cs="宋体"/>
          <w:sz w:val="24"/>
          <w:szCs w:val="24"/>
          <w:lang w:val="en-US" w:eastAsia="zh-CN"/>
        </w:rPr>
        <w:t>30</w:t>
      </w:r>
      <w:r>
        <w:rPr>
          <w:rFonts w:hint="eastAsia" w:ascii="宋体" w:hAnsi="宋体" w:cs="宋体"/>
          <w:sz w:val="24"/>
          <w:szCs w:val="24"/>
        </w:rPr>
        <w:t>日</w:t>
      </w: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p>
    <w:p>
      <w:pPr>
        <w:spacing w:line="360" w:lineRule="auto"/>
        <w:rPr>
          <w:rFonts w:ascii="宋体" w:hAnsi="宋体" w:cs="宋体"/>
          <w:b/>
          <w:kern w:val="0"/>
          <w:sz w:val="24"/>
          <w:szCs w:val="24"/>
        </w:rPr>
      </w:pPr>
      <w:r>
        <w:rPr>
          <w:rFonts w:ascii="宋体" w:hAnsi="宋体" w:cs="宋体"/>
          <w:b/>
          <w:kern w:val="0"/>
          <w:sz w:val="24"/>
          <w:szCs w:val="24"/>
        </w:rPr>
        <w:t>附件一</w:t>
      </w:r>
      <w:r>
        <w:rPr>
          <w:rFonts w:hint="eastAsia" w:ascii="宋体" w:hAnsi="宋体" w:cs="宋体"/>
          <w:b/>
          <w:bCs/>
          <w:sz w:val="24"/>
          <w:szCs w:val="24"/>
        </w:rPr>
        <w:t>《工程量清单计价表》</w:t>
      </w:r>
    </w:p>
    <w:tbl>
      <w:tblPr>
        <w:tblStyle w:val="22"/>
        <w:tblW w:w="95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9"/>
        <w:gridCol w:w="1869"/>
        <w:gridCol w:w="745"/>
        <w:gridCol w:w="407"/>
        <w:gridCol w:w="598"/>
        <w:gridCol w:w="849"/>
        <w:gridCol w:w="885"/>
        <w:gridCol w:w="2225"/>
        <w:gridCol w:w="1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9560"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2"/>
                <w:szCs w:val="32"/>
                <w:u w:val="none"/>
                <w:lang w:val="en-US" w:eastAsia="zh-CN" w:bidi="ar"/>
              </w:rPr>
              <w:t>开元壹号62地块50公寓楼开关插座面板报价清单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3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0"/>
                <w:szCs w:val="20"/>
                <w:u w:val="none"/>
                <w:lang w:val="en-US" w:eastAsia="zh-CN" w:bidi="ar"/>
              </w:rPr>
              <w:t>单位</w:t>
            </w:r>
          </w:p>
        </w:tc>
        <w:tc>
          <w:tcPr>
            <w:tcW w:w="5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bCs/>
                <w:i w:val="0"/>
                <w:iCs w:val="0"/>
                <w:color w:val="000000"/>
                <w:kern w:val="0"/>
                <w:sz w:val="20"/>
                <w:szCs w:val="20"/>
                <w:u w:val="none"/>
                <w:lang w:val="en-US" w:eastAsia="zh-CN" w:bidi="ar"/>
              </w:rPr>
              <w:t>工程量</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c>
          <w:tcPr>
            <w:tcW w:w="2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品牌及系列</w:t>
            </w:r>
          </w:p>
        </w:tc>
        <w:tc>
          <w:tcPr>
            <w:tcW w:w="1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3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（元/个）</w:t>
            </w: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单联单控开关</w:t>
            </w:r>
          </w:p>
        </w:tc>
        <w:tc>
          <w:tcPr>
            <w:tcW w:w="745"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7"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个</w:t>
            </w:r>
          </w:p>
        </w:tc>
        <w:tc>
          <w:tcPr>
            <w:tcW w:w="59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1960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6017.2</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罗格朗博蕴</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安全型带开关二三眼插座</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10A</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个</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1960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12779.2</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罗格朗博蕴</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安全型二三眼插座</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10A</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个</w:t>
            </w:r>
          </w:p>
        </w:tc>
        <w:tc>
          <w:tcPr>
            <w:tcW w:w="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1960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7624.4</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罗格朗博蕴</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防溅盒</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个</w:t>
            </w: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1960</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1019.2</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国优</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3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5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27440</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9560"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单价包含：材料费、包装、运输（含保险费、卸车费）、管理、利润、税金、货到工地负责</w:t>
            </w:r>
            <w:r>
              <w:rPr>
                <w:rFonts w:hint="eastAsia" w:ascii="宋体" w:hAnsi="宋体" w:cs="宋体"/>
                <w:i w:val="0"/>
                <w:iCs w:val="0"/>
                <w:color w:val="000000"/>
                <w:kern w:val="0"/>
                <w:sz w:val="22"/>
                <w:szCs w:val="22"/>
                <w:u w:val="none"/>
                <w:lang w:val="en-US" w:eastAsia="zh-CN" w:bidi="ar"/>
              </w:rPr>
              <w:t>码</w:t>
            </w:r>
            <w:r>
              <w:rPr>
                <w:rFonts w:hint="eastAsia" w:ascii="宋体" w:hAnsi="宋体" w:eastAsia="宋体" w:cs="宋体"/>
                <w:i w:val="0"/>
                <w:iCs w:val="0"/>
                <w:color w:val="000000"/>
                <w:kern w:val="0"/>
                <w:sz w:val="22"/>
                <w:szCs w:val="22"/>
                <w:u w:val="none"/>
                <w:lang w:val="en-US" w:eastAsia="zh-CN" w:bidi="ar"/>
              </w:rPr>
              <w:t>放至甲方指定地点</w:t>
            </w:r>
            <w:r>
              <w:rPr>
                <w:rFonts w:hint="eastAsia" w:ascii="宋体" w:hAnsi="宋体" w:cs="宋体"/>
                <w:i w:val="0"/>
                <w:iCs w:val="0"/>
                <w:color w:val="000000"/>
                <w:kern w:val="0"/>
                <w:sz w:val="22"/>
                <w:szCs w:val="22"/>
                <w:u w:val="none"/>
                <w:lang w:val="en-US" w:eastAsia="zh-CN" w:bidi="ar"/>
              </w:rPr>
              <w:t>并移交甲方前</w:t>
            </w:r>
            <w:r>
              <w:rPr>
                <w:rFonts w:hint="eastAsia" w:ascii="宋体" w:hAnsi="宋体" w:eastAsia="宋体" w:cs="宋体"/>
                <w:i w:val="0"/>
                <w:iCs w:val="0"/>
                <w:color w:val="000000"/>
                <w:kern w:val="0"/>
                <w:sz w:val="22"/>
                <w:szCs w:val="22"/>
                <w:u w:val="none"/>
                <w:lang w:val="en-US" w:eastAsia="zh-CN" w:bidi="ar"/>
              </w:rPr>
              <w:t>所发生的一切费用</w:t>
            </w:r>
          </w:p>
        </w:tc>
      </w:tr>
    </w:tbl>
    <w:p>
      <w:pPr>
        <w:spacing w:line="360" w:lineRule="exact"/>
        <w:rPr>
          <w:rFonts w:ascii="宋体" w:hAnsi="宋体"/>
          <w:b/>
          <w:kern w:val="0"/>
          <w:sz w:val="28"/>
          <w:szCs w:val="28"/>
        </w:rPr>
      </w:pPr>
    </w:p>
    <w:p>
      <w:pPr>
        <w:spacing w:line="360" w:lineRule="exact"/>
        <w:rPr>
          <w:rFonts w:asciiTheme="minorEastAsia" w:hAnsiTheme="minorEastAsia" w:eastAsiaTheme="minorEastAsia"/>
          <w:b/>
          <w:kern w:val="0"/>
          <w:sz w:val="24"/>
          <w:szCs w:val="24"/>
        </w:rPr>
      </w:pPr>
    </w:p>
    <w:p>
      <w:pPr>
        <w:spacing w:line="360" w:lineRule="exact"/>
        <w:rPr>
          <w:rFonts w:asciiTheme="minorEastAsia" w:hAnsiTheme="minorEastAsia" w:eastAsiaTheme="minorEastAsia"/>
          <w:b/>
          <w:kern w:val="0"/>
          <w:sz w:val="24"/>
          <w:szCs w:val="24"/>
        </w:rPr>
      </w:pPr>
    </w:p>
    <w:p>
      <w:pPr>
        <w:spacing w:line="360" w:lineRule="exact"/>
        <w:rPr>
          <w:rFonts w:ascii="宋体" w:hAnsi="宋体"/>
          <w:b/>
          <w:kern w:val="0"/>
          <w:sz w:val="28"/>
          <w:szCs w:val="28"/>
        </w:rPr>
      </w:pPr>
      <w:r>
        <w:rPr>
          <w:rFonts w:hint="eastAsia" w:asciiTheme="minorEastAsia" w:hAnsiTheme="minorEastAsia" w:eastAsiaTheme="minorEastAsia"/>
          <w:b/>
          <w:kern w:val="0"/>
          <w:sz w:val="24"/>
          <w:szCs w:val="24"/>
        </w:rPr>
        <w:t>附件二：</w:t>
      </w:r>
      <w:r>
        <w:rPr>
          <w:rFonts w:hint="eastAsia" w:ascii="宋体" w:hAnsi="宋体"/>
          <w:b/>
          <w:kern w:val="0"/>
          <w:sz w:val="28"/>
          <w:szCs w:val="28"/>
        </w:rPr>
        <w:t xml:space="preserve">          </w:t>
      </w:r>
    </w:p>
    <w:p>
      <w:pPr>
        <w:spacing w:line="360" w:lineRule="exact"/>
        <w:jc w:val="center"/>
        <w:rPr>
          <w:rFonts w:ascii="宋体" w:hAnsi="宋体"/>
          <w:b/>
          <w:kern w:val="0"/>
          <w:sz w:val="28"/>
          <w:szCs w:val="28"/>
        </w:rPr>
      </w:pPr>
      <w:r>
        <w:rPr>
          <w:rFonts w:hint="eastAsia" w:ascii="宋体" w:hAnsi="宋体"/>
          <w:b/>
          <w:kern w:val="0"/>
          <w:sz w:val="32"/>
          <w:szCs w:val="32"/>
        </w:rPr>
        <w:t>开关插座验收单（四方签字单）</w:t>
      </w:r>
    </w:p>
    <w:tbl>
      <w:tblPr>
        <w:tblStyle w:val="22"/>
        <w:tblpPr w:leftFromText="180" w:rightFromText="180" w:vertAnchor="text" w:horzAnchor="page" w:tblpX="1428" w:tblpY="337"/>
        <w:tblOverlap w:val="never"/>
        <w:tblW w:w="9138" w:type="dxa"/>
        <w:tblInd w:w="0" w:type="dxa"/>
        <w:tblLayout w:type="fixed"/>
        <w:tblCellMar>
          <w:top w:w="0" w:type="dxa"/>
          <w:left w:w="15" w:type="dxa"/>
          <w:bottom w:w="0" w:type="dxa"/>
          <w:right w:w="15" w:type="dxa"/>
        </w:tblCellMar>
      </w:tblPr>
      <w:tblGrid>
        <w:gridCol w:w="1364"/>
        <w:gridCol w:w="1831"/>
        <w:gridCol w:w="2222"/>
        <w:gridCol w:w="1641"/>
        <w:gridCol w:w="2080"/>
      </w:tblGrid>
      <w:tr>
        <w:tblPrEx>
          <w:tblCellMar>
            <w:top w:w="0" w:type="dxa"/>
            <w:left w:w="15" w:type="dxa"/>
            <w:bottom w:w="0" w:type="dxa"/>
            <w:right w:w="15" w:type="dxa"/>
          </w:tblCellMar>
        </w:tblPrEx>
        <w:trPr>
          <w:trHeight w:val="300" w:hRule="atLeast"/>
        </w:trPr>
        <w:tc>
          <w:tcPr>
            <w:tcW w:w="1364" w:type="dxa"/>
            <w:tcBorders>
              <w:top w:val="single" w:color="000000" w:sz="4" w:space="0"/>
              <w:left w:val="single" w:color="000000" w:sz="4" w:space="0"/>
              <w:right w:val="single" w:color="000000" w:sz="4" w:space="0"/>
            </w:tcBorders>
          </w:tcPr>
          <w:p>
            <w:pPr>
              <w:tabs>
                <w:tab w:val="left" w:pos="840"/>
              </w:tabs>
              <w:autoSpaceDN w:val="0"/>
              <w:jc w:val="center"/>
              <w:textAlignment w:val="center"/>
              <w:rPr>
                <w:rFonts w:ascii="宋体" w:hAnsi="宋体"/>
                <w:sz w:val="24"/>
              </w:rPr>
            </w:pPr>
            <w:r>
              <w:rPr>
                <w:rFonts w:ascii="宋体" w:hAnsi="宋体"/>
                <w:sz w:val="28"/>
              </w:rPr>
              <w:t>序号</w:t>
            </w:r>
          </w:p>
        </w:tc>
        <w:tc>
          <w:tcPr>
            <w:tcW w:w="1831" w:type="dxa"/>
            <w:tcBorders>
              <w:top w:val="single" w:color="000000" w:sz="4" w:space="0"/>
              <w:left w:val="single" w:color="000000" w:sz="4" w:space="0"/>
              <w:right w:val="single" w:color="000000" w:sz="4" w:space="0"/>
            </w:tcBorders>
            <w:vAlign w:val="center"/>
          </w:tcPr>
          <w:p>
            <w:pPr>
              <w:autoSpaceDN w:val="0"/>
              <w:jc w:val="center"/>
              <w:textAlignment w:val="center"/>
              <w:rPr>
                <w:rFonts w:ascii="宋体" w:hAnsi="宋体"/>
                <w:sz w:val="28"/>
              </w:rPr>
            </w:pPr>
            <w:r>
              <w:rPr>
                <w:rFonts w:hint="eastAsia" w:ascii="宋体" w:hAnsi="宋体"/>
                <w:sz w:val="28"/>
              </w:rPr>
              <w:t>名称</w:t>
            </w:r>
          </w:p>
        </w:tc>
        <w:tc>
          <w:tcPr>
            <w:tcW w:w="2222" w:type="dxa"/>
            <w:tcBorders>
              <w:top w:val="single" w:color="000000" w:sz="4" w:space="0"/>
              <w:left w:val="single" w:color="000000"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8"/>
              </w:rPr>
              <w:t>规格</w:t>
            </w:r>
            <w:r>
              <w:rPr>
                <w:rFonts w:ascii="宋体" w:hAnsi="宋体"/>
                <w:sz w:val="28"/>
              </w:rPr>
              <w:t>型</w:t>
            </w:r>
            <w:r>
              <w:rPr>
                <w:rFonts w:hint="eastAsia" w:ascii="宋体" w:hAnsi="宋体"/>
                <w:sz w:val="28"/>
              </w:rPr>
              <w:t>号</w:t>
            </w: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r>
              <w:rPr>
                <w:rFonts w:ascii="宋体" w:hAnsi="宋体"/>
                <w:sz w:val="24"/>
              </w:rPr>
              <w:t>数量</w:t>
            </w: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备注</w:t>
            </w:r>
          </w:p>
        </w:tc>
      </w:tr>
      <w:tr>
        <w:tblPrEx>
          <w:tblCellMar>
            <w:top w:w="0" w:type="dxa"/>
            <w:left w:w="15" w:type="dxa"/>
            <w:bottom w:w="0" w:type="dxa"/>
            <w:right w:w="15" w:type="dxa"/>
          </w:tblCellMar>
        </w:tblPrEx>
        <w:trPr>
          <w:trHeight w:val="510" w:hRule="atLeast"/>
        </w:trPr>
        <w:tc>
          <w:tcPr>
            <w:tcW w:w="1364"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ascii="宋体" w:hAnsi="宋体"/>
                <w:sz w:val="24"/>
              </w:rPr>
              <w:t>1</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ascii="宋体" w:hAnsi="宋体"/>
                <w:sz w:val="24"/>
              </w:rPr>
              <w:t>2</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ascii="宋体" w:hAnsi="宋体"/>
                <w:sz w:val="24"/>
              </w:rPr>
              <w:t>3</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ascii="宋体" w:hAnsi="宋体"/>
                <w:sz w:val="24"/>
              </w:rPr>
              <w:t>4</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ascii="宋体" w:hAnsi="宋体"/>
                <w:sz w:val="24"/>
              </w:rPr>
              <w:t>5</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ascii="宋体" w:hAnsi="宋体"/>
                <w:sz w:val="24"/>
              </w:rPr>
              <w:t>6</w:t>
            </w:r>
          </w:p>
        </w:tc>
        <w:tc>
          <w:tcPr>
            <w:tcW w:w="183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22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164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080"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ascii="宋体" w:hAnsi="宋体"/>
                <w:sz w:val="24"/>
              </w:rPr>
              <w:t>7</w:t>
            </w:r>
          </w:p>
        </w:tc>
        <w:tc>
          <w:tcPr>
            <w:tcW w:w="1831" w:type="dxa"/>
            <w:tcBorders>
              <w:top w:val="single" w:color="000000" w:sz="4" w:space="0"/>
              <w:left w:val="single" w:color="000000" w:sz="4" w:space="0"/>
              <w:bottom w:val="single" w:color="auto" w:sz="4" w:space="0"/>
            </w:tcBorders>
            <w:vAlign w:val="center"/>
          </w:tcPr>
          <w:p>
            <w:pPr>
              <w:autoSpaceDN w:val="0"/>
              <w:jc w:val="center"/>
              <w:textAlignment w:val="center"/>
              <w:rPr>
                <w:rFonts w:ascii="宋体" w:hAnsi="宋体"/>
                <w:sz w:val="24"/>
              </w:rPr>
            </w:pPr>
          </w:p>
        </w:tc>
        <w:tc>
          <w:tcPr>
            <w:tcW w:w="2222" w:type="dxa"/>
            <w:tcBorders>
              <w:top w:val="single" w:color="000000" w:sz="4" w:space="0"/>
              <w:left w:val="single" w:color="000000" w:sz="4" w:space="0"/>
              <w:bottom w:val="single" w:color="auto" w:sz="4" w:space="0"/>
            </w:tcBorders>
            <w:vAlign w:val="center"/>
          </w:tcPr>
          <w:p>
            <w:pPr>
              <w:autoSpaceDN w:val="0"/>
              <w:jc w:val="center"/>
              <w:textAlignment w:val="center"/>
              <w:rPr>
                <w:rFonts w:ascii="宋体" w:hAnsi="宋体"/>
                <w:sz w:val="24"/>
              </w:rPr>
            </w:pPr>
          </w:p>
        </w:tc>
        <w:tc>
          <w:tcPr>
            <w:tcW w:w="1641"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c>
          <w:tcPr>
            <w:tcW w:w="2080" w:type="dxa"/>
            <w:tcBorders>
              <w:top w:val="single" w:color="000000" w:sz="4" w:space="0"/>
              <w:left w:val="single" w:color="000000" w:sz="4" w:space="0"/>
              <w:bottom w:val="single" w:color="auto" w:sz="4" w:space="0"/>
              <w:right w:val="single" w:color="000000"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510" w:hRule="atLeast"/>
        </w:trPr>
        <w:tc>
          <w:tcPr>
            <w:tcW w:w="1364" w:type="dxa"/>
            <w:tcBorders>
              <w:top w:val="single" w:color="auto" w:sz="4" w:space="0"/>
              <w:left w:val="single" w:color="000000" w:sz="4" w:space="0"/>
              <w:right w:val="single" w:color="000000" w:sz="4" w:space="0"/>
            </w:tcBorders>
            <w:vAlign w:val="center"/>
          </w:tcPr>
          <w:p>
            <w:pPr>
              <w:autoSpaceDN w:val="0"/>
              <w:jc w:val="center"/>
              <w:textAlignment w:val="center"/>
              <w:rPr>
                <w:rFonts w:ascii="宋体" w:hAnsi="宋体"/>
                <w:sz w:val="24"/>
              </w:rPr>
            </w:pPr>
            <w:r>
              <w:rPr>
                <w:rFonts w:ascii="宋体" w:hAnsi="宋体"/>
                <w:sz w:val="24"/>
              </w:rPr>
              <w:t>8</w:t>
            </w:r>
          </w:p>
        </w:tc>
        <w:tc>
          <w:tcPr>
            <w:tcW w:w="1831" w:type="dxa"/>
            <w:tcBorders>
              <w:top w:val="single" w:color="auto" w:sz="4" w:space="0"/>
              <w:left w:val="single" w:color="000000" w:sz="4" w:space="0"/>
              <w:bottom w:val="single" w:color="000000" w:sz="4" w:space="0"/>
            </w:tcBorders>
            <w:vAlign w:val="center"/>
          </w:tcPr>
          <w:p>
            <w:pPr>
              <w:autoSpaceDN w:val="0"/>
              <w:jc w:val="center"/>
              <w:textAlignment w:val="center"/>
              <w:rPr>
                <w:rFonts w:ascii="宋体" w:hAnsi="宋体"/>
                <w:sz w:val="24"/>
              </w:rPr>
            </w:pPr>
          </w:p>
        </w:tc>
        <w:tc>
          <w:tcPr>
            <w:tcW w:w="2222" w:type="dxa"/>
            <w:tcBorders>
              <w:top w:val="single" w:color="auto" w:sz="4" w:space="0"/>
              <w:left w:val="single" w:color="000000" w:sz="4" w:space="0"/>
              <w:bottom w:val="single" w:color="000000" w:sz="4" w:space="0"/>
            </w:tcBorders>
            <w:vAlign w:val="center"/>
          </w:tcPr>
          <w:p>
            <w:pPr>
              <w:autoSpaceDN w:val="0"/>
              <w:jc w:val="center"/>
              <w:textAlignment w:val="center"/>
              <w:rPr>
                <w:rFonts w:ascii="宋体" w:hAnsi="宋体"/>
                <w:sz w:val="24"/>
              </w:rPr>
            </w:pPr>
          </w:p>
        </w:tc>
        <w:tc>
          <w:tcPr>
            <w:tcW w:w="1641" w:type="dxa"/>
            <w:tcBorders>
              <w:top w:val="single" w:color="auto"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sz w:val="24"/>
              </w:rPr>
            </w:pPr>
          </w:p>
        </w:tc>
        <w:tc>
          <w:tcPr>
            <w:tcW w:w="2080" w:type="dxa"/>
            <w:tcBorders>
              <w:top w:val="single" w:color="auto" w:sz="4" w:space="0"/>
              <w:left w:val="single" w:color="000000" w:sz="4" w:space="0"/>
              <w:bottom w:val="single" w:color="000000" w:sz="4" w:space="0"/>
              <w:right w:val="single" w:color="auto" w:sz="4" w:space="0"/>
            </w:tcBorders>
            <w:vAlign w:val="center"/>
          </w:tcPr>
          <w:p>
            <w:pPr>
              <w:autoSpaceDN w:val="0"/>
              <w:jc w:val="center"/>
              <w:textAlignment w:val="center"/>
              <w:rPr>
                <w:rFonts w:ascii="宋体" w:hAnsi="宋体"/>
                <w:sz w:val="24"/>
              </w:rPr>
            </w:pP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甲方签字</w:t>
            </w:r>
          </w:p>
        </w:tc>
        <w:tc>
          <w:tcPr>
            <w:tcW w:w="7774" w:type="dxa"/>
            <w:gridSpan w:val="4"/>
            <w:tcBorders>
              <w:top w:val="single" w:color="000000" w:sz="4" w:space="0"/>
              <w:bottom w:val="single" w:color="000000" w:sz="4" w:space="0"/>
              <w:right w:val="single" w:color="auto" w:sz="4" w:space="0"/>
            </w:tcBorders>
            <w:vAlign w:val="center"/>
          </w:tcPr>
          <w:p>
            <w:pPr>
              <w:autoSpaceDN w:val="0"/>
              <w:jc w:val="center"/>
              <w:textAlignment w:val="center"/>
              <w:rPr>
                <w:rFonts w:ascii="宋体" w:hAnsi="宋体"/>
                <w:sz w:val="24"/>
              </w:rPr>
            </w:pPr>
            <w:r>
              <w:rPr>
                <w:rFonts w:hint="eastAsia" w:ascii="宋体" w:hAnsi="宋体"/>
                <w:sz w:val="24"/>
              </w:rPr>
              <w:t>质量验收结果：</w:t>
            </w: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乙方签字</w:t>
            </w:r>
          </w:p>
        </w:tc>
        <w:tc>
          <w:tcPr>
            <w:tcW w:w="7774" w:type="dxa"/>
            <w:gridSpan w:val="4"/>
            <w:tcBorders>
              <w:top w:val="single" w:color="000000" w:sz="4" w:space="0"/>
              <w:bottom w:val="single" w:color="000000" w:sz="4" w:space="0"/>
              <w:right w:val="single" w:color="auto" w:sz="4" w:space="0"/>
            </w:tcBorders>
            <w:vAlign w:val="center"/>
          </w:tcPr>
          <w:p>
            <w:pPr>
              <w:autoSpaceDN w:val="0"/>
              <w:jc w:val="center"/>
              <w:textAlignment w:val="center"/>
              <w:rPr>
                <w:rFonts w:ascii="宋体" w:hAnsi="宋体"/>
                <w:sz w:val="24"/>
              </w:rPr>
            </w:pPr>
            <w:r>
              <w:rPr>
                <w:rFonts w:hint="eastAsia" w:ascii="宋体" w:hAnsi="宋体"/>
                <w:sz w:val="24"/>
              </w:rPr>
              <w:t>质量验收结果：</w:t>
            </w: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000000"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监理签字</w:t>
            </w:r>
          </w:p>
        </w:tc>
        <w:tc>
          <w:tcPr>
            <w:tcW w:w="7774" w:type="dxa"/>
            <w:gridSpan w:val="4"/>
            <w:tcBorders>
              <w:top w:val="single" w:color="000000" w:sz="4" w:space="0"/>
              <w:bottom w:val="single" w:color="000000" w:sz="4" w:space="0"/>
              <w:right w:val="single" w:color="auto" w:sz="4" w:space="0"/>
            </w:tcBorders>
            <w:vAlign w:val="center"/>
          </w:tcPr>
          <w:p>
            <w:pPr>
              <w:autoSpaceDN w:val="0"/>
              <w:jc w:val="center"/>
              <w:textAlignment w:val="center"/>
              <w:rPr>
                <w:rFonts w:ascii="宋体" w:hAnsi="宋体"/>
                <w:sz w:val="24"/>
              </w:rPr>
            </w:pPr>
            <w:r>
              <w:rPr>
                <w:rFonts w:hint="eastAsia" w:ascii="宋体" w:hAnsi="宋体"/>
                <w:sz w:val="24"/>
              </w:rPr>
              <w:t>质量验收结果：</w:t>
            </w:r>
          </w:p>
        </w:tc>
      </w:tr>
      <w:tr>
        <w:tblPrEx>
          <w:tblCellMar>
            <w:top w:w="0" w:type="dxa"/>
            <w:left w:w="15" w:type="dxa"/>
            <w:bottom w:w="0" w:type="dxa"/>
            <w:right w:w="15" w:type="dxa"/>
          </w:tblCellMar>
        </w:tblPrEx>
        <w:trPr>
          <w:trHeight w:val="997" w:hRule="atLeast"/>
        </w:trPr>
        <w:tc>
          <w:tcPr>
            <w:tcW w:w="1364" w:type="dxa"/>
            <w:tcBorders>
              <w:top w:val="single" w:color="000000" w:sz="4" w:space="0"/>
              <w:left w:val="single" w:color="auto" w:sz="4" w:space="0"/>
              <w:bottom w:val="single" w:color="auto" w:sz="4" w:space="0"/>
              <w:right w:val="single" w:color="000000" w:sz="4" w:space="0"/>
            </w:tcBorders>
            <w:vAlign w:val="center"/>
          </w:tcPr>
          <w:p>
            <w:pPr>
              <w:autoSpaceDN w:val="0"/>
              <w:jc w:val="center"/>
              <w:textAlignment w:val="center"/>
              <w:rPr>
                <w:rFonts w:ascii="宋体" w:hAnsi="宋体"/>
                <w:sz w:val="24"/>
              </w:rPr>
            </w:pPr>
            <w:r>
              <w:rPr>
                <w:rFonts w:hint="eastAsia" w:ascii="宋体" w:hAnsi="宋体"/>
                <w:sz w:val="24"/>
              </w:rPr>
              <w:t>施工单位</w:t>
            </w:r>
          </w:p>
        </w:tc>
        <w:tc>
          <w:tcPr>
            <w:tcW w:w="7774" w:type="dxa"/>
            <w:gridSpan w:val="4"/>
            <w:tcBorders>
              <w:top w:val="single" w:color="000000" w:sz="4" w:space="0"/>
              <w:bottom w:val="single" w:color="auto" w:sz="4" w:space="0"/>
              <w:right w:val="single" w:color="auto" w:sz="4" w:space="0"/>
            </w:tcBorders>
            <w:vAlign w:val="center"/>
          </w:tcPr>
          <w:p>
            <w:pPr>
              <w:autoSpaceDN w:val="0"/>
              <w:jc w:val="center"/>
              <w:textAlignment w:val="center"/>
              <w:rPr>
                <w:rFonts w:ascii="宋体" w:hAnsi="宋体"/>
                <w:sz w:val="24"/>
              </w:rPr>
            </w:pPr>
            <w:r>
              <w:rPr>
                <w:rFonts w:hint="eastAsia" w:ascii="宋体" w:hAnsi="宋体"/>
                <w:sz w:val="24"/>
              </w:rPr>
              <w:t>质量验收结果：</w:t>
            </w:r>
          </w:p>
        </w:tc>
      </w:tr>
    </w:tbl>
    <w:p>
      <w:pPr>
        <w:spacing w:line="400" w:lineRule="exact"/>
        <w:jc w:val="left"/>
        <w:rPr>
          <w:rFonts w:asciiTheme="minorEastAsia" w:hAnsiTheme="minorEastAsia" w:eastAsiaTheme="minorEastAsia"/>
          <w:sz w:val="24"/>
        </w:rPr>
      </w:pPr>
      <w:r>
        <w:rPr>
          <w:rFonts w:hint="eastAsia" w:asciiTheme="minorEastAsia" w:hAnsiTheme="minorEastAsia" w:eastAsiaTheme="minorEastAsia"/>
          <w:sz w:val="24"/>
        </w:rPr>
        <w:t>一、验收标准：</w:t>
      </w:r>
    </w:p>
    <w:p>
      <w:pPr>
        <w:spacing w:line="400" w:lineRule="exact"/>
        <w:ind w:firstLine="446" w:firstLineChars="200"/>
        <w:jc w:val="left"/>
        <w:rPr>
          <w:rFonts w:asciiTheme="minorEastAsia" w:hAnsiTheme="minorEastAsia" w:eastAsiaTheme="minorEastAsia"/>
          <w:sz w:val="24"/>
        </w:rPr>
      </w:pPr>
      <w:r>
        <w:rPr>
          <w:rFonts w:hint="eastAsia" w:asciiTheme="minorEastAsia" w:hAnsiTheme="minorEastAsia" w:eastAsiaTheme="minorEastAsia"/>
          <w:sz w:val="24"/>
        </w:rPr>
        <w:t>1、出厂合格证齐全；</w:t>
      </w:r>
    </w:p>
    <w:p>
      <w:pPr>
        <w:spacing w:line="400" w:lineRule="exact"/>
        <w:ind w:firstLine="446" w:firstLineChars="200"/>
        <w:jc w:val="left"/>
        <w:rPr>
          <w:rFonts w:asciiTheme="minorEastAsia" w:hAnsiTheme="minorEastAsia" w:eastAsiaTheme="minorEastAsia"/>
          <w:sz w:val="24"/>
        </w:rPr>
      </w:pPr>
      <w:r>
        <w:rPr>
          <w:rFonts w:hint="eastAsia" w:asciiTheme="minorEastAsia" w:hAnsiTheme="minorEastAsia" w:eastAsiaTheme="minorEastAsia"/>
          <w:sz w:val="24"/>
        </w:rPr>
        <w:t>2、表观合格（与样品一致）；</w:t>
      </w:r>
    </w:p>
    <w:p>
      <w:pPr>
        <w:spacing w:line="400" w:lineRule="exact"/>
        <w:ind w:firstLine="446" w:firstLineChars="200"/>
        <w:jc w:val="left"/>
        <w:rPr>
          <w:rFonts w:asciiTheme="minorEastAsia" w:hAnsiTheme="minorEastAsia" w:eastAsiaTheme="minorEastAsia"/>
          <w:sz w:val="24"/>
        </w:rPr>
      </w:pPr>
      <w:r>
        <w:rPr>
          <w:rFonts w:hint="eastAsia" w:asciiTheme="minorEastAsia" w:hAnsiTheme="minorEastAsia" w:eastAsiaTheme="minorEastAsia"/>
          <w:sz w:val="24"/>
        </w:rPr>
        <w:t>3、其它约定与合同要求一致。</w:t>
      </w:r>
    </w:p>
    <w:p>
      <w:pPr>
        <w:spacing w:line="440" w:lineRule="exact"/>
        <w:jc w:val="left"/>
        <w:rPr>
          <w:rFonts w:asciiTheme="minorEastAsia" w:hAnsiTheme="minorEastAsia" w:eastAsiaTheme="minorEastAsia"/>
          <w:sz w:val="24"/>
        </w:rPr>
      </w:pPr>
      <w:r>
        <w:rPr>
          <w:rFonts w:hint="eastAsia" w:asciiTheme="minorEastAsia" w:hAnsiTheme="minorEastAsia" w:eastAsiaTheme="minorEastAsia"/>
          <w:sz w:val="24"/>
        </w:rPr>
        <w:t>二、验收结果：</w:t>
      </w:r>
    </w:p>
    <w:p>
      <w:pPr>
        <w:spacing w:line="440" w:lineRule="exact"/>
        <w:ind w:firstLine="446" w:firstLineChars="200"/>
        <w:jc w:val="left"/>
        <w:rPr>
          <w:rFonts w:asciiTheme="minorEastAsia" w:hAnsiTheme="minorEastAsia" w:eastAsiaTheme="minorEastAsia"/>
          <w:sz w:val="24"/>
        </w:rPr>
      </w:pPr>
      <w:r>
        <w:rPr>
          <w:rFonts w:hint="eastAsia" w:asciiTheme="minorEastAsia" w:hAnsiTheme="minorEastAsia" w:eastAsiaTheme="minorEastAsia"/>
          <w:sz w:val="24"/>
        </w:rPr>
        <w:t>1、质量验收结果必须以“质量合格”或“质量不合格”字样填写，不得含糊其辞。</w:t>
      </w:r>
    </w:p>
    <w:p>
      <w:pPr>
        <w:spacing w:line="440" w:lineRule="exact"/>
        <w:ind w:firstLine="446" w:firstLineChars="200"/>
        <w:jc w:val="left"/>
        <w:rPr>
          <w:rFonts w:asciiTheme="minorEastAsia" w:hAnsiTheme="minorEastAsia" w:eastAsiaTheme="minorEastAsia"/>
          <w:b/>
          <w:bCs/>
          <w:sz w:val="32"/>
          <w:szCs w:val="32"/>
        </w:rPr>
      </w:pPr>
      <w:r>
        <w:rPr>
          <w:rFonts w:hint="eastAsia" w:asciiTheme="minorEastAsia" w:hAnsiTheme="minorEastAsia" w:eastAsiaTheme="minorEastAsia"/>
          <w:sz w:val="24"/>
        </w:rPr>
        <w:t>2、招采第一批次验收参加，以后不再参与。</w:t>
      </w:r>
    </w:p>
    <w:p>
      <w:pPr>
        <w:pStyle w:val="27"/>
        <w:ind w:firstLine="0" w:firstLineChars="0"/>
        <w:rPr>
          <w:b/>
        </w:rPr>
      </w:pPr>
      <w:r>
        <w:rPr>
          <w:rFonts w:hint="eastAsia"/>
          <w:b/>
          <w:sz w:val="24"/>
          <w:szCs w:val="24"/>
        </w:rPr>
        <w:t>附件三</w:t>
      </w:r>
    </w:p>
    <w:p>
      <w:pPr>
        <w:spacing w:line="360" w:lineRule="auto"/>
        <w:jc w:val="center"/>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廉政合作协议</w:t>
      </w:r>
    </w:p>
    <w:p>
      <w:pPr>
        <w:spacing w:line="360" w:lineRule="auto"/>
        <w:ind w:firstLine="446" w:firstLineChars="200"/>
        <w:rPr>
          <w:rFonts w:ascii="宋体" w:hAnsi="宋体" w:cs="宋体"/>
          <w:sz w:val="24"/>
          <w:szCs w:val="24"/>
          <w:u w:val="single"/>
        </w:rPr>
      </w:pPr>
      <w:r>
        <w:rPr>
          <w:rFonts w:hint="eastAsia" w:ascii="宋体" w:hAnsi="宋体" w:cs="宋体"/>
          <w:sz w:val="24"/>
          <w:szCs w:val="24"/>
        </w:rPr>
        <w:t>甲方：</w:t>
      </w:r>
      <w:r>
        <w:rPr>
          <w:rFonts w:hint="eastAsia" w:ascii="宋体" w:hAnsi="宋体" w:cs="宋体"/>
          <w:sz w:val="24"/>
          <w:szCs w:val="24"/>
          <w:u w:val="single"/>
        </w:rPr>
        <w:t>洛阳浩德鑫置地有限公司</w:t>
      </w:r>
    </w:p>
    <w:p>
      <w:pPr>
        <w:spacing w:line="360" w:lineRule="auto"/>
        <w:ind w:firstLine="446" w:firstLineChars="200"/>
        <w:rPr>
          <w:rFonts w:hint="eastAsia" w:ascii="宋体" w:hAnsi="宋体" w:eastAsia="宋体" w:cs="宋体"/>
          <w:sz w:val="24"/>
          <w:szCs w:val="24"/>
          <w:u w:val="single"/>
          <w:lang w:eastAsia="zh-CN"/>
        </w:rPr>
      </w:pPr>
      <w:r>
        <w:rPr>
          <w:rFonts w:hint="eastAsia" w:ascii="宋体" w:hAnsi="宋体" w:cs="宋体"/>
          <w:sz w:val="24"/>
          <w:szCs w:val="24"/>
        </w:rPr>
        <w:t>乙方：</w:t>
      </w:r>
      <w:r>
        <w:rPr>
          <w:rFonts w:hint="eastAsia" w:ascii="宋体" w:hAnsi="宋体" w:cs="宋体"/>
          <w:sz w:val="24"/>
          <w:szCs w:val="24"/>
          <w:u w:val="single"/>
          <w:lang w:eastAsia="zh-CN"/>
        </w:rPr>
        <w:t>洛阳铭一电器设备有限公司</w:t>
      </w:r>
    </w:p>
    <w:p>
      <w:pPr>
        <w:spacing w:line="360" w:lineRule="auto"/>
        <w:ind w:firstLine="446" w:firstLineChars="200"/>
        <w:rPr>
          <w:rFonts w:ascii="宋体" w:hAnsi="宋体" w:cs="宋体"/>
          <w:sz w:val="24"/>
          <w:szCs w:val="24"/>
        </w:rPr>
      </w:pPr>
      <w:r>
        <w:rPr>
          <w:rFonts w:hint="eastAsia" w:ascii="宋体" w:hAnsi="宋体" w:cs="宋体"/>
          <w:sz w:val="24"/>
          <w:szCs w:val="24"/>
        </w:rPr>
        <w:t>为加强工程项目建设期间的廉政管理，确保项目高效优质按期竣工，甲、乙双方经协商签定本协议并做为双方共同遵守的廉政行为准则。</w:t>
      </w:r>
    </w:p>
    <w:p>
      <w:pPr>
        <w:spacing w:line="360" w:lineRule="auto"/>
        <w:ind w:firstLine="446" w:firstLineChars="200"/>
        <w:rPr>
          <w:rFonts w:ascii="宋体" w:hAnsi="宋体" w:cs="宋体"/>
          <w:b/>
          <w:sz w:val="24"/>
          <w:szCs w:val="24"/>
        </w:rPr>
      </w:pPr>
      <w:r>
        <w:rPr>
          <w:rFonts w:hint="eastAsia" w:ascii="宋体" w:hAnsi="宋体" w:cs="宋体"/>
          <w:b/>
          <w:sz w:val="24"/>
          <w:szCs w:val="24"/>
        </w:rPr>
        <w:t>一、甲方责任</w:t>
      </w:r>
    </w:p>
    <w:p>
      <w:pPr>
        <w:spacing w:line="360" w:lineRule="auto"/>
        <w:ind w:firstLine="446" w:firstLineChars="200"/>
        <w:rPr>
          <w:rFonts w:ascii="宋体" w:hAnsi="宋体" w:cs="宋体"/>
          <w:sz w:val="24"/>
          <w:szCs w:val="24"/>
        </w:rPr>
      </w:pPr>
      <w:r>
        <w:rPr>
          <w:rFonts w:hint="eastAsia" w:ascii="宋体" w:hAnsi="宋体" w:cs="宋体"/>
          <w:sz w:val="24"/>
          <w:szCs w:val="24"/>
        </w:rPr>
        <w:t>1．甲方有责任向乙方介绍本单位有关廉政管理的各项制度和规定。</w:t>
      </w:r>
    </w:p>
    <w:p>
      <w:pPr>
        <w:spacing w:line="360" w:lineRule="auto"/>
        <w:ind w:firstLine="446" w:firstLineChars="200"/>
        <w:rPr>
          <w:rFonts w:ascii="宋体" w:hAnsi="宋体" w:cs="宋体"/>
          <w:sz w:val="24"/>
          <w:szCs w:val="24"/>
        </w:rPr>
      </w:pPr>
      <w:r>
        <w:rPr>
          <w:rFonts w:hint="eastAsia" w:ascii="宋体" w:hAnsi="宋体" w:cs="宋体"/>
          <w:sz w:val="24"/>
          <w:szCs w:val="24"/>
        </w:rPr>
        <w:t>2．甲方有责任对本单位项目管理人员进行廉政教育。</w:t>
      </w:r>
    </w:p>
    <w:p>
      <w:pPr>
        <w:spacing w:line="360" w:lineRule="auto"/>
        <w:ind w:firstLine="446" w:firstLineChars="200"/>
        <w:rPr>
          <w:rFonts w:ascii="宋体" w:hAnsi="宋体" w:cs="宋体"/>
          <w:sz w:val="24"/>
          <w:szCs w:val="24"/>
        </w:rPr>
      </w:pPr>
      <w:r>
        <w:rPr>
          <w:rFonts w:hint="eastAsia" w:ascii="宋体" w:hAnsi="宋体" w:cs="宋体"/>
          <w:sz w:val="24"/>
          <w:szCs w:val="24"/>
        </w:rPr>
        <w:t>3．甲方人员应严格遵守本单位有关廉政管理的规定，不得接受乙方的宴请，不得接受任何形式的实物、现金或礼券。</w:t>
      </w:r>
    </w:p>
    <w:p>
      <w:pPr>
        <w:spacing w:line="360" w:lineRule="auto"/>
        <w:ind w:firstLine="446" w:firstLineChars="200"/>
        <w:rPr>
          <w:rFonts w:ascii="宋体" w:hAnsi="宋体" w:cs="宋体"/>
          <w:sz w:val="24"/>
          <w:szCs w:val="24"/>
        </w:rPr>
      </w:pPr>
      <w:r>
        <w:rPr>
          <w:rFonts w:hint="eastAsia" w:ascii="宋体" w:hAnsi="宋体" w:cs="宋体"/>
          <w:sz w:val="24"/>
          <w:szCs w:val="24"/>
        </w:rPr>
        <w:t>4．甲方在项目建设期间发现甲方人员任何形式的索贿受贿行为，均应及时采取措施予以制止，并及时通报乙方单位领导。</w:t>
      </w:r>
    </w:p>
    <w:p>
      <w:pPr>
        <w:spacing w:line="360" w:lineRule="auto"/>
        <w:ind w:firstLine="446" w:firstLineChars="200"/>
        <w:rPr>
          <w:rFonts w:ascii="宋体" w:hAnsi="宋体" w:cs="宋体"/>
          <w:sz w:val="24"/>
          <w:szCs w:val="24"/>
        </w:rPr>
      </w:pPr>
      <w:r>
        <w:rPr>
          <w:rFonts w:hint="eastAsia" w:ascii="宋体" w:hAnsi="宋体" w:cs="宋体"/>
          <w:sz w:val="24"/>
          <w:szCs w:val="24"/>
        </w:rPr>
        <w:t>5．甲方人员如违反廉政管理制度及本协议规定，甲方应视情节轻重、影响大小给予处罚。</w:t>
      </w:r>
    </w:p>
    <w:p>
      <w:pPr>
        <w:spacing w:line="360" w:lineRule="auto"/>
        <w:ind w:firstLine="446" w:firstLineChars="200"/>
        <w:rPr>
          <w:rFonts w:ascii="宋体" w:hAnsi="宋体" w:cs="宋体"/>
          <w:sz w:val="24"/>
          <w:szCs w:val="24"/>
        </w:rPr>
      </w:pPr>
      <w:r>
        <w:rPr>
          <w:rFonts w:hint="eastAsia" w:ascii="宋体" w:hAnsi="宋体" w:cs="宋体"/>
          <w:sz w:val="24"/>
          <w:szCs w:val="24"/>
        </w:rPr>
        <w:t>6．对于乙方举报甲方人员违反廉政规定的情况，甲方应及时进行调查，根据调查情况进行处理。</w:t>
      </w:r>
    </w:p>
    <w:p>
      <w:pPr>
        <w:spacing w:line="360" w:lineRule="auto"/>
        <w:ind w:firstLine="446" w:firstLineChars="200"/>
        <w:rPr>
          <w:rFonts w:ascii="宋体" w:hAnsi="宋体" w:cs="宋体"/>
          <w:b/>
          <w:sz w:val="24"/>
          <w:szCs w:val="24"/>
        </w:rPr>
      </w:pPr>
      <w:r>
        <w:rPr>
          <w:rFonts w:hint="eastAsia" w:ascii="宋体" w:hAnsi="宋体" w:cs="宋体"/>
          <w:b/>
          <w:sz w:val="24"/>
          <w:szCs w:val="24"/>
        </w:rPr>
        <w:t>二、乙方责任</w:t>
      </w:r>
    </w:p>
    <w:p>
      <w:pPr>
        <w:spacing w:line="360" w:lineRule="auto"/>
        <w:ind w:firstLine="446" w:firstLineChars="200"/>
        <w:rPr>
          <w:rFonts w:ascii="宋体" w:hAnsi="宋体" w:cs="宋体"/>
          <w:sz w:val="24"/>
          <w:szCs w:val="24"/>
        </w:rPr>
      </w:pPr>
      <w:r>
        <w:rPr>
          <w:rFonts w:hint="eastAsia" w:ascii="宋体" w:hAnsi="宋体" w:cs="宋体"/>
          <w:sz w:val="24"/>
          <w:szCs w:val="24"/>
        </w:rPr>
        <w:t>1．乙方应保证乙方有关人员了解甲方有关廉政管理的各项制度及本协议的规定，并遵照执行。</w:t>
      </w:r>
    </w:p>
    <w:p>
      <w:pPr>
        <w:spacing w:line="360" w:lineRule="auto"/>
        <w:ind w:firstLine="446" w:firstLineChars="200"/>
        <w:rPr>
          <w:rFonts w:ascii="宋体" w:hAnsi="宋体" w:cs="宋体"/>
          <w:sz w:val="24"/>
          <w:szCs w:val="24"/>
        </w:rPr>
      </w:pPr>
      <w:r>
        <w:rPr>
          <w:rFonts w:hint="eastAsia" w:ascii="宋体" w:hAnsi="宋体" w:cs="宋体"/>
          <w:sz w:val="24"/>
          <w:szCs w:val="24"/>
        </w:rPr>
        <w:t>2．乙方不得宴请甲方人员，不得以任何形式赠送实物、现金或礼券。</w:t>
      </w:r>
    </w:p>
    <w:p>
      <w:pPr>
        <w:spacing w:line="360" w:lineRule="auto"/>
        <w:ind w:firstLine="446" w:firstLineChars="200"/>
        <w:rPr>
          <w:rFonts w:ascii="宋体" w:hAnsi="宋体" w:cs="宋体"/>
          <w:sz w:val="24"/>
          <w:szCs w:val="24"/>
        </w:rPr>
      </w:pPr>
      <w:r>
        <w:rPr>
          <w:rFonts w:hint="eastAsia" w:ascii="宋体" w:hAnsi="宋体" w:cs="宋体"/>
          <w:sz w:val="24"/>
          <w:szCs w:val="24"/>
        </w:rPr>
        <w:t>3．乙方在项目建设期间发现乙方人员任何向甲方人员行贿行为，均应及时采取措施予以制止，并及时通报甲方单位领导。</w:t>
      </w:r>
    </w:p>
    <w:p>
      <w:pPr>
        <w:spacing w:line="360" w:lineRule="auto"/>
        <w:ind w:firstLine="446" w:firstLineChars="200"/>
        <w:rPr>
          <w:rFonts w:ascii="宋体" w:hAnsi="宋体" w:cs="宋体"/>
          <w:sz w:val="24"/>
          <w:szCs w:val="24"/>
        </w:rPr>
      </w:pPr>
      <w:r>
        <w:rPr>
          <w:rFonts w:hint="eastAsia" w:ascii="宋体" w:hAnsi="宋体" w:cs="宋体"/>
          <w:sz w:val="24"/>
          <w:szCs w:val="24"/>
        </w:rPr>
        <w:t>4．乙方有责任接受甲方对乙方在项目建设期间廉政管理执行情况的监督。</w:t>
      </w:r>
    </w:p>
    <w:p>
      <w:pPr>
        <w:spacing w:line="360" w:lineRule="auto"/>
        <w:ind w:firstLine="446" w:firstLineChars="200"/>
        <w:rPr>
          <w:rFonts w:ascii="宋体" w:hAnsi="宋体" w:cs="宋体"/>
          <w:sz w:val="24"/>
          <w:szCs w:val="24"/>
        </w:rPr>
      </w:pPr>
      <w:r>
        <w:rPr>
          <w:rFonts w:hint="eastAsia" w:ascii="宋体" w:hAnsi="宋体" w:cs="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46" w:firstLineChars="200"/>
        <w:rPr>
          <w:rFonts w:ascii="宋体" w:hAnsi="宋体" w:cs="宋体"/>
          <w:sz w:val="24"/>
          <w:szCs w:val="24"/>
        </w:rPr>
      </w:pPr>
      <w:r>
        <w:rPr>
          <w:rFonts w:hint="eastAsia" w:ascii="宋体" w:hAnsi="宋体" w:cs="宋体"/>
          <w:sz w:val="24"/>
          <w:szCs w:val="24"/>
        </w:rPr>
        <w:t>6．如因乙方或其人员在项目建设期间贿赂甲方人员，被检查机关立案查处的，甲方有权中止合同履行或解除合同，由此给甲方造成的损失，均由乙方负责赔偿。</w:t>
      </w:r>
    </w:p>
    <w:p>
      <w:pPr>
        <w:spacing w:line="360" w:lineRule="auto"/>
        <w:ind w:firstLine="446" w:firstLineChars="200"/>
        <w:rPr>
          <w:rFonts w:ascii="宋体" w:hAnsi="宋体" w:cs="宋体"/>
          <w:b/>
          <w:sz w:val="24"/>
          <w:szCs w:val="24"/>
        </w:rPr>
      </w:pPr>
      <w:r>
        <w:rPr>
          <w:rFonts w:hint="eastAsia" w:ascii="宋体" w:hAnsi="宋体" w:cs="宋体"/>
          <w:b/>
          <w:sz w:val="24"/>
          <w:szCs w:val="24"/>
        </w:rPr>
        <w:t>三、为维护甲乙双方的合法利益，营造良好的商务环境，甲方建立多种举报渠道（如下）。甲方风控人员将恪守职业道德，严格履行保密义务！</w:t>
      </w:r>
    </w:p>
    <w:p>
      <w:pPr>
        <w:spacing w:line="360" w:lineRule="auto"/>
        <w:ind w:firstLine="386"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（1）微信小程序举报（扫描右侧二维码进入程序，举报信息直达集团董事长）；</w:t>
      </w:r>
    </w:p>
    <w:p>
      <w:pPr>
        <w:spacing w:line="360" w:lineRule="auto"/>
        <w:ind w:firstLine="386"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drawing>
          <wp:anchor distT="0" distB="0" distL="114300" distR="114300" simplePos="0" relativeHeight="251660288" behindDoc="0" locked="0" layoutInCell="1" allowOverlap="1">
            <wp:simplePos x="0" y="0"/>
            <wp:positionH relativeFrom="column">
              <wp:posOffset>4453255</wp:posOffset>
            </wp:positionH>
            <wp:positionV relativeFrom="paragraph">
              <wp:posOffset>221615</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7"/>
                    <a:stretch>
                      <a:fillRect/>
                    </a:stretch>
                  </pic:blipFill>
                  <pic:spPr>
                    <a:xfrm>
                      <a:off x="0" y="0"/>
                      <a:ext cx="935990" cy="935990"/>
                    </a:xfrm>
                    <a:prstGeom prst="rect">
                      <a:avLst/>
                    </a:prstGeom>
                    <a:noFill/>
                    <a:ln>
                      <a:noFill/>
                    </a:ln>
                  </pic:spPr>
                </pic:pic>
              </a:graphicData>
            </a:graphic>
          </wp:anchor>
        </w:drawing>
      </w:r>
      <w:r>
        <w:rPr>
          <w:rFonts w:hint="eastAsia" w:asciiTheme="minorEastAsia" w:hAnsiTheme="minorEastAsia" w:eastAsiaTheme="minorEastAsia" w:cstheme="minorEastAsia"/>
          <w:color w:val="auto"/>
          <w:szCs w:val="28"/>
          <w:highlight w:val="none"/>
        </w:rPr>
        <w:t>（2）邮箱：shenji@chinahonden.com</w:t>
      </w:r>
    </w:p>
    <w:p>
      <w:pPr>
        <w:spacing w:line="360" w:lineRule="auto"/>
        <w:ind w:firstLine="386"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（3）电话：风控总监毛政辉：13693798532</w:t>
      </w:r>
    </w:p>
    <w:p>
      <w:pPr>
        <w:spacing w:line="360" w:lineRule="auto"/>
        <w:ind w:firstLine="386"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（4）电话：审计监察副总监齐全中：18137710188</w:t>
      </w:r>
    </w:p>
    <w:p>
      <w:pPr>
        <w:spacing w:line="360" w:lineRule="auto"/>
        <w:ind w:firstLine="386"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（5）电话：审计监察高级经理苏文倩：18839528225</w:t>
      </w:r>
    </w:p>
    <w:p>
      <w:pPr>
        <w:spacing w:line="360" w:lineRule="auto"/>
        <w:ind w:firstLine="386" w:firstLineChars="2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（6）信件举报邮寄地址：洛阳市洛龙区关林西路8号中浩德控股集团有限公司审计监察部（收）。</w:t>
      </w:r>
    </w:p>
    <w:p>
      <w:pPr>
        <w:spacing w:line="360" w:lineRule="auto"/>
        <w:ind w:firstLine="446" w:firstLineChars="200"/>
        <w:rPr>
          <w:rFonts w:ascii="宋体" w:hAnsi="宋体" w:cs="宋体"/>
          <w:b/>
          <w:sz w:val="24"/>
          <w:szCs w:val="24"/>
        </w:rPr>
      </w:pPr>
      <w:r>
        <w:rPr>
          <w:rFonts w:hint="eastAsia" w:ascii="宋体" w:hAnsi="宋体" w:cs="宋体"/>
          <w:b/>
          <w:sz w:val="24"/>
          <w:szCs w:val="24"/>
        </w:rPr>
        <w:t>四、甲乙双方发现对方工作人员有下列行为之一的，可通过第三条约定的渠道进行举报：</w:t>
      </w:r>
    </w:p>
    <w:p>
      <w:pPr>
        <w:spacing w:line="360" w:lineRule="auto"/>
        <w:ind w:firstLine="446" w:firstLineChars="200"/>
        <w:rPr>
          <w:rFonts w:ascii="宋体" w:hAnsi="宋体" w:cs="宋体"/>
          <w:sz w:val="24"/>
          <w:szCs w:val="24"/>
        </w:rPr>
      </w:pPr>
      <w:r>
        <w:rPr>
          <w:rFonts w:hint="eastAsia" w:ascii="宋体" w:hAnsi="宋体" w:cs="宋体"/>
          <w:sz w:val="24"/>
          <w:szCs w:val="24"/>
        </w:rPr>
        <w:t>1.推诿扯皮、有责不负、处事消极、渎职失职、弄虚作假等行为。</w:t>
      </w:r>
    </w:p>
    <w:p>
      <w:pPr>
        <w:spacing w:line="360" w:lineRule="auto"/>
        <w:ind w:firstLine="446" w:firstLineChars="200"/>
        <w:rPr>
          <w:rFonts w:ascii="宋体" w:hAnsi="宋体" w:cs="宋体"/>
          <w:sz w:val="24"/>
          <w:szCs w:val="24"/>
        </w:rPr>
      </w:pPr>
      <w:r>
        <w:rPr>
          <w:rFonts w:hint="eastAsia" w:ascii="宋体" w:hAnsi="宋体" w:cs="宋体"/>
          <w:sz w:val="24"/>
          <w:szCs w:val="24"/>
        </w:rPr>
        <w:t>2.以权谋私、滥用职权、处事不公、隐瞒事故、违章指挥造成公司严重事故隐患的行为。</w:t>
      </w:r>
    </w:p>
    <w:p>
      <w:pPr>
        <w:spacing w:line="360" w:lineRule="auto"/>
        <w:ind w:firstLine="446" w:firstLineChars="200"/>
        <w:rPr>
          <w:rFonts w:ascii="宋体" w:hAnsi="宋体" w:cs="宋体"/>
          <w:sz w:val="24"/>
          <w:szCs w:val="24"/>
        </w:rPr>
      </w:pPr>
      <w:r>
        <w:rPr>
          <w:rFonts w:hint="eastAsia" w:ascii="宋体" w:hAnsi="宋体" w:cs="宋体"/>
          <w:sz w:val="24"/>
          <w:szCs w:val="24"/>
        </w:rPr>
        <w:t>3.贪污、受贿、盗窃、欺上瞒下等违法乱纪行为。</w:t>
      </w:r>
    </w:p>
    <w:p>
      <w:pPr>
        <w:spacing w:line="360" w:lineRule="auto"/>
        <w:ind w:firstLine="446" w:firstLineChars="200"/>
        <w:rPr>
          <w:rFonts w:ascii="宋体" w:hAnsi="宋体" w:cs="宋体"/>
          <w:sz w:val="24"/>
          <w:szCs w:val="24"/>
        </w:rPr>
      </w:pPr>
      <w:r>
        <w:rPr>
          <w:rFonts w:hint="eastAsia" w:ascii="宋体" w:hAnsi="宋体" w:cs="宋体"/>
          <w:sz w:val="24"/>
          <w:szCs w:val="24"/>
        </w:rPr>
        <w:t>4.出卖、泄露公司商业机密等危害公司行为。</w:t>
      </w:r>
    </w:p>
    <w:p>
      <w:pPr>
        <w:spacing w:line="360" w:lineRule="auto"/>
        <w:ind w:firstLine="446" w:firstLineChars="200"/>
        <w:rPr>
          <w:rFonts w:ascii="宋体" w:hAnsi="宋体" w:cs="宋体"/>
          <w:sz w:val="24"/>
          <w:szCs w:val="24"/>
        </w:rPr>
      </w:pPr>
      <w:r>
        <w:rPr>
          <w:rFonts w:hint="eastAsia" w:ascii="宋体" w:hAnsi="宋体" w:cs="宋体"/>
          <w:sz w:val="24"/>
          <w:szCs w:val="24"/>
        </w:rPr>
        <w:t>5.重大经济活动未按公司制度、流程执行的违规违纪行为。</w:t>
      </w:r>
    </w:p>
    <w:p>
      <w:pPr>
        <w:spacing w:line="360" w:lineRule="auto"/>
        <w:ind w:firstLine="446" w:firstLineChars="200"/>
        <w:rPr>
          <w:rFonts w:ascii="宋体" w:hAnsi="宋体" w:cs="宋体"/>
          <w:sz w:val="24"/>
          <w:szCs w:val="24"/>
        </w:rPr>
      </w:pPr>
      <w:r>
        <w:rPr>
          <w:rFonts w:hint="eastAsia" w:ascii="宋体" w:hAnsi="宋体" w:cs="宋体"/>
          <w:sz w:val="24"/>
          <w:szCs w:val="24"/>
        </w:rPr>
        <w:t>6.利用职权，任人唯亲，拉帮结派，搞小利益团体或对同事正当行使权利进行打击报复的行为。</w:t>
      </w:r>
    </w:p>
    <w:p>
      <w:pPr>
        <w:spacing w:line="360" w:lineRule="auto"/>
        <w:ind w:firstLine="446" w:firstLineChars="200"/>
        <w:rPr>
          <w:rFonts w:ascii="宋体" w:hAnsi="宋体" w:cs="宋体"/>
          <w:sz w:val="24"/>
          <w:szCs w:val="24"/>
        </w:rPr>
      </w:pPr>
      <w:r>
        <w:rPr>
          <w:rFonts w:hint="eastAsia" w:ascii="宋体" w:hAnsi="宋体" w:cs="宋体"/>
          <w:sz w:val="24"/>
          <w:szCs w:val="24"/>
        </w:rPr>
        <w:t>7.故意涂改公司文件或以公司名义谋私利，损害公司荣誉和利益的行为。</w:t>
      </w:r>
    </w:p>
    <w:p>
      <w:pPr>
        <w:spacing w:line="360" w:lineRule="auto"/>
        <w:ind w:firstLine="446" w:firstLineChars="200"/>
        <w:rPr>
          <w:rFonts w:ascii="宋体" w:hAnsi="宋体" w:cs="宋体"/>
          <w:sz w:val="24"/>
          <w:szCs w:val="24"/>
        </w:rPr>
      </w:pPr>
      <w:r>
        <w:rPr>
          <w:rFonts w:hint="eastAsia" w:ascii="宋体" w:hAnsi="宋体" w:cs="宋体"/>
          <w:sz w:val="24"/>
          <w:szCs w:val="24"/>
        </w:rPr>
        <w:t>8.私自侵占、挪用公司财物，损坏公司重要设备或资产的行为。</w:t>
      </w:r>
    </w:p>
    <w:p>
      <w:pPr>
        <w:spacing w:line="360" w:lineRule="auto"/>
        <w:ind w:firstLine="446" w:firstLineChars="200"/>
        <w:rPr>
          <w:rFonts w:ascii="宋体" w:hAnsi="宋体" w:cs="宋体"/>
          <w:sz w:val="24"/>
          <w:szCs w:val="24"/>
        </w:rPr>
      </w:pPr>
      <w:r>
        <w:rPr>
          <w:rFonts w:hint="eastAsia" w:ascii="宋体" w:hAnsi="宋体" w:cs="宋体"/>
          <w:sz w:val="24"/>
          <w:szCs w:val="24"/>
        </w:rPr>
        <w:t>9.破坏团队和谐，故意挑拨员工之间关系，对同事恶意侮辱、陷害、制造事端的行为。</w:t>
      </w:r>
    </w:p>
    <w:p>
      <w:pPr>
        <w:spacing w:line="360" w:lineRule="auto"/>
        <w:ind w:firstLine="446" w:firstLineChars="200"/>
        <w:rPr>
          <w:rFonts w:ascii="宋体" w:hAnsi="宋体" w:cs="宋体"/>
          <w:sz w:val="24"/>
          <w:szCs w:val="24"/>
        </w:rPr>
      </w:pPr>
      <w:r>
        <w:rPr>
          <w:rFonts w:hint="eastAsia" w:ascii="宋体" w:hAnsi="宋体" w:cs="宋体"/>
          <w:sz w:val="24"/>
          <w:szCs w:val="24"/>
        </w:rPr>
        <w:t>10.妄议集团经营、管理、决策部署、会议决议，对正当行使职权的执法部门、员工进行设置障碍、诋毁、恶意侮辱的行为。</w:t>
      </w:r>
    </w:p>
    <w:p>
      <w:pPr>
        <w:spacing w:line="360" w:lineRule="auto"/>
        <w:ind w:firstLine="446" w:firstLineChars="200"/>
        <w:rPr>
          <w:rFonts w:ascii="宋体" w:hAnsi="宋体" w:cs="宋体"/>
          <w:sz w:val="24"/>
          <w:szCs w:val="24"/>
        </w:rPr>
      </w:pPr>
      <w:r>
        <w:rPr>
          <w:rFonts w:hint="eastAsia" w:ascii="宋体" w:hAnsi="宋体" w:cs="宋体"/>
          <w:sz w:val="24"/>
          <w:szCs w:val="24"/>
        </w:rPr>
        <w:t>11.其它违反法律或者招标人公司相关制度的行为。</w:t>
      </w:r>
    </w:p>
    <w:p>
      <w:pPr>
        <w:spacing w:line="360" w:lineRule="auto"/>
        <w:ind w:firstLine="446" w:firstLineChars="200"/>
        <w:rPr>
          <w:rFonts w:ascii="宋体" w:hAnsi="宋体" w:cs="宋体"/>
          <w:sz w:val="24"/>
          <w:szCs w:val="24"/>
        </w:rPr>
      </w:pPr>
      <w:r>
        <w:rPr>
          <w:rFonts w:hint="eastAsia" w:ascii="宋体" w:hAnsi="宋体" w:cs="宋体"/>
          <w:sz w:val="24"/>
          <w:szCs w:val="24"/>
        </w:rPr>
        <w:t>（以下无正文）</w:t>
      </w:r>
    </w:p>
    <w:p>
      <w:pPr>
        <w:spacing w:line="360" w:lineRule="auto"/>
        <w:ind w:firstLine="446" w:firstLineChars="200"/>
        <w:rPr>
          <w:rFonts w:ascii="宋体" w:hAnsi="宋体" w:cs="宋体"/>
          <w:sz w:val="24"/>
          <w:szCs w:val="24"/>
        </w:rPr>
      </w:pPr>
      <w:r>
        <w:rPr>
          <w:rFonts w:hint="eastAsia" w:ascii="宋体" w:hAnsi="宋体" w:cs="宋体"/>
          <w:sz w:val="24"/>
          <w:szCs w:val="24"/>
        </w:rPr>
        <w:t>甲方：洛阳浩德鑫置地有限公司         乙方：</w:t>
      </w:r>
      <w:r>
        <w:rPr>
          <w:rFonts w:hint="eastAsia" w:ascii="宋体" w:hAnsi="宋体" w:cs="宋体"/>
          <w:sz w:val="24"/>
          <w:szCs w:val="24"/>
          <w:lang w:eastAsia="zh-CN"/>
        </w:rPr>
        <w:t>洛阳铭一电器设备有限公司</w:t>
      </w:r>
      <w:r>
        <w:rPr>
          <w:rFonts w:hint="eastAsia" w:ascii="宋体" w:hAnsi="宋体" w:cs="宋体"/>
          <w:sz w:val="24"/>
          <w:szCs w:val="24"/>
        </w:rPr>
        <w:t xml:space="preserve"> </w:t>
      </w:r>
    </w:p>
    <w:p>
      <w:pPr>
        <w:spacing w:line="360" w:lineRule="auto"/>
        <w:ind w:firstLine="446" w:firstLineChars="200"/>
        <w:rPr>
          <w:rFonts w:ascii="宋体" w:hAnsi="宋体" w:cs="宋体"/>
          <w:b/>
          <w:sz w:val="24"/>
          <w:szCs w:val="24"/>
        </w:rPr>
      </w:pPr>
      <w:r>
        <w:rPr>
          <w:rFonts w:hint="eastAsia" w:ascii="宋体" w:hAnsi="宋体" w:cs="宋体"/>
          <w:sz w:val="24"/>
          <w:szCs w:val="24"/>
        </w:rPr>
        <w:t>签署日期：</w:t>
      </w:r>
      <w:r>
        <w:rPr>
          <w:rFonts w:hint="eastAsia" w:ascii="宋体" w:hAnsi="宋体" w:cs="宋体"/>
          <w:sz w:val="24"/>
          <w:szCs w:val="24"/>
          <w:lang w:eastAsia="zh-CN"/>
        </w:rPr>
        <w:t>2024年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30</w:t>
      </w:r>
      <w:r>
        <w:rPr>
          <w:rFonts w:hint="eastAsia" w:ascii="宋体" w:hAnsi="宋体" w:cs="宋体"/>
          <w:sz w:val="24"/>
          <w:szCs w:val="24"/>
        </w:rPr>
        <w:t>日            签署日期：</w:t>
      </w:r>
      <w:r>
        <w:rPr>
          <w:rFonts w:hint="eastAsia" w:ascii="宋体" w:hAnsi="宋体" w:cs="宋体"/>
          <w:sz w:val="24"/>
          <w:szCs w:val="24"/>
          <w:lang w:eastAsia="zh-CN"/>
        </w:rPr>
        <w:t>2024年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30</w:t>
      </w:r>
      <w:r>
        <w:rPr>
          <w:rFonts w:hint="eastAsia" w:ascii="宋体" w:hAnsi="宋体" w:cs="宋体"/>
          <w:sz w:val="24"/>
          <w:szCs w:val="24"/>
        </w:rPr>
        <w:t>日</w:t>
      </w:r>
    </w:p>
    <w:sectPr>
      <w:pgSz w:w="11906" w:h="16838"/>
      <w:pgMar w:top="1417" w:right="1066" w:bottom="1417" w:left="1400" w:header="851" w:footer="992" w:gutter="0"/>
      <w:cols w:space="0" w:num="1"/>
      <w:docGrid w:type="linesAndChars" w:linePitch="348"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path/>
          <v:fill on="f" focussize="0,0"/>
          <v:stroke on="f" weight="0.5pt" joinstyle="miter"/>
          <v:imagedata o:title=""/>
          <o:lock v:ext="edit"/>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2"/>
      <w:rPr>
        <w:rStyle w:val="24"/>
      </w:rPr>
    </w:pPr>
    <w:r>
      <w:fldChar w:fldCharType="begin"/>
    </w:r>
    <w:r>
      <w:rPr>
        <w:rStyle w:val="24"/>
      </w:rPr>
      <w:instrText xml:space="preserve">PAGE  </w:instrText>
    </w:r>
    <w:r>
      <w:fldChar w:fldCharType="separate"/>
    </w:r>
    <w:r>
      <w:rPr>
        <w:rStyle w:val="24"/>
      </w:rPr>
      <w:t>3</w:t>
    </w:r>
    <w:r>
      <w:fldChar w:fldCharType="end"/>
    </w:r>
  </w:p>
  <w:p>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422" w:rightChars="201" w:firstLine="270" w:firstLineChars="150"/>
      <w:jc w:val="left"/>
      <w:rPr>
        <w:b/>
        <w:color w:val="5F5F5F"/>
        <w:sz w:val="24"/>
        <w:u w:val="single"/>
      </w:rPr>
    </w:pPr>
    <w:r>
      <w:drawing>
        <wp:inline distT="0" distB="0" distL="114300" distR="114300">
          <wp:extent cx="1019810" cy="314325"/>
          <wp:effectExtent l="0" t="0" r="8890" b="9525"/>
          <wp:docPr id="9" name="图片 10"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r>
      <w:rPr>
        <w:rFonts w:hint="eastAsia"/>
        <w:b/>
        <w:color w:val="5F5F5F"/>
        <w:sz w:val="24"/>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D5757"/>
    <w:multiLevelType w:val="multilevel"/>
    <w:tmpl w:val="57BD5757"/>
    <w:lvl w:ilvl="0" w:tentative="0">
      <w:start w:val="0"/>
      <w:numFmt w:val="decimal"/>
      <w:lvlText w:val=""/>
      <w:lvlJc w:val="left"/>
    </w:lvl>
    <w:lvl w:ilvl="1" w:tentative="0">
      <w:start w:val="0"/>
      <w:numFmt w:val="decimal"/>
      <w:pStyle w:val="9"/>
      <w:lvlText w:val=""/>
      <w:lvlJc w:val="left"/>
    </w:lvl>
    <w:lvl w:ilvl="2" w:tentative="0">
      <w:start w:val="0"/>
      <w:numFmt w:val="decimal"/>
      <w:pStyle w:val="10"/>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飞飞">
    <w15:presenceInfo w15:providerId="None" w15:userId="飞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74"/>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ExZDM4NWE4MWI5NDU3YWY1YTRhOGIwZjI5ZmEyMTEifQ=="/>
  </w:docVars>
  <w:rsids>
    <w:rsidRoot w:val="00172A27"/>
    <w:rsid w:val="00001C34"/>
    <w:rsid w:val="00006D41"/>
    <w:rsid w:val="0001660C"/>
    <w:rsid w:val="0001777D"/>
    <w:rsid w:val="000304E0"/>
    <w:rsid w:val="00032E29"/>
    <w:rsid w:val="00035457"/>
    <w:rsid w:val="0003722D"/>
    <w:rsid w:val="00040403"/>
    <w:rsid w:val="000414AF"/>
    <w:rsid w:val="000456F7"/>
    <w:rsid w:val="00046C44"/>
    <w:rsid w:val="00051D33"/>
    <w:rsid w:val="00055069"/>
    <w:rsid w:val="00061B8C"/>
    <w:rsid w:val="000717A9"/>
    <w:rsid w:val="00081592"/>
    <w:rsid w:val="000B1871"/>
    <w:rsid w:val="000B725B"/>
    <w:rsid w:val="000B7F77"/>
    <w:rsid w:val="000C1AF3"/>
    <w:rsid w:val="000D1923"/>
    <w:rsid w:val="000E0AA9"/>
    <w:rsid w:val="000E3A0C"/>
    <w:rsid w:val="000F0B74"/>
    <w:rsid w:val="000F2E16"/>
    <w:rsid w:val="001016CC"/>
    <w:rsid w:val="00110416"/>
    <w:rsid w:val="00111C91"/>
    <w:rsid w:val="001220BC"/>
    <w:rsid w:val="00125C09"/>
    <w:rsid w:val="00126AAA"/>
    <w:rsid w:val="0013198D"/>
    <w:rsid w:val="00135C13"/>
    <w:rsid w:val="00141B2B"/>
    <w:rsid w:val="0014360A"/>
    <w:rsid w:val="00144268"/>
    <w:rsid w:val="0014469C"/>
    <w:rsid w:val="0014641F"/>
    <w:rsid w:val="00155001"/>
    <w:rsid w:val="001671E1"/>
    <w:rsid w:val="0017150A"/>
    <w:rsid w:val="00172A27"/>
    <w:rsid w:val="001758C2"/>
    <w:rsid w:val="00180988"/>
    <w:rsid w:val="00181646"/>
    <w:rsid w:val="00186B0E"/>
    <w:rsid w:val="00191A22"/>
    <w:rsid w:val="00193F5D"/>
    <w:rsid w:val="001A06B1"/>
    <w:rsid w:val="001A67D0"/>
    <w:rsid w:val="001B41FF"/>
    <w:rsid w:val="001B4985"/>
    <w:rsid w:val="001C3659"/>
    <w:rsid w:val="001C75D8"/>
    <w:rsid w:val="001D2AD7"/>
    <w:rsid w:val="001D406D"/>
    <w:rsid w:val="001D46FD"/>
    <w:rsid w:val="001E1C0D"/>
    <w:rsid w:val="001E2F32"/>
    <w:rsid w:val="00201783"/>
    <w:rsid w:val="0020284B"/>
    <w:rsid w:val="002118C2"/>
    <w:rsid w:val="00213692"/>
    <w:rsid w:val="00213D13"/>
    <w:rsid w:val="002143E3"/>
    <w:rsid w:val="00224709"/>
    <w:rsid w:val="002318D0"/>
    <w:rsid w:val="00233504"/>
    <w:rsid w:val="00237F9E"/>
    <w:rsid w:val="00241483"/>
    <w:rsid w:val="00252BDE"/>
    <w:rsid w:val="00254040"/>
    <w:rsid w:val="002552D2"/>
    <w:rsid w:val="00257A11"/>
    <w:rsid w:val="00260CDF"/>
    <w:rsid w:val="002622C9"/>
    <w:rsid w:val="002633F0"/>
    <w:rsid w:val="002637F5"/>
    <w:rsid w:val="0027420A"/>
    <w:rsid w:val="00277612"/>
    <w:rsid w:val="00280609"/>
    <w:rsid w:val="002855DA"/>
    <w:rsid w:val="00287251"/>
    <w:rsid w:val="00294E44"/>
    <w:rsid w:val="002951F8"/>
    <w:rsid w:val="00297B7A"/>
    <w:rsid w:val="002A0AD9"/>
    <w:rsid w:val="002A148E"/>
    <w:rsid w:val="002A2868"/>
    <w:rsid w:val="002B24EF"/>
    <w:rsid w:val="002B31D4"/>
    <w:rsid w:val="002B5D0B"/>
    <w:rsid w:val="002C0C73"/>
    <w:rsid w:val="002C1EE1"/>
    <w:rsid w:val="002D1EEE"/>
    <w:rsid w:val="002D2E48"/>
    <w:rsid w:val="002D4A92"/>
    <w:rsid w:val="002D55AD"/>
    <w:rsid w:val="002E3872"/>
    <w:rsid w:val="002E4EF0"/>
    <w:rsid w:val="002E53D5"/>
    <w:rsid w:val="00300436"/>
    <w:rsid w:val="003047C0"/>
    <w:rsid w:val="00306F70"/>
    <w:rsid w:val="00310EEC"/>
    <w:rsid w:val="00313F22"/>
    <w:rsid w:val="003244CF"/>
    <w:rsid w:val="00332F58"/>
    <w:rsid w:val="0034363E"/>
    <w:rsid w:val="00343D85"/>
    <w:rsid w:val="00355D58"/>
    <w:rsid w:val="00357AC7"/>
    <w:rsid w:val="00361AA6"/>
    <w:rsid w:val="0036354F"/>
    <w:rsid w:val="00363937"/>
    <w:rsid w:val="00375319"/>
    <w:rsid w:val="003755E9"/>
    <w:rsid w:val="00380B98"/>
    <w:rsid w:val="0038704D"/>
    <w:rsid w:val="0039453A"/>
    <w:rsid w:val="003B5103"/>
    <w:rsid w:val="003C139F"/>
    <w:rsid w:val="003C44CC"/>
    <w:rsid w:val="003C68CF"/>
    <w:rsid w:val="003D3287"/>
    <w:rsid w:val="003D49DB"/>
    <w:rsid w:val="003D4A10"/>
    <w:rsid w:val="003D6E8D"/>
    <w:rsid w:val="003E2D9D"/>
    <w:rsid w:val="003E4DEF"/>
    <w:rsid w:val="003F62BA"/>
    <w:rsid w:val="004039D2"/>
    <w:rsid w:val="00405574"/>
    <w:rsid w:val="00413545"/>
    <w:rsid w:val="0041557C"/>
    <w:rsid w:val="0042406E"/>
    <w:rsid w:val="00426CF2"/>
    <w:rsid w:val="00427F9D"/>
    <w:rsid w:val="004322FB"/>
    <w:rsid w:val="004409FD"/>
    <w:rsid w:val="004465F2"/>
    <w:rsid w:val="00447646"/>
    <w:rsid w:val="00450678"/>
    <w:rsid w:val="00453B49"/>
    <w:rsid w:val="0045401E"/>
    <w:rsid w:val="00465661"/>
    <w:rsid w:val="004709EA"/>
    <w:rsid w:val="00471499"/>
    <w:rsid w:val="00472727"/>
    <w:rsid w:val="004749ED"/>
    <w:rsid w:val="00480E47"/>
    <w:rsid w:val="00485E30"/>
    <w:rsid w:val="00492759"/>
    <w:rsid w:val="00495AA3"/>
    <w:rsid w:val="004A63AA"/>
    <w:rsid w:val="004B0E06"/>
    <w:rsid w:val="004B3A2B"/>
    <w:rsid w:val="004B6036"/>
    <w:rsid w:val="004B6D52"/>
    <w:rsid w:val="004C0A22"/>
    <w:rsid w:val="004C18A4"/>
    <w:rsid w:val="004C2533"/>
    <w:rsid w:val="004C3C65"/>
    <w:rsid w:val="004C716E"/>
    <w:rsid w:val="004D352F"/>
    <w:rsid w:val="004D78E0"/>
    <w:rsid w:val="004E0381"/>
    <w:rsid w:val="004E4A7B"/>
    <w:rsid w:val="004F3072"/>
    <w:rsid w:val="004F548D"/>
    <w:rsid w:val="00502C52"/>
    <w:rsid w:val="0050570E"/>
    <w:rsid w:val="005120AE"/>
    <w:rsid w:val="00512E25"/>
    <w:rsid w:val="00514A7F"/>
    <w:rsid w:val="005169E6"/>
    <w:rsid w:val="00524A5C"/>
    <w:rsid w:val="00532A2D"/>
    <w:rsid w:val="00537ADF"/>
    <w:rsid w:val="00554ADA"/>
    <w:rsid w:val="005561C1"/>
    <w:rsid w:val="0056255B"/>
    <w:rsid w:val="0056434F"/>
    <w:rsid w:val="00570D87"/>
    <w:rsid w:val="005836E7"/>
    <w:rsid w:val="00585618"/>
    <w:rsid w:val="00587BB4"/>
    <w:rsid w:val="00594002"/>
    <w:rsid w:val="00594518"/>
    <w:rsid w:val="005A5CBC"/>
    <w:rsid w:val="005C72DF"/>
    <w:rsid w:val="005D4F07"/>
    <w:rsid w:val="005D70E5"/>
    <w:rsid w:val="005D7B93"/>
    <w:rsid w:val="005E1C45"/>
    <w:rsid w:val="005E3697"/>
    <w:rsid w:val="005E4F98"/>
    <w:rsid w:val="005E677C"/>
    <w:rsid w:val="005E6EDA"/>
    <w:rsid w:val="005E7453"/>
    <w:rsid w:val="005F0C5C"/>
    <w:rsid w:val="005F37BB"/>
    <w:rsid w:val="006038AF"/>
    <w:rsid w:val="00606405"/>
    <w:rsid w:val="00607480"/>
    <w:rsid w:val="00611CD1"/>
    <w:rsid w:val="00630FA5"/>
    <w:rsid w:val="0063157C"/>
    <w:rsid w:val="006367F7"/>
    <w:rsid w:val="00637146"/>
    <w:rsid w:val="00643ACD"/>
    <w:rsid w:val="006447FD"/>
    <w:rsid w:val="006515E9"/>
    <w:rsid w:val="0066223C"/>
    <w:rsid w:val="00667785"/>
    <w:rsid w:val="00670964"/>
    <w:rsid w:val="00671A9C"/>
    <w:rsid w:val="006739A9"/>
    <w:rsid w:val="00674384"/>
    <w:rsid w:val="00675385"/>
    <w:rsid w:val="00676973"/>
    <w:rsid w:val="0067780A"/>
    <w:rsid w:val="0069020F"/>
    <w:rsid w:val="006A03E7"/>
    <w:rsid w:val="006B0ED9"/>
    <w:rsid w:val="006C16B3"/>
    <w:rsid w:val="006C24F9"/>
    <w:rsid w:val="00700CF9"/>
    <w:rsid w:val="0070285F"/>
    <w:rsid w:val="00703177"/>
    <w:rsid w:val="00704A24"/>
    <w:rsid w:val="007122ED"/>
    <w:rsid w:val="00716F76"/>
    <w:rsid w:val="007259DD"/>
    <w:rsid w:val="0072676C"/>
    <w:rsid w:val="00740A03"/>
    <w:rsid w:val="007531FB"/>
    <w:rsid w:val="00753B2B"/>
    <w:rsid w:val="007604E6"/>
    <w:rsid w:val="0076440B"/>
    <w:rsid w:val="00770152"/>
    <w:rsid w:val="00770D0B"/>
    <w:rsid w:val="00772E53"/>
    <w:rsid w:val="007757BA"/>
    <w:rsid w:val="00777775"/>
    <w:rsid w:val="00782261"/>
    <w:rsid w:val="0078373C"/>
    <w:rsid w:val="007844AA"/>
    <w:rsid w:val="007869AB"/>
    <w:rsid w:val="00790A48"/>
    <w:rsid w:val="007A06BB"/>
    <w:rsid w:val="007A16CD"/>
    <w:rsid w:val="007A20C3"/>
    <w:rsid w:val="007A7F45"/>
    <w:rsid w:val="007B46EF"/>
    <w:rsid w:val="007C16FC"/>
    <w:rsid w:val="007C2520"/>
    <w:rsid w:val="007C4AC6"/>
    <w:rsid w:val="007C51BC"/>
    <w:rsid w:val="007C55C3"/>
    <w:rsid w:val="007C5EA3"/>
    <w:rsid w:val="007D2E52"/>
    <w:rsid w:val="007D62FA"/>
    <w:rsid w:val="007F02F4"/>
    <w:rsid w:val="0080239E"/>
    <w:rsid w:val="0081040E"/>
    <w:rsid w:val="008144A0"/>
    <w:rsid w:val="00822FBD"/>
    <w:rsid w:val="008350A2"/>
    <w:rsid w:val="00843935"/>
    <w:rsid w:val="00851DF2"/>
    <w:rsid w:val="00851FDB"/>
    <w:rsid w:val="00854473"/>
    <w:rsid w:val="00856681"/>
    <w:rsid w:val="008567D2"/>
    <w:rsid w:val="00857078"/>
    <w:rsid w:val="00862A30"/>
    <w:rsid w:val="008656ED"/>
    <w:rsid w:val="0088760B"/>
    <w:rsid w:val="008A6C71"/>
    <w:rsid w:val="008B4D81"/>
    <w:rsid w:val="008C09D7"/>
    <w:rsid w:val="008D116C"/>
    <w:rsid w:val="008D6306"/>
    <w:rsid w:val="008D727E"/>
    <w:rsid w:val="008E3723"/>
    <w:rsid w:val="008E63D4"/>
    <w:rsid w:val="008E68E3"/>
    <w:rsid w:val="008F08FF"/>
    <w:rsid w:val="008F0DFA"/>
    <w:rsid w:val="008F1D27"/>
    <w:rsid w:val="008F421D"/>
    <w:rsid w:val="008F6E66"/>
    <w:rsid w:val="00901AC9"/>
    <w:rsid w:val="00904DD9"/>
    <w:rsid w:val="00910765"/>
    <w:rsid w:val="009115D6"/>
    <w:rsid w:val="0091496D"/>
    <w:rsid w:val="00940E59"/>
    <w:rsid w:val="00940E7E"/>
    <w:rsid w:val="00946C23"/>
    <w:rsid w:val="00953241"/>
    <w:rsid w:val="00964BA2"/>
    <w:rsid w:val="00972195"/>
    <w:rsid w:val="009801F2"/>
    <w:rsid w:val="00980B42"/>
    <w:rsid w:val="009920F1"/>
    <w:rsid w:val="009939AA"/>
    <w:rsid w:val="009A2AAE"/>
    <w:rsid w:val="009A6CE1"/>
    <w:rsid w:val="009B1DD2"/>
    <w:rsid w:val="009B2751"/>
    <w:rsid w:val="009B3732"/>
    <w:rsid w:val="009B3CF2"/>
    <w:rsid w:val="009C0D7A"/>
    <w:rsid w:val="009C0D9C"/>
    <w:rsid w:val="009C21B6"/>
    <w:rsid w:val="009C26A6"/>
    <w:rsid w:val="009C7D94"/>
    <w:rsid w:val="009E3178"/>
    <w:rsid w:val="009E79A1"/>
    <w:rsid w:val="009F466C"/>
    <w:rsid w:val="009F5F85"/>
    <w:rsid w:val="00A0168F"/>
    <w:rsid w:val="00A052B1"/>
    <w:rsid w:val="00A1541C"/>
    <w:rsid w:val="00A1612B"/>
    <w:rsid w:val="00A23C64"/>
    <w:rsid w:val="00A2496E"/>
    <w:rsid w:val="00A41E9B"/>
    <w:rsid w:val="00A50BF1"/>
    <w:rsid w:val="00A5563D"/>
    <w:rsid w:val="00A613F0"/>
    <w:rsid w:val="00A647F6"/>
    <w:rsid w:val="00A64920"/>
    <w:rsid w:val="00A660A9"/>
    <w:rsid w:val="00A66FC1"/>
    <w:rsid w:val="00A670BC"/>
    <w:rsid w:val="00A675B6"/>
    <w:rsid w:val="00A709FD"/>
    <w:rsid w:val="00A73325"/>
    <w:rsid w:val="00A73BB5"/>
    <w:rsid w:val="00A7580B"/>
    <w:rsid w:val="00A82986"/>
    <w:rsid w:val="00AA483F"/>
    <w:rsid w:val="00AB0FB4"/>
    <w:rsid w:val="00AC26E4"/>
    <w:rsid w:val="00AC5874"/>
    <w:rsid w:val="00AC6B79"/>
    <w:rsid w:val="00AC6E6C"/>
    <w:rsid w:val="00AD2128"/>
    <w:rsid w:val="00AD310E"/>
    <w:rsid w:val="00AE599A"/>
    <w:rsid w:val="00AE6FB1"/>
    <w:rsid w:val="00AF2E81"/>
    <w:rsid w:val="00AF3574"/>
    <w:rsid w:val="00AF4F88"/>
    <w:rsid w:val="00B00392"/>
    <w:rsid w:val="00B04692"/>
    <w:rsid w:val="00B103A2"/>
    <w:rsid w:val="00B11BEA"/>
    <w:rsid w:val="00B24789"/>
    <w:rsid w:val="00B31B26"/>
    <w:rsid w:val="00B40281"/>
    <w:rsid w:val="00B4467B"/>
    <w:rsid w:val="00B52337"/>
    <w:rsid w:val="00B53C23"/>
    <w:rsid w:val="00B614D8"/>
    <w:rsid w:val="00B73B27"/>
    <w:rsid w:val="00B84CBC"/>
    <w:rsid w:val="00B87DEA"/>
    <w:rsid w:val="00B916FF"/>
    <w:rsid w:val="00B91B43"/>
    <w:rsid w:val="00B955E4"/>
    <w:rsid w:val="00B965C4"/>
    <w:rsid w:val="00BA20DB"/>
    <w:rsid w:val="00BB5F85"/>
    <w:rsid w:val="00BC5B84"/>
    <w:rsid w:val="00BD0D0C"/>
    <w:rsid w:val="00BD0DFF"/>
    <w:rsid w:val="00BD1542"/>
    <w:rsid w:val="00BD245C"/>
    <w:rsid w:val="00BD6CBB"/>
    <w:rsid w:val="00BE0AF7"/>
    <w:rsid w:val="00BE0C46"/>
    <w:rsid w:val="00BE603F"/>
    <w:rsid w:val="00BE622A"/>
    <w:rsid w:val="00BF17EB"/>
    <w:rsid w:val="00BF3FDB"/>
    <w:rsid w:val="00BF4860"/>
    <w:rsid w:val="00BF6D8C"/>
    <w:rsid w:val="00C00835"/>
    <w:rsid w:val="00C2386F"/>
    <w:rsid w:val="00C23DF6"/>
    <w:rsid w:val="00C333CA"/>
    <w:rsid w:val="00C33C15"/>
    <w:rsid w:val="00C34BCA"/>
    <w:rsid w:val="00C35AFD"/>
    <w:rsid w:val="00C35EEE"/>
    <w:rsid w:val="00C372FA"/>
    <w:rsid w:val="00C41D6C"/>
    <w:rsid w:val="00C51EC1"/>
    <w:rsid w:val="00C537FE"/>
    <w:rsid w:val="00C5421F"/>
    <w:rsid w:val="00C57505"/>
    <w:rsid w:val="00C60397"/>
    <w:rsid w:val="00C671B3"/>
    <w:rsid w:val="00C70BA5"/>
    <w:rsid w:val="00C7313C"/>
    <w:rsid w:val="00C8047A"/>
    <w:rsid w:val="00C83FB8"/>
    <w:rsid w:val="00C864ED"/>
    <w:rsid w:val="00C87300"/>
    <w:rsid w:val="00C91CBA"/>
    <w:rsid w:val="00C92295"/>
    <w:rsid w:val="00CA16A3"/>
    <w:rsid w:val="00CA4273"/>
    <w:rsid w:val="00CA5925"/>
    <w:rsid w:val="00CA5FD2"/>
    <w:rsid w:val="00CB16B3"/>
    <w:rsid w:val="00CB333C"/>
    <w:rsid w:val="00CB37E6"/>
    <w:rsid w:val="00CB6840"/>
    <w:rsid w:val="00CC0C77"/>
    <w:rsid w:val="00CD186F"/>
    <w:rsid w:val="00CD1E36"/>
    <w:rsid w:val="00CE03D5"/>
    <w:rsid w:val="00CE0B57"/>
    <w:rsid w:val="00CF506C"/>
    <w:rsid w:val="00D12F74"/>
    <w:rsid w:val="00D16F01"/>
    <w:rsid w:val="00D23981"/>
    <w:rsid w:val="00D24D4F"/>
    <w:rsid w:val="00D2523C"/>
    <w:rsid w:val="00D3073E"/>
    <w:rsid w:val="00D40A90"/>
    <w:rsid w:val="00D4409E"/>
    <w:rsid w:val="00D54095"/>
    <w:rsid w:val="00D5512E"/>
    <w:rsid w:val="00D62058"/>
    <w:rsid w:val="00D6322B"/>
    <w:rsid w:val="00D658A3"/>
    <w:rsid w:val="00D6614D"/>
    <w:rsid w:val="00D71AEE"/>
    <w:rsid w:val="00D72CB2"/>
    <w:rsid w:val="00D742ED"/>
    <w:rsid w:val="00D805D6"/>
    <w:rsid w:val="00D842B0"/>
    <w:rsid w:val="00D87D00"/>
    <w:rsid w:val="00D964C0"/>
    <w:rsid w:val="00D968B2"/>
    <w:rsid w:val="00D977B3"/>
    <w:rsid w:val="00DA0346"/>
    <w:rsid w:val="00DA0C4B"/>
    <w:rsid w:val="00DA1CFA"/>
    <w:rsid w:val="00DA26FA"/>
    <w:rsid w:val="00DA42DB"/>
    <w:rsid w:val="00DA54DB"/>
    <w:rsid w:val="00DA59DD"/>
    <w:rsid w:val="00DB7892"/>
    <w:rsid w:val="00DC0049"/>
    <w:rsid w:val="00DC43E0"/>
    <w:rsid w:val="00DE48C0"/>
    <w:rsid w:val="00DE518F"/>
    <w:rsid w:val="00DF3D7B"/>
    <w:rsid w:val="00E000B1"/>
    <w:rsid w:val="00E01245"/>
    <w:rsid w:val="00E05D62"/>
    <w:rsid w:val="00E06803"/>
    <w:rsid w:val="00E132B2"/>
    <w:rsid w:val="00E311AD"/>
    <w:rsid w:val="00E356CD"/>
    <w:rsid w:val="00E37C69"/>
    <w:rsid w:val="00E436EF"/>
    <w:rsid w:val="00E44428"/>
    <w:rsid w:val="00E50499"/>
    <w:rsid w:val="00E51A66"/>
    <w:rsid w:val="00E603D1"/>
    <w:rsid w:val="00E6364D"/>
    <w:rsid w:val="00E656EA"/>
    <w:rsid w:val="00E66D03"/>
    <w:rsid w:val="00E75554"/>
    <w:rsid w:val="00E75F44"/>
    <w:rsid w:val="00E83026"/>
    <w:rsid w:val="00EA57C1"/>
    <w:rsid w:val="00EB24C2"/>
    <w:rsid w:val="00EB3399"/>
    <w:rsid w:val="00EB4560"/>
    <w:rsid w:val="00EB4E1A"/>
    <w:rsid w:val="00EB6F4B"/>
    <w:rsid w:val="00EC11E7"/>
    <w:rsid w:val="00EC4EA1"/>
    <w:rsid w:val="00ED0C8F"/>
    <w:rsid w:val="00ED1D01"/>
    <w:rsid w:val="00ED55DF"/>
    <w:rsid w:val="00ED60D4"/>
    <w:rsid w:val="00EE32B1"/>
    <w:rsid w:val="00EF4785"/>
    <w:rsid w:val="00EF5498"/>
    <w:rsid w:val="00F03E90"/>
    <w:rsid w:val="00F077E1"/>
    <w:rsid w:val="00F13CD1"/>
    <w:rsid w:val="00F16219"/>
    <w:rsid w:val="00F253F8"/>
    <w:rsid w:val="00F32997"/>
    <w:rsid w:val="00F356C8"/>
    <w:rsid w:val="00F45929"/>
    <w:rsid w:val="00F46838"/>
    <w:rsid w:val="00F51701"/>
    <w:rsid w:val="00F5233E"/>
    <w:rsid w:val="00F62046"/>
    <w:rsid w:val="00F6215B"/>
    <w:rsid w:val="00F63566"/>
    <w:rsid w:val="00F645FB"/>
    <w:rsid w:val="00F81F83"/>
    <w:rsid w:val="00F977CA"/>
    <w:rsid w:val="00FA142E"/>
    <w:rsid w:val="00FA34B1"/>
    <w:rsid w:val="00FB17ED"/>
    <w:rsid w:val="00FB272C"/>
    <w:rsid w:val="00FC03DF"/>
    <w:rsid w:val="00FC18C0"/>
    <w:rsid w:val="00FC46B2"/>
    <w:rsid w:val="00FC4C57"/>
    <w:rsid w:val="00FE1D28"/>
    <w:rsid w:val="00FE2B5B"/>
    <w:rsid w:val="00FE7D45"/>
    <w:rsid w:val="00FF1274"/>
    <w:rsid w:val="00FF3F9E"/>
    <w:rsid w:val="015F7FEE"/>
    <w:rsid w:val="01EC5C03"/>
    <w:rsid w:val="03604B36"/>
    <w:rsid w:val="03924D2B"/>
    <w:rsid w:val="057062B5"/>
    <w:rsid w:val="057D442F"/>
    <w:rsid w:val="06572553"/>
    <w:rsid w:val="06A11F5B"/>
    <w:rsid w:val="06EA6334"/>
    <w:rsid w:val="07987578"/>
    <w:rsid w:val="081376F6"/>
    <w:rsid w:val="081B1B47"/>
    <w:rsid w:val="08DB2D3D"/>
    <w:rsid w:val="09340EFA"/>
    <w:rsid w:val="094D4FB5"/>
    <w:rsid w:val="0A075715"/>
    <w:rsid w:val="0BCF45B9"/>
    <w:rsid w:val="0C9A6C71"/>
    <w:rsid w:val="0CA83481"/>
    <w:rsid w:val="0CF06046"/>
    <w:rsid w:val="0DA63DC2"/>
    <w:rsid w:val="0E0E698C"/>
    <w:rsid w:val="0ECE038D"/>
    <w:rsid w:val="0F0E2595"/>
    <w:rsid w:val="0F3559DD"/>
    <w:rsid w:val="0F5A696F"/>
    <w:rsid w:val="0FD958C3"/>
    <w:rsid w:val="0FE9767F"/>
    <w:rsid w:val="102C13A4"/>
    <w:rsid w:val="108D399D"/>
    <w:rsid w:val="10940BAB"/>
    <w:rsid w:val="10F207A9"/>
    <w:rsid w:val="12EE557A"/>
    <w:rsid w:val="144204BF"/>
    <w:rsid w:val="14F11A91"/>
    <w:rsid w:val="1604514E"/>
    <w:rsid w:val="16454F59"/>
    <w:rsid w:val="16585646"/>
    <w:rsid w:val="170F4BC1"/>
    <w:rsid w:val="175511B1"/>
    <w:rsid w:val="17B61E4B"/>
    <w:rsid w:val="180379BF"/>
    <w:rsid w:val="197D7D98"/>
    <w:rsid w:val="1A406338"/>
    <w:rsid w:val="1AD672FE"/>
    <w:rsid w:val="1C03339F"/>
    <w:rsid w:val="1C6B239E"/>
    <w:rsid w:val="1D6C39E2"/>
    <w:rsid w:val="1D7F7E46"/>
    <w:rsid w:val="1DA1615E"/>
    <w:rsid w:val="1DBF4080"/>
    <w:rsid w:val="1DDB584B"/>
    <w:rsid w:val="1F196EA3"/>
    <w:rsid w:val="1FB003B1"/>
    <w:rsid w:val="20031C26"/>
    <w:rsid w:val="20A66C25"/>
    <w:rsid w:val="226D781A"/>
    <w:rsid w:val="252437BD"/>
    <w:rsid w:val="258B2904"/>
    <w:rsid w:val="25A04B09"/>
    <w:rsid w:val="261D642E"/>
    <w:rsid w:val="2680204A"/>
    <w:rsid w:val="291D29FD"/>
    <w:rsid w:val="2B180F35"/>
    <w:rsid w:val="2B2F5B50"/>
    <w:rsid w:val="2B3556D6"/>
    <w:rsid w:val="2B777D59"/>
    <w:rsid w:val="2BC0708E"/>
    <w:rsid w:val="2D2960FD"/>
    <w:rsid w:val="2DB268DF"/>
    <w:rsid w:val="2E7D3F3E"/>
    <w:rsid w:val="2EB74A30"/>
    <w:rsid w:val="2EDF270A"/>
    <w:rsid w:val="2FA13190"/>
    <w:rsid w:val="2FA96E93"/>
    <w:rsid w:val="2FBE1B2B"/>
    <w:rsid w:val="2FD41DF6"/>
    <w:rsid w:val="30354AD0"/>
    <w:rsid w:val="30A43FEF"/>
    <w:rsid w:val="31E418BD"/>
    <w:rsid w:val="338B0EAB"/>
    <w:rsid w:val="33AF4B9A"/>
    <w:rsid w:val="33C85C5B"/>
    <w:rsid w:val="33DA37AF"/>
    <w:rsid w:val="34337579"/>
    <w:rsid w:val="351A5FA4"/>
    <w:rsid w:val="365024FF"/>
    <w:rsid w:val="368B6DFC"/>
    <w:rsid w:val="38AD2179"/>
    <w:rsid w:val="39401891"/>
    <w:rsid w:val="39B83D2C"/>
    <w:rsid w:val="39C258DB"/>
    <w:rsid w:val="3A9B61FE"/>
    <w:rsid w:val="3BFA4B9A"/>
    <w:rsid w:val="3C0F17EB"/>
    <w:rsid w:val="3C154398"/>
    <w:rsid w:val="3CE8668F"/>
    <w:rsid w:val="3DB418B0"/>
    <w:rsid w:val="3E0744DE"/>
    <w:rsid w:val="3E7D322C"/>
    <w:rsid w:val="3E9623DE"/>
    <w:rsid w:val="3F7769D2"/>
    <w:rsid w:val="400925AC"/>
    <w:rsid w:val="419E5966"/>
    <w:rsid w:val="419E5DB8"/>
    <w:rsid w:val="432D2770"/>
    <w:rsid w:val="46526152"/>
    <w:rsid w:val="47B9567D"/>
    <w:rsid w:val="47E87791"/>
    <w:rsid w:val="480621F5"/>
    <w:rsid w:val="48547B3D"/>
    <w:rsid w:val="48DA252A"/>
    <w:rsid w:val="4AA746D4"/>
    <w:rsid w:val="4AC204D2"/>
    <w:rsid w:val="4ADF1C1F"/>
    <w:rsid w:val="4B097418"/>
    <w:rsid w:val="4C56662C"/>
    <w:rsid w:val="4CA67084"/>
    <w:rsid w:val="4D234244"/>
    <w:rsid w:val="4DDA0125"/>
    <w:rsid w:val="4FA20DF6"/>
    <w:rsid w:val="506A4808"/>
    <w:rsid w:val="50ED4AD8"/>
    <w:rsid w:val="51D53D86"/>
    <w:rsid w:val="51ED67ED"/>
    <w:rsid w:val="53626283"/>
    <w:rsid w:val="53EE42D9"/>
    <w:rsid w:val="55090059"/>
    <w:rsid w:val="55147AD6"/>
    <w:rsid w:val="55CC4FC1"/>
    <w:rsid w:val="56192FED"/>
    <w:rsid w:val="56210112"/>
    <w:rsid w:val="5685072F"/>
    <w:rsid w:val="56B352BC"/>
    <w:rsid w:val="5806097D"/>
    <w:rsid w:val="58B7736D"/>
    <w:rsid w:val="5A0F42BD"/>
    <w:rsid w:val="5A6201E1"/>
    <w:rsid w:val="5B172D3B"/>
    <w:rsid w:val="5B7B51DE"/>
    <w:rsid w:val="5B926640"/>
    <w:rsid w:val="5BE263E8"/>
    <w:rsid w:val="5D6B0E7F"/>
    <w:rsid w:val="5D94245A"/>
    <w:rsid w:val="5E0C7E66"/>
    <w:rsid w:val="5E3F0327"/>
    <w:rsid w:val="5E471B3D"/>
    <w:rsid w:val="5F0B7409"/>
    <w:rsid w:val="5F207626"/>
    <w:rsid w:val="612E5101"/>
    <w:rsid w:val="61711B41"/>
    <w:rsid w:val="61C35772"/>
    <w:rsid w:val="61EB473F"/>
    <w:rsid w:val="61F3789C"/>
    <w:rsid w:val="626800CA"/>
    <w:rsid w:val="631C75F3"/>
    <w:rsid w:val="63E37B5F"/>
    <w:rsid w:val="63F44B85"/>
    <w:rsid w:val="64E517F8"/>
    <w:rsid w:val="654445DE"/>
    <w:rsid w:val="671C7A41"/>
    <w:rsid w:val="696B0FBD"/>
    <w:rsid w:val="69916AB7"/>
    <w:rsid w:val="69D3427C"/>
    <w:rsid w:val="6A2660BA"/>
    <w:rsid w:val="6ADD0900"/>
    <w:rsid w:val="6B94515D"/>
    <w:rsid w:val="6BF17B01"/>
    <w:rsid w:val="6C7C4FCE"/>
    <w:rsid w:val="6CB75849"/>
    <w:rsid w:val="6E705FF5"/>
    <w:rsid w:val="6EA455DA"/>
    <w:rsid w:val="7119592D"/>
    <w:rsid w:val="711B79D6"/>
    <w:rsid w:val="71FA613F"/>
    <w:rsid w:val="74082BDB"/>
    <w:rsid w:val="7418070E"/>
    <w:rsid w:val="757B366C"/>
    <w:rsid w:val="765D6D60"/>
    <w:rsid w:val="765E17F1"/>
    <w:rsid w:val="78EF157D"/>
    <w:rsid w:val="7A535A0B"/>
    <w:rsid w:val="7B794FBB"/>
    <w:rsid w:val="7C390D1F"/>
    <w:rsid w:val="7C54627D"/>
    <w:rsid w:val="7C80044E"/>
    <w:rsid w:val="7CB83F0E"/>
    <w:rsid w:val="7D816E5A"/>
    <w:rsid w:val="7DA61F36"/>
    <w:rsid w:val="7E451348"/>
    <w:rsid w:val="7E914777"/>
    <w:rsid w:val="7F4E6AEC"/>
    <w:rsid w:val="7F91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6"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8"/>
    <w:link w:val="29"/>
    <w:autoRedefine/>
    <w:qFormat/>
    <w:uiPriority w:val="0"/>
    <w:pPr>
      <w:keepNext/>
      <w:keepLines/>
      <w:spacing w:before="340" w:after="330" w:line="578" w:lineRule="auto"/>
      <w:outlineLvl w:val="0"/>
    </w:pPr>
    <w:rPr>
      <w:b/>
      <w:bCs/>
      <w:kern w:val="44"/>
      <w:sz w:val="44"/>
      <w:szCs w:val="44"/>
    </w:rPr>
  </w:style>
  <w:style w:type="paragraph" w:styleId="9">
    <w:name w:val="heading 2"/>
    <w:basedOn w:val="1"/>
    <w:next w:val="1"/>
    <w:qFormat/>
    <w:uiPriority w:val="0"/>
    <w:pPr>
      <w:keepNext/>
      <w:keepLines/>
      <w:numPr>
        <w:ilvl w:val="1"/>
        <w:numId w:val="1"/>
      </w:numPr>
      <w:spacing w:before="160" w:after="160" w:line="160" w:lineRule="atLeast"/>
      <w:ind w:left="851" w:hanging="284"/>
      <w:outlineLvl w:val="1"/>
    </w:pPr>
    <w:rPr>
      <w:rFonts w:hint="eastAsia" w:ascii="黑体" w:hAnsi="宋体" w:eastAsia="黑体"/>
      <w:sz w:val="28"/>
    </w:rPr>
  </w:style>
  <w:style w:type="paragraph" w:styleId="10">
    <w:name w:val="heading 3"/>
    <w:basedOn w:val="1"/>
    <w:next w:val="8"/>
    <w:unhideWhenUsed/>
    <w:qFormat/>
    <w:uiPriority w:val="0"/>
    <w:pPr>
      <w:keepNext/>
      <w:keepLines/>
      <w:numPr>
        <w:ilvl w:val="2"/>
        <w:numId w:val="1"/>
      </w:numPr>
      <w:tabs>
        <w:tab w:val="left" w:pos="0"/>
      </w:tabs>
      <w:spacing w:before="160" w:after="160" w:line="160" w:lineRule="atLeast"/>
      <w:ind w:left="851" w:hanging="284"/>
      <w:outlineLvl w:val="2"/>
    </w:pPr>
    <w:rPr>
      <w:rFonts w:ascii="黑体" w:hAnsi="黑体" w:eastAsia="黑体"/>
      <w:sz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qFormat/>
    <w:uiPriority w:val="0"/>
    <w:pPr>
      <w:spacing w:after="120"/>
    </w:pPr>
    <w:rPr>
      <w:rFonts w:eastAsia="Times New Roman"/>
      <w:szCs w:val="24"/>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autoRedefine/>
    <w:qFormat/>
    <w:uiPriority w:val="0"/>
    <w:pPr>
      <w:ind w:firstLine="0"/>
    </w:pPr>
  </w:style>
  <w:style w:type="paragraph" w:styleId="6">
    <w:name w:val="Body Text Indent"/>
    <w:basedOn w:val="1"/>
    <w:next w:val="2"/>
    <w:qFormat/>
    <w:uiPriority w:val="6"/>
    <w:pPr>
      <w:ind w:firstLine="645"/>
    </w:pPr>
    <w:rPr>
      <w:rFonts w:ascii="宋体" w:hAnsi="宋体"/>
      <w:kern w:val="1"/>
      <w:sz w:val="32"/>
    </w:rPr>
  </w:style>
  <w:style w:type="paragraph" w:customStyle="1" w:styleId="8">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styleId="11">
    <w:name w:val="Normal Indent"/>
    <w:basedOn w:val="1"/>
    <w:qFormat/>
    <w:uiPriority w:val="0"/>
    <w:pPr>
      <w:ind w:firstLine="420"/>
    </w:pPr>
    <w:rPr>
      <w:sz w:val="28"/>
    </w:rPr>
  </w:style>
  <w:style w:type="paragraph" w:styleId="12">
    <w:name w:val="annotation text"/>
    <w:basedOn w:val="1"/>
    <w:next w:val="11"/>
    <w:link w:val="34"/>
    <w:qFormat/>
    <w:uiPriority w:val="0"/>
    <w:pPr>
      <w:jc w:val="left"/>
    </w:pPr>
    <w:rPr>
      <w:rFonts w:eastAsia="Times New Roman"/>
      <w:kern w:val="0"/>
      <w:sz w:val="18"/>
      <w:szCs w:val="18"/>
    </w:rPr>
  </w:style>
  <w:style w:type="paragraph" w:styleId="13">
    <w:name w:val="Block Text"/>
    <w:basedOn w:val="1"/>
    <w:qFormat/>
    <w:uiPriority w:val="0"/>
    <w:pPr>
      <w:autoSpaceDE w:val="0"/>
      <w:autoSpaceDN w:val="0"/>
      <w:adjustRightInd w:val="0"/>
      <w:spacing w:line="500" w:lineRule="exact"/>
      <w:ind w:left="391" w:right="246"/>
    </w:pPr>
    <w:rPr>
      <w:rFonts w:ascii="仿宋_GB2312" w:eastAsia="仿宋_GB2312"/>
      <w:kern w:val="0"/>
      <w:sz w:val="24"/>
      <w:szCs w:val="24"/>
    </w:rPr>
  </w:style>
  <w:style w:type="paragraph" w:styleId="14">
    <w:name w:val="Plain Text"/>
    <w:basedOn w:val="1"/>
    <w:qFormat/>
    <w:uiPriority w:val="0"/>
    <w:rPr>
      <w:rFonts w:ascii="宋体" w:hAnsi="Courier New" w:cs="Courier New"/>
      <w:szCs w:val="21"/>
    </w:rPr>
  </w:style>
  <w:style w:type="paragraph" w:styleId="15">
    <w:name w:val="Body Text Indent 2"/>
    <w:basedOn w:val="1"/>
    <w:qFormat/>
    <w:uiPriority w:val="0"/>
    <w:pPr>
      <w:ind w:firstLine="570"/>
    </w:pPr>
  </w:style>
  <w:style w:type="paragraph" w:styleId="16">
    <w:name w:val="Balloon Text"/>
    <w:basedOn w:val="1"/>
    <w:link w:val="38"/>
    <w:qFormat/>
    <w:uiPriority w:val="0"/>
    <w:rPr>
      <w:sz w:val="18"/>
      <w:szCs w:val="18"/>
    </w:rPr>
  </w:style>
  <w:style w:type="paragraph" w:styleId="17">
    <w:name w:val="footer"/>
    <w:basedOn w:val="1"/>
    <w:link w:val="31"/>
    <w:qFormat/>
    <w:uiPriority w:val="0"/>
    <w:pPr>
      <w:tabs>
        <w:tab w:val="center" w:pos="4153"/>
        <w:tab w:val="right" w:pos="8306"/>
      </w:tabs>
      <w:snapToGrid w:val="0"/>
      <w:jc w:val="left"/>
    </w:pPr>
    <w:rPr>
      <w:sz w:val="18"/>
      <w:szCs w:val="18"/>
    </w:rPr>
  </w:style>
  <w:style w:type="paragraph" w:styleId="18">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tabs>
        <w:tab w:val="left" w:pos="848"/>
        <w:tab w:val="right" w:leader="dot" w:pos="9174"/>
      </w:tabs>
      <w:spacing w:line="520" w:lineRule="exact"/>
      <w:ind w:left="56" w:leftChars="29"/>
    </w:pPr>
    <w:rPr>
      <w:rFonts w:ascii="楷体_GB2312" w:eastAsia="楷体_GB2312"/>
      <w:b/>
      <w:bCs/>
      <w:szCs w:val="24"/>
    </w:rPr>
  </w:style>
  <w:style w:type="paragraph" w:styleId="20">
    <w:name w:val="Body Text Indent 3"/>
    <w:basedOn w:val="1"/>
    <w:link w:val="30"/>
    <w:qFormat/>
    <w:uiPriority w:val="0"/>
    <w:pPr>
      <w:ind w:left="1260"/>
    </w:pPr>
    <w:rPr>
      <w:rFonts w:ascii="宋体" w:hAnsi="宋体" w:eastAsia="Times New Roman"/>
      <w:sz w:val="28"/>
    </w:rPr>
  </w:style>
  <w:style w:type="paragraph" w:styleId="21">
    <w:name w:val="annotation subject"/>
    <w:basedOn w:val="12"/>
    <w:next w:val="12"/>
    <w:link w:val="49"/>
    <w:semiHidden/>
    <w:unhideWhenUsed/>
    <w:qFormat/>
    <w:uiPriority w:val="0"/>
    <w:rPr>
      <w:rFonts w:eastAsia="宋体"/>
      <w:b/>
      <w:bCs/>
      <w:kern w:val="2"/>
      <w:sz w:val="21"/>
      <w:szCs w:val="20"/>
    </w:rPr>
  </w:style>
  <w:style w:type="character" w:styleId="24">
    <w:name w:val="page number"/>
    <w:basedOn w:val="23"/>
    <w:qFormat/>
    <w:uiPriority w:val="0"/>
  </w:style>
  <w:style w:type="character" w:styleId="25">
    <w:name w:val="Hyperlink"/>
    <w:autoRedefine/>
    <w:qFormat/>
    <w:uiPriority w:val="0"/>
    <w:rPr>
      <w:color w:val="0000FF"/>
      <w:u w:val="single"/>
    </w:rPr>
  </w:style>
  <w:style w:type="character" w:styleId="26">
    <w:name w:val="annotation reference"/>
    <w:basedOn w:val="23"/>
    <w:semiHidden/>
    <w:unhideWhenUsed/>
    <w:qFormat/>
    <w:uiPriority w:val="0"/>
    <w:rPr>
      <w:sz w:val="21"/>
      <w:szCs w:val="21"/>
    </w:rPr>
  </w:style>
  <w:style w:type="paragraph" w:customStyle="1" w:styleId="27">
    <w:name w:val="正文1"/>
    <w:basedOn w:val="1"/>
    <w:qFormat/>
    <w:uiPriority w:val="0"/>
    <w:pPr>
      <w:ind w:firstLine="200" w:firstLineChars="200"/>
    </w:pPr>
  </w:style>
  <w:style w:type="character" w:customStyle="1" w:styleId="28">
    <w:name w:val="正文文本 Char"/>
    <w:link w:val="2"/>
    <w:qFormat/>
    <w:uiPriority w:val="0"/>
    <w:rPr>
      <w:kern w:val="2"/>
      <w:sz w:val="21"/>
      <w:szCs w:val="24"/>
      <w:lang w:bidi="ar-SA"/>
    </w:rPr>
  </w:style>
  <w:style w:type="character" w:customStyle="1" w:styleId="29">
    <w:name w:val="标题 1 Char"/>
    <w:link w:val="7"/>
    <w:qFormat/>
    <w:uiPriority w:val="0"/>
    <w:rPr>
      <w:rFonts w:eastAsia="宋体"/>
      <w:b/>
      <w:bCs/>
      <w:kern w:val="44"/>
      <w:sz w:val="44"/>
      <w:szCs w:val="44"/>
      <w:lang w:val="en-US" w:eastAsia="zh-CN" w:bidi="ar-SA"/>
    </w:rPr>
  </w:style>
  <w:style w:type="character" w:customStyle="1" w:styleId="30">
    <w:name w:val="正文文本缩进 3 Char"/>
    <w:link w:val="20"/>
    <w:qFormat/>
    <w:uiPriority w:val="0"/>
    <w:rPr>
      <w:rFonts w:ascii="宋体" w:hAnsi="宋体"/>
      <w:kern w:val="2"/>
      <w:sz w:val="28"/>
      <w:lang w:bidi="ar-SA"/>
    </w:rPr>
  </w:style>
  <w:style w:type="character" w:customStyle="1" w:styleId="31">
    <w:name w:val="页脚 Char"/>
    <w:link w:val="17"/>
    <w:qFormat/>
    <w:uiPriority w:val="0"/>
    <w:rPr>
      <w:rFonts w:eastAsia="宋体"/>
      <w:kern w:val="2"/>
      <w:sz w:val="18"/>
      <w:szCs w:val="18"/>
      <w:lang w:val="en-US" w:eastAsia="zh-CN" w:bidi="ar-SA"/>
    </w:rPr>
  </w:style>
  <w:style w:type="character" w:customStyle="1" w:styleId="32">
    <w:name w:val="页眉 Char"/>
    <w:link w:val="18"/>
    <w:qFormat/>
    <w:uiPriority w:val="0"/>
    <w:rPr>
      <w:rFonts w:eastAsia="宋体"/>
      <w:kern w:val="2"/>
      <w:sz w:val="18"/>
      <w:szCs w:val="18"/>
      <w:lang w:val="en-US" w:eastAsia="zh-CN" w:bidi="ar-SA"/>
    </w:rPr>
  </w:style>
  <w:style w:type="character" w:customStyle="1" w:styleId="33">
    <w:name w:val="Char Char1"/>
    <w:qFormat/>
    <w:uiPriority w:val="0"/>
    <w:rPr>
      <w:sz w:val="18"/>
      <w:szCs w:val="18"/>
    </w:rPr>
  </w:style>
  <w:style w:type="character" w:customStyle="1" w:styleId="34">
    <w:name w:val="批注文字 Char"/>
    <w:link w:val="12"/>
    <w:qFormat/>
    <w:uiPriority w:val="0"/>
    <w:rPr>
      <w:sz w:val="18"/>
      <w:szCs w:val="18"/>
    </w:rPr>
  </w:style>
  <w:style w:type="character" w:customStyle="1" w:styleId="35">
    <w:name w:val="页脚 Char Char"/>
    <w:qFormat/>
    <w:uiPriority w:val="0"/>
    <w:rPr>
      <w:kern w:val="2"/>
      <w:sz w:val="18"/>
      <w:szCs w:val="18"/>
    </w:rPr>
  </w:style>
  <w:style w:type="paragraph" w:customStyle="1" w:styleId="3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Arial Unicode MS" w:cs="Arial Unicode MS"/>
      <w:kern w:val="0"/>
      <w:sz w:val="24"/>
      <w:szCs w:val="24"/>
    </w:rPr>
  </w:style>
  <w:style w:type="character" w:customStyle="1" w:styleId="38">
    <w:name w:val="批注框文本 Char"/>
    <w:basedOn w:val="23"/>
    <w:link w:val="16"/>
    <w:autoRedefine/>
    <w:qFormat/>
    <w:uiPriority w:val="0"/>
    <w:rPr>
      <w:kern w:val="2"/>
      <w:sz w:val="18"/>
      <w:szCs w:val="18"/>
    </w:rPr>
  </w:style>
  <w:style w:type="paragraph" w:customStyle="1" w:styleId="39">
    <w:name w:val="纯文本1"/>
    <w:basedOn w:val="1"/>
    <w:qFormat/>
    <w:uiPriority w:val="0"/>
    <w:pPr>
      <w:adjustRightInd w:val="0"/>
      <w:jc w:val="left"/>
      <w:textAlignment w:val="baseline"/>
    </w:pPr>
    <w:rPr>
      <w:rFonts w:ascii="宋体" w:hAnsi="Courier New"/>
      <w:sz w:val="24"/>
    </w:rPr>
  </w:style>
  <w:style w:type="paragraph" w:customStyle="1" w:styleId="40">
    <w:name w:val="列出段落1"/>
    <w:basedOn w:val="1"/>
    <w:autoRedefine/>
    <w:qFormat/>
    <w:uiPriority w:val="34"/>
    <w:pPr>
      <w:spacing w:line="360" w:lineRule="auto"/>
      <w:ind w:firstLine="420" w:firstLineChars="200"/>
    </w:pPr>
    <w:rPr>
      <w:rFonts w:ascii="Calibri" w:hAnsi="Calibri"/>
      <w:sz w:val="24"/>
    </w:rPr>
  </w:style>
  <w:style w:type="character" w:customStyle="1" w:styleId="41">
    <w:name w:val="font61"/>
    <w:basedOn w:val="23"/>
    <w:autoRedefine/>
    <w:qFormat/>
    <w:uiPriority w:val="0"/>
    <w:rPr>
      <w:rFonts w:ascii="宋体" w:hAnsi="宋体" w:eastAsia="宋体" w:cs="宋体"/>
      <w:color w:val="000000"/>
      <w:sz w:val="22"/>
      <w:szCs w:val="22"/>
      <w:u w:val="none"/>
    </w:rPr>
  </w:style>
  <w:style w:type="character" w:customStyle="1" w:styleId="42">
    <w:name w:val="font71"/>
    <w:basedOn w:val="23"/>
    <w:qFormat/>
    <w:uiPriority w:val="0"/>
    <w:rPr>
      <w:rFonts w:hint="eastAsia" w:ascii="宋体" w:hAnsi="宋体" w:eastAsia="宋体" w:cs="宋体"/>
      <w:color w:val="000000"/>
      <w:sz w:val="20"/>
      <w:szCs w:val="20"/>
      <w:u w:val="none"/>
    </w:rPr>
  </w:style>
  <w:style w:type="character" w:customStyle="1" w:styleId="43">
    <w:name w:val="font81"/>
    <w:basedOn w:val="23"/>
    <w:qFormat/>
    <w:uiPriority w:val="0"/>
    <w:rPr>
      <w:rFonts w:ascii="Arial" w:hAnsi="Arial" w:cs="Arial"/>
      <w:color w:val="000000"/>
      <w:sz w:val="20"/>
      <w:szCs w:val="20"/>
      <w:u w:val="none"/>
    </w:rPr>
  </w:style>
  <w:style w:type="character" w:customStyle="1" w:styleId="44">
    <w:name w:val="font11"/>
    <w:basedOn w:val="23"/>
    <w:qFormat/>
    <w:uiPriority w:val="0"/>
    <w:rPr>
      <w:rFonts w:hint="eastAsia" w:ascii="宋体" w:hAnsi="宋体" w:eastAsia="宋体" w:cs="宋体"/>
      <w:b/>
      <w:bCs/>
      <w:color w:val="000000"/>
      <w:sz w:val="36"/>
      <w:szCs w:val="36"/>
      <w:u w:val="none"/>
    </w:rPr>
  </w:style>
  <w:style w:type="character" w:customStyle="1" w:styleId="45">
    <w:name w:val="font31"/>
    <w:basedOn w:val="23"/>
    <w:qFormat/>
    <w:uiPriority w:val="0"/>
    <w:rPr>
      <w:rFonts w:hint="eastAsia" w:ascii="宋体" w:hAnsi="宋体" w:eastAsia="宋体" w:cs="宋体"/>
      <w:b/>
      <w:bCs/>
      <w:color w:val="000000"/>
      <w:sz w:val="20"/>
      <w:szCs w:val="20"/>
      <w:u w:val="none"/>
    </w:rPr>
  </w:style>
  <w:style w:type="character" w:customStyle="1" w:styleId="46">
    <w:name w:val="font51"/>
    <w:basedOn w:val="23"/>
    <w:autoRedefine/>
    <w:qFormat/>
    <w:uiPriority w:val="0"/>
    <w:rPr>
      <w:rFonts w:hint="eastAsia" w:ascii="宋体" w:hAnsi="宋体" w:eastAsia="宋体" w:cs="宋体"/>
      <w:color w:val="000000"/>
      <w:sz w:val="22"/>
      <w:szCs w:val="22"/>
      <w:u w:val="none"/>
    </w:rPr>
  </w:style>
  <w:style w:type="character" w:customStyle="1" w:styleId="47">
    <w:name w:val="font21"/>
    <w:basedOn w:val="23"/>
    <w:qFormat/>
    <w:uiPriority w:val="0"/>
    <w:rPr>
      <w:rFonts w:hint="eastAsia" w:ascii="宋体" w:hAnsi="宋体" w:eastAsia="宋体" w:cs="宋体"/>
      <w:b/>
      <w:bCs/>
      <w:color w:val="000000"/>
      <w:sz w:val="22"/>
      <w:szCs w:val="22"/>
      <w:u w:val="none"/>
    </w:rPr>
  </w:style>
  <w:style w:type="paragraph" w:customStyle="1" w:styleId="48">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49">
    <w:name w:val="批注主题 Char"/>
    <w:basedOn w:val="34"/>
    <w:link w:val="21"/>
    <w:semiHidden/>
    <w:qFormat/>
    <w:uiPriority w:val="0"/>
    <w:rPr>
      <w:b/>
      <w:bCs/>
      <w:kern w:val="2"/>
      <w:sz w:val="21"/>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7155</Words>
  <Characters>7547</Characters>
  <Lines>54</Lines>
  <Paragraphs>15</Paragraphs>
  <TotalTime>15</TotalTime>
  <ScaleCrop>false</ScaleCrop>
  <LinksUpToDate>false</LinksUpToDate>
  <CharactersWithSpaces>7885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2021-04-06T06:51:00Z</dcterms:created>
  <dc:creator>User</dc:creator>
  <cp:lastModifiedBy>飞飞</cp:lastModifiedBy>
  <cp:lastPrinted>2014-04-02T01:39:00Z</cp:lastPrinted>
  <dcterms:modified xsi:type="dcterms:W3CDTF">2024-12-05T07:11:26Z</dcterms:modified>
  <dc:title>材料批价的办理流程</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3D6FA66927674286BF5823036CC428A0_13</vt:lpwstr>
  </property>
</Properties>
</file>