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A2DC8"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default" w:ascii="宋体" w:hAnsi="宋体" w:eastAsia="宋体" w:cs="宋体"/>
          <w:kern w:val="28"/>
          <w:sz w:val="32"/>
          <w:szCs w:val="32"/>
        </w:rPr>
        <w:t>浩德伊河湾项目</w:t>
      </w: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优居优住</w:t>
      </w:r>
      <w:r>
        <w:rPr>
          <w:rFonts w:hint="default" w:ascii="宋体" w:hAnsi="宋体" w:eastAsia="宋体" w:cs="宋体"/>
          <w:kern w:val="28"/>
          <w:sz w:val="32"/>
          <w:szCs w:val="32"/>
        </w:rPr>
        <w:t>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 w14:paraId="23D8FBF8">
      <w:pPr>
        <w:snapToGrid w:val="0"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河南浩德新澜置业有限公司</w:t>
      </w:r>
    </w:p>
    <w:p w14:paraId="56472944">
      <w:pPr>
        <w:snapToGrid w:val="0"/>
        <w:spacing w:line="44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宋体"/>
          <w:sz w:val="24"/>
          <w:szCs w:val="24"/>
          <w:u w:val="single"/>
        </w:rPr>
        <w:t>洛阳优居优住网络科技有限公司洛龙分公司</w:t>
      </w:r>
    </w:p>
    <w:p w14:paraId="3F3ACEE6"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YHW</w:t>
      </w:r>
      <w:r>
        <w:rPr>
          <w:rFonts w:hint="eastAsia" w:ascii="宋体" w:hAnsi="宋体" w:eastAsia="宋体" w:cs="宋体"/>
          <w:sz w:val="24"/>
          <w:szCs w:val="24"/>
        </w:rPr>
        <w:t>-YX-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060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优居优住</w:t>
      </w:r>
      <w:r>
        <w:rPr>
          <w:rFonts w:hint="eastAsia" w:ascii="宋体" w:hAnsi="宋体" w:eastAsia="宋体" w:cs="宋体"/>
          <w:b w:val="0"/>
          <w:sz w:val="24"/>
          <w:szCs w:val="24"/>
        </w:rPr>
        <w:t>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》（以下简称“原合同”），原合同约定甲方委托乙方为甲方开发的伊河湾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 w14:paraId="3E2BA1A2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 w14:paraId="469D272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2024年11月1日至2024年1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日（均含当日）期间，原合同第四条第2项第（2）条销售佣金方案做出如下变更:</w:t>
      </w:r>
    </w:p>
    <w:p w14:paraId="15F4EF19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销售佣金：</w:t>
      </w:r>
    </w:p>
    <w:p w14:paraId="70854E52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佣金周期：2024年11月1日至2024年1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日（均含当日）：</w:t>
      </w:r>
    </w:p>
    <w:p w14:paraId="451AA17D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洋房：按照网签合同总房款的2.5%/套计提佣金；</w:t>
      </w:r>
    </w:p>
    <w:p w14:paraId="29B2226F">
      <w:pPr>
        <w:widowControl/>
        <w:numPr>
          <w:ilvl w:val="255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高层：按照网签合同总房款的4%计提佣金。</w:t>
      </w:r>
    </w:p>
    <w:p w14:paraId="31DFD6FD">
      <w:pPr>
        <w:pStyle w:val="10"/>
        <w:numPr>
          <w:ilvl w:val="255"/>
          <w:numId w:val="0"/>
        </w:numPr>
        <w:tabs>
          <w:tab w:val="left" w:pos="420"/>
        </w:tabs>
        <w:wordWrap w:val="0"/>
        <w:snapToGrid w:val="0"/>
        <w:spacing w:line="440" w:lineRule="exact"/>
        <w:ind w:firstLine="42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/>
        </w:rPr>
        <w:t>二、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 w14:paraId="73477981"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本补充协议为原合同不可分割的组成部分，与原合同具有同等的法律效力，上述条款仅作为补充或变更。本补充协议未尽事宜，以原合同为准，本补充协议与原合同或其它补充协议不一致的，以本补充协议为准。</w:t>
      </w:r>
    </w:p>
    <w:p w14:paraId="180D42A7">
      <w:pPr>
        <w:widowControl/>
        <w:wordWrap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本补充协议经双方盖章后生效，本补充协议一式伍份，甲方执叁份，乙方执贰份，每份具有同等法律效力。</w:t>
      </w:r>
    </w:p>
    <w:p w14:paraId="4FC2ACA6">
      <w:pPr>
        <w:pStyle w:val="2"/>
        <w:tabs>
          <w:tab w:val="left" w:pos="1206"/>
        </w:tabs>
        <w:spacing w:after="0" w:line="440" w:lineRule="exact"/>
        <w:ind w:left="0" w:leftChars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 w14:paraId="41CCF1DC">
      <w:pPr>
        <w:snapToGrid w:val="0"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方：河南浩德新澜置业限公司          乙 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none"/>
        </w:rPr>
        <w:t>洛阳优居优住网络科技有限公司洛龙分公司</w:t>
      </w:r>
      <w:r>
        <w:rPr>
          <w:rFonts w:cs="微软雅黑" w:asciiTheme="minorEastAsia" w:hAnsiTheme="minorEastAsia"/>
          <w:sz w:val="24"/>
          <w:szCs w:val="24"/>
          <w:u w:val="none"/>
        </w:rPr>
        <w:t xml:space="preserve">    </w:t>
      </w:r>
      <w:r>
        <w:rPr>
          <w:rFonts w:cs="微软雅黑" w:asciiTheme="minorEastAsia" w:hAnsiTheme="minorEastAsia"/>
          <w:sz w:val="24"/>
          <w:szCs w:val="24"/>
        </w:rPr>
        <w:t xml:space="preserve">                </w:t>
      </w:r>
    </w:p>
    <w:p w14:paraId="6E67541E">
      <w:pPr>
        <w:snapToGrid w:val="0"/>
        <w:spacing w:line="440" w:lineRule="exact"/>
        <w:jc w:val="left"/>
      </w:pPr>
      <w:r>
        <w:rPr>
          <w:rFonts w:hint="eastAsia" w:cs="微软雅黑" w:asciiTheme="minorEastAsia" w:hAnsiTheme="minorEastAsia"/>
          <w:sz w:val="24"/>
          <w:szCs w:val="24"/>
        </w:rPr>
        <w:t>2024年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hint="eastAsia" w:cs="微软雅黑" w:asciiTheme="minorEastAsia" w:hAnsiTheme="minorEastAsia"/>
          <w:sz w:val="24"/>
          <w:szCs w:val="24"/>
        </w:rPr>
        <w:t>2024年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05f42874-5151-4dd1-b86d-e0dc695840d0"/>
  </w:docVars>
  <w:rsids>
    <w:rsidRoot w:val="000865CC"/>
    <w:rsid w:val="000116BC"/>
    <w:rsid w:val="000865CC"/>
    <w:rsid w:val="001B448B"/>
    <w:rsid w:val="00564120"/>
    <w:rsid w:val="00622C54"/>
    <w:rsid w:val="007A2525"/>
    <w:rsid w:val="00860D46"/>
    <w:rsid w:val="00A34D09"/>
    <w:rsid w:val="00AE6AEA"/>
    <w:rsid w:val="00AF50EC"/>
    <w:rsid w:val="00B1155D"/>
    <w:rsid w:val="00BA0790"/>
    <w:rsid w:val="00C53E05"/>
    <w:rsid w:val="00CA57DB"/>
    <w:rsid w:val="00CF6814"/>
    <w:rsid w:val="00D353C0"/>
    <w:rsid w:val="00E86D36"/>
    <w:rsid w:val="00F15267"/>
    <w:rsid w:val="00F3624C"/>
    <w:rsid w:val="00F74348"/>
    <w:rsid w:val="030331A0"/>
    <w:rsid w:val="040E2AAA"/>
    <w:rsid w:val="04941A29"/>
    <w:rsid w:val="0B2527BE"/>
    <w:rsid w:val="0C921E2F"/>
    <w:rsid w:val="0CCE30D1"/>
    <w:rsid w:val="0D3C74CD"/>
    <w:rsid w:val="148D46ED"/>
    <w:rsid w:val="17140673"/>
    <w:rsid w:val="17991F6C"/>
    <w:rsid w:val="1A136006"/>
    <w:rsid w:val="1F4F388C"/>
    <w:rsid w:val="21E05E4A"/>
    <w:rsid w:val="259A1C3E"/>
    <w:rsid w:val="2A375D41"/>
    <w:rsid w:val="2D897D64"/>
    <w:rsid w:val="310A20DE"/>
    <w:rsid w:val="325B16EC"/>
    <w:rsid w:val="33303EE6"/>
    <w:rsid w:val="34BA50DA"/>
    <w:rsid w:val="34F66706"/>
    <w:rsid w:val="35663438"/>
    <w:rsid w:val="35823EE1"/>
    <w:rsid w:val="35E42408"/>
    <w:rsid w:val="36535AB3"/>
    <w:rsid w:val="36C46BAE"/>
    <w:rsid w:val="3710594F"/>
    <w:rsid w:val="38CF692D"/>
    <w:rsid w:val="3A134C87"/>
    <w:rsid w:val="3A182F3E"/>
    <w:rsid w:val="3CDB5B00"/>
    <w:rsid w:val="3F613B23"/>
    <w:rsid w:val="44615A3C"/>
    <w:rsid w:val="455F3E15"/>
    <w:rsid w:val="480E6F01"/>
    <w:rsid w:val="49AF0827"/>
    <w:rsid w:val="4A2C5519"/>
    <w:rsid w:val="4B2B340C"/>
    <w:rsid w:val="4C5777B2"/>
    <w:rsid w:val="4DF64250"/>
    <w:rsid w:val="51705732"/>
    <w:rsid w:val="54D14CC9"/>
    <w:rsid w:val="54EB28BA"/>
    <w:rsid w:val="55020954"/>
    <w:rsid w:val="553E527E"/>
    <w:rsid w:val="56B45E9F"/>
    <w:rsid w:val="5A36661D"/>
    <w:rsid w:val="5B7A6F8C"/>
    <w:rsid w:val="5CB25C27"/>
    <w:rsid w:val="60714CFB"/>
    <w:rsid w:val="6142679E"/>
    <w:rsid w:val="61834DEC"/>
    <w:rsid w:val="63A90A88"/>
    <w:rsid w:val="69543A30"/>
    <w:rsid w:val="6FB2797C"/>
    <w:rsid w:val="718D136F"/>
    <w:rsid w:val="78054355"/>
    <w:rsid w:val="7AF41F60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501</Characters>
  <Lines>4</Lines>
  <Paragraphs>1</Paragraphs>
  <TotalTime>0</TotalTime>
  <ScaleCrop>false</ScaleCrop>
  <LinksUpToDate>false</LinksUpToDate>
  <CharactersWithSpaces>567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费晨光</cp:lastModifiedBy>
  <dcterms:modified xsi:type="dcterms:W3CDTF">2024-12-06T07:39:58Z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4DDC058059EB4D6BB5A8D1CFCCAC1C68_13</vt:lpwstr>
  </property>
</Properties>
</file>