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3F054">
      <w:pPr>
        <w:pStyle w:val="4"/>
        <w:widowControl/>
        <w:spacing w:line="360" w:lineRule="auto"/>
        <w:ind w:firstLine="0" w:firstLineChars="0"/>
        <w:jc w:val="both"/>
        <w:rPr>
          <w:rFonts w:hint="eastAsia" w:asciiTheme="minorHAnsi" w:hAnsiTheme="minorHAnsi" w:eastAsiaTheme="minorEastAsia" w:cstheme="minorBidi"/>
          <w:sz w:val="28"/>
          <w:szCs w:val="24"/>
          <w:lang w:val="en-US" w:eastAsia="zh-CN"/>
        </w:rPr>
      </w:pPr>
      <w:bookmarkStart w:id="2" w:name="_GoBack"/>
      <w:bookmarkEnd w:id="2"/>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eastAsia" w:cstheme="minorBidi"/>
          <w:b w:val="0"/>
          <w:bCs w:val="0"/>
          <w:sz w:val="32"/>
          <w:szCs w:val="24"/>
          <w:lang w:val="en-US" w:eastAsia="zh-CN"/>
        </w:rPr>
        <w:t>12</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14:paraId="4B998F05">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14:paraId="7FDCECDD">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14:paraId="4108F00E">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14:paraId="1D9806EA">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w:t>
      </w:r>
    </w:p>
    <w:p w14:paraId="09827446">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14:paraId="065FBE92">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14:paraId="05FB781B">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甲方员工及其直系亲属(父母(含养/继父母、公婆、岳父母)、配偶、子女（含养/继子女）下同),所属售楼系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14:paraId="7121A56A">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14:paraId="601DE41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_Hlk1994587"/>
      <w:bookmarkStart w:id="1" w:name="OLE_LINK104"/>
      <w:r>
        <w:rPr>
          <w:rFonts w:hint="eastAsia" w:ascii="宋体" w:hAnsi="宋体" w:eastAsia="宋体" w:cs="宋体"/>
          <w:b w:val="0"/>
          <w:bCs w:val="0"/>
          <w:sz w:val="24"/>
          <w:szCs w:val="24"/>
          <w:lang w:eastAsia="zh-CN"/>
        </w:rPr>
        <w:t>隐号报备带看：</w:t>
      </w:r>
    </w:p>
    <w:p w14:paraId="4D555657">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2D231D6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14:paraId="27F3041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558985E9">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14:paraId="27B8B5A3">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14:paraId="6AD040A2">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31F2CF6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14:paraId="3D7AAE2E">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14:paraId="0B68B64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14:paraId="4D085555">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14:paraId="635002F0">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14:paraId="0725CCF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10405811">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14:paraId="6AB546EA">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14:paraId="3F2EAEA6">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2A620078">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661A3BE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14:paraId="54ABFF31">
      <w:pPr>
        <w:keepNext w:val="0"/>
        <w:keepLines w:val="0"/>
        <w:widowControl/>
        <w:numPr>
          <w:ilvl w:val="-1"/>
          <w:numId w:val="0"/>
        </w:numPr>
        <w:kinsoku/>
        <w:wordWrap/>
        <w:overflowPunct/>
        <w:topLinePunct w:val="0"/>
        <w:bidi w:val="0"/>
        <w:adjustRightInd/>
        <w:snapToGrid/>
        <w:spacing w:line="360" w:lineRule="auto"/>
        <w:ind w:leftChars="200" w:firstLine="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w:t>
      </w:r>
      <w:r>
        <w:rPr>
          <w:rFonts w:hint="eastAsia" w:ascii="宋体" w:hAnsi="宋体" w:eastAsia="宋体" w:cs="宋体"/>
          <w:color w:val="auto"/>
          <w:sz w:val="24"/>
          <w:szCs w:val="24"/>
          <w:lang w:val="en-US" w:eastAsia="zh-CN"/>
        </w:rPr>
        <w:t>《XX项目结算对账单》</w:t>
      </w:r>
      <w:r>
        <w:rPr>
          <w:rFonts w:hint="eastAsia" w:ascii="宋体" w:hAnsi="宋体" w:eastAsia="宋体" w:cs="宋体"/>
          <w:b w:val="0"/>
          <w:bCs w:val="0"/>
          <w:sz w:val="24"/>
          <w:szCs w:val="24"/>
        </w:rPr>
        <w:t>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14:paraId="7D333B0C">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14:paraId="4F6765B9">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3日内在乙方提供的《XX项目结算对账单》上签字，逾期未签署视为对乙方销售业绩的确认。如因政府限签或甲方原因(项目商品房有权利负担、被抵押等)导致客户无法自交付第一笔购房款之日起 30 日内草签或网签的，自客户缴纳第一笔购房款视为乙方成功销售，计为乙方业绩，按照合同约定正常结算。 </w:t>
      </w:r>
    </w:p>
    <w:p w14:paraId="47C6A5D4">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12</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2024年12</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31</w:t>
      </w:r>
      <w:r>
        <w:rPr>
          <w:rFonts w:hint="eastAsia" w:ascii="宋体" w:hAnsi="宋体" w:eastAsia="宋体" w:cs="宋体"/>
          <w:b w:val="0"/>
          <w:bCs w:val="0"/>
          <w:sz w:val="24"/>
        </w:rPr>
        <w:t>日期间，乙方推介成交的房源佣金按如下标准执行：</w:t>
      </w:r>
    </w:p>
    <w:p w14:paraId="40EC5F81">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日（均含当日）：</w:t>
      </w:r>
    </w:p>
    <w:p w14:paraId="3FD812FF">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1、小高层：按照网签合同总房款的2.5%计提佣金；</w:t>
      </w:r>
    </w:p>
    <w:p w14:paraId="71D2481B">
      <w:pPr>
        <w:widowControl/>
        <w:numPr>
          <w:ilvl w:val="255"/>
          <w:numId w:val="0"/>
        </w:numPr>
        <w:spacing w:line="360" w:lineRule="auto"/>
        <w:ind w:left="0"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高层：按照网签合同总房款的4%计提佣金；</w:t>
      </w:r>
    </w:p>
    <w:p w14:paraId="4FC0EB01">
      <w:pPr>
        <w:widowControl/>
        <w:numPr>
          <w:ilvl w:val="0"/>
          <w:numId w:val="1"/>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lang w:val="en-US" w:eastAsia="zh-CN"/>
        </w:rPr>
        <w:t>如发生客户退房，双方按照退房后的成交套数重新核算佣金。</w:t>
      </w:r>
      <w:r>
        <w:rPr>
          <w:rFonts w:hint="eastAsia" w:ascii="宋体" w:hAnsi="宋体" w:eastAsia="宋体" w:cs="宋体"/>
          <w:color w:val="auto"/>
          <w:sz w:val="24"/>
          <w:szCs w:val="24"/>
        </w:rPr>
        <w:t>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14:paraId="15E485D5">
      <w:pPr>
        <w:pStyle w:val="2"/>
        <w:numPr>
          <w:ilvl w:val="-1"/>
          <w:numId w:val="0"/>
        </w:numPr>
        <w:spacing w:line="360" w:lineRule="auto"/>
        <w:ind w:leftChars="200" w:firstLine="0" w:firstLineChars="0"/>
        <w:rPr>
          <w:rFonts w:hint="eastAsia" w:eastAsia="宋体" w:cs="宋体"/>
          <w:color w:val="auto"/>
          <w:sz w:val="24"/>
          <w:szCs w:val="24"/>
          <w:lang w:val="en-US" w:eastAsia="zh-CN"/>
        </w:rPr>
      </w:pPr>
      <w:r>
        <w:rPr>
          <w:rFonts w:hint="eastAsia" w:eastAsia="宋体" w:cs="宋体"/>
          <w:color w:val="auto"/>
          <w:sz w:val="24"/>
          <w:szCs w:val="24"/>
          <w:lang w:val="en-US" w:eastAsia="zh-CN"/>
        </w:rPr>
        <w:t>四、变更原合同条款</w:t>
      </w:r>
    </w:p>
    <w:p w14:paraId="641A8130">
      <w:pPr>
        <w:widowControl/>
        <w:numPr>
          <w:ilvl w:val="-1"/>
          <w:numId w:val="0"/>
        </w:numPr>
        <w:spacing w:line="360" w:lineRule="auto"/>
        <w:ind w:leftChars="20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第</w:t>
      </w:r>
      <w:r>
        <w:rPr>
          <w:rFonts w:hint="eastAsia" w:ascii="宋体" w:hAnsi="宋体" w:eastAsia="宋体" w:cs="宋体"/>
          <w:color w:val="auto"/>
          <w:sz w:val="24"/>
          <w:szCs w:val="24"/>
        </w:rPr>
        <w:t>6.10</w:t>
      </w:r>
      <w:r>
        <w:rPr>
          <w:rFonts w:hint="eastAsia" w:ascii="宋体" w:hAnsi="宋体" w:eastAsia="宋体" w:cs="宋体"/>
          <w:color w:val="auto"/>
          <w:sz w:val="24"/>
          <w:szCs w:val="24"/>
          <w:lang w:val="en-US" w:eastAsia="zh-CN"/>
        </w:rPr>
        <w:t>条</w:t>
      </w:r>
      <w:r>
        <w:rPr>
          <w:rFonts w:hint="eastAsia" w:ascii="宋体" w:hAnsi="宋体" w:eastAsia="宋体" w:cs="宋体"/>
          <w:color w:val="auto"/>
          <w:sz w:val="24"/>
          <w:szCs w:val="24"/>
        </w:rPr>
        <w:t>成功销售</w:t>
      </w:r>
      <w:r>
        <w:rPr>
          <w:rFonts w:hint="eastAsia" w:ascii="宋体" w:hAnsi="宋体" w:eastAsia="宋体" w:cs="宋体"/>
          <w:color w:val="auto"/>
          <w:sz w:val="24"/>
          <w:szCs w:val="24"/>
          <w:lang w:val="en-US" w:eastAsia="zh-CN"/>
        </w:rPr>
        <w:t>修改为 ：</w:t>
      </w:r>
      <w:r>
        <w:rPr>
          <w:rFonts w:hint="eastAsia" w:ascii="宋体" w:hAnsi="宋体" w:eastAsia="宋体" w:cs="宋体"/>
          <w:color w:val="auto"/>
          <w:sz w:val="24"/>
          <w:szCs w:val="24"/>
        </w:rPr>
        <w:t>乙方推介的客户与甲方草签或网签《商品房买卖合同》的，即视为乙方推荐客户成功，计入乙方销售业绩。以《XX项目结算对账单》（详见附件一）代替《成功销售确认单》、《项目对账单明细表》，甲方须在乙方成功销售物业后3日内在乙方提供的《XX项目结算对账单》上签字，逾期未签署视为对乙方销售业绩的确认。如因政府限签或甲方原因(项目商品房有权利负担、被抵押等)导致客户无法自交付第一笔购房款之日起 30日内草签或网签的，自客户缴纳第一笔购房款视为乙方成功销售，计为乙方业绩，按照合同约定正常结算。</w:t>
      </w:r>
    </w:p>
    <w:p w14:paraId="40435182">
      <w:pPr>
        <w:widowControl/>
        <w:numPr>
          <w:ilvl w:val="-1"/>
          <w:numId w:val="0"/>
        </w:numPr>
        <w:spacing w:line="360" w:lineRule="auto"/>
        <w:ind w:leftChars="20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第7.3.1条修改为 ：</w:t>
      </w:r>
      <w:r>
        <w:rPr>
          <w:rFonts w:hint="eastAsia" w:ascii="宋体" w:hAnsi="宋体" w:eastAsia="宋体" w:cs="宋体"/>
          <w:color w:val="auto"/>
          <w:sz w:val="24"/>
          <w:szCs w:val="24"/>
        </w:rPr>
        <w:t>乙方推介客户达到结算条件后随时向甲方提供符合支付条件的转介成交数据及《XX项目结算对账单》请款申请资料，经甲方审核无误后3天内签字确认以书面形式（含微信、邮件）返还至乙方，逾期未签字确认的，视为甲方对乙方提交的结算金额的认可。乙方在收到甲方反馈的《XX项目结算对账单》后2日内向甲方提供等额有效的增值税专用发票，甲方于每月20日前/每周五前支付佣金至乙方账户。若乙方未按时提供发票，结佣时间相应顺延，且不属于违约。甲方对于乙方提交的《XX项目结算对账单》有争议的，不得以审核原因拖欠乙方应结佣金，应先按照双方确认无异议的部分先行支付佣金，逾期视为违约。</w:t>
      </w:r>
    </w:p>
    <w:p w14:paraId="42D19AD8">
      <w:pPr>
        <w:widowControl/>
        <w:numPr>
          <w:ilvl w:val="-1"/>
          <w:numId w:val="0"/>
        </w:numPr>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原合同第十一条11.2之附件：</w:t>
      </w:r>
    </w:p>
    <w:p w14:paraId="57E1502A">
      <w:pPr>
        <w:widowControl/>
        <w:numPr>
          <w:ilvl w:val="-1"/>
          <w:numId w:val="0"/>
        </w:numPr>
        <w:spacing w:line="360" w:lineRule="auto"/>
        <w:ind w:leftChars="20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《对账单明细表》（格式）见附件2</w:t>
      </w:r>
    </w:p>
    <w:p w14:paraId="428E23F3">
      <w:pPr>
        <w:widowControl/>
        <w:numPr>
          <w:ilvl w:val="-1"/>
          <w:numId w:val="0"/>
        </w:numPr>
        <w:spacing w:line="360" w:lineRule="auto"/>
        <w:ind w:leftChars="20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《成功销售确认单》（格式）见附件3</w:t>
      </w:r>
    </w:p>
    <w:p w14:paraId="392380A6">
      <w:pPr>
        <w:widowControl/>
        <w:numPr>
          <w:ilvl w:val="-1"/>
          <w:numId w:val="0"/>
        </w:numPr>
        <w:spacing w:line="360" w:lineRule="auto"/>
        <w:ind w:leftChars="20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更改为：</w:t>
      </w:r>
    </w:p>
    <w:p w14:paraId="2B227186">
      <w:pPr>
        <w:widowControl/>
        <w:numPr>
          <w:ilvl w:val="-1"/>
          <w:numId w:val="0"/>
        </w:numPr>
        <w:spacing w:line="360" w:lineRule="auto"/>
        <w:ind w:leftChars="20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《XX项目结算对账单》</w:t>
      </w:r>
    </w:p>
    <w:p w14:paraId="07C62F82">
      <w:pPr>
        <w:pStyle w:val="2"/>
        <w:numPr>
          <w:ilvl w:val="-1"/>
          <w:numId w:val="0"/>
        </w:numPr>
        <w:ind w:leftChars="200" w:firstLine="0" w:firstLineChars="0"/>
        <w:rPr>
          <w:rFonts w:hint="default" w:eastAsia="宋体" w:cs="宋体"/>
          <w:color w:val="auto"/>
          <w:sz w:val="24"/>
          <w:szCs w:val="24"/>
          <w:lang w:val="en-US" w:eastAsia="zh-CN"/>
        </w:rPr>
      </w:pPr>
      <w:r>
        <w:rPr>
          <w:rFonts w:hint="eastAsia" w:ascii="宋体" w:hAnsi="宋体" w:eastAsia="宋体" w:cs="宋体"/>
          <w:sz w:val="24"/>
        </w:rPr>
        <w:drawing>
          <wp:inline distT="0" distB="0" distL="114300" distR="114300">
            <wp:extent cx="5393055" cy="1607820"/>
            <wp:effectExtent l="0" t="0" r="0" b="8890"/>
            <wp:docPr id="6" name="图片 6" descr="171289343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2893438201"/>
                    <pic:cNvPicPr>
                      <a:picLocks noChangeAspect="1"/>
                    </pic:cNvPicPr>
                  </pic:nvPicPr>
                  <pic:blipFill>
                    <a:blip r:embed="rId5"/>
                    <a:stretch>
                      <a:fillRect/>
                    </a:stretch>
                  </pic:blipFill>
                  <pic:spPr>
                    <a:xfrm>
                      <a:off x="0" y="0"/>
                      <a:ext cx="5393055" cy="1607820"/>
                    </a:xfrm>
                    <a:prstGeom prst="rect">
                      <a:avLst/>
                    </a:prstGeom>
                  </pic:spPr>
                </pic:pic>
              </a:graphicData>
            </a:graphic>
          </wp:inline>
        </w:drawing>
      </w:r>
    </w:p>
    <w:p w14:paraId="699B1FCC">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五</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rPr>
        <w:t>原合同其他条款保持不变。</w:t>
      </w:r>
    </w:p>
    <w:p w14:paraId="0F98600D">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六</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14:paraId="49527C89">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七</w:t>
      </w:r>
      <w:r>
        <w:rPr>
          <w:rFonts w:hint="eastAsia" w:ascii="宋体" w:hAnsi="宋体" w:eastAsia="宋体" w:cs="宋体"/>
          <w:b w:val="0"/>
          <w:bCs w:val="0"/>
          <w:sz w:val="24"/>
          <w:highlight w:val="none"/>
        </w:rPr>
        <w:t>、本补充协议一式伍份，甲方执叁份，乙方执两份，经双方盖章后生效，具有同等法律效力。</w:t>
      </w:r>
    </w:p>
    <w:p w14:paraId="7142795D">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14:paraId="214E5808">
      <w:pPr>
        <w:widowControl/>
        <w:spacing w:line="360" w:lineRule="auto"/>
        <w:ind w:firstLine="480" w:firstLineChars="200"/>
        <w:jc w:val="left"/>
        <w:rPr>
          <w:rFonts w:hint="eastAsia" w:ascii="宋体" w:hAnsi="宋体" w:eastAsia="宋体" w:cs="宋体"/>
          <w:b w:val="0"/>
          <w:bCs w:val="0"/>
          <w:sz w:val="24"/>
          <w:highlight w:val="none"/>
        </w:rPr>
      </w:pPr>
    </w:p>
    <w:p w14:paraId="4165A7D2">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14:paraId="59D5D58E">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 xml:space="preserve">12 </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 xml:space="preserve"> 1 </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年</w:t>
      </w:r>
      <w:r>
        <w:rPr>
          <w:rFonts w:hint="eastAsia" w:ascii="宋体" w:hAnsi="宋体" w:eastAsia="宋体" w:cs="宋体"/>
          <w:b w:val="0"/>
          <w:bCs w:val="0"/>
          <w:sz w:val="24"/>
          <w:highlight w:val="none"/>
          <w:lang w:val="en-US" w:eastAsia="zh-CN"/>
        </w:rPr>
        <w:t xml:space="preserve"> 12</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 xml:space="preserve"> 1  </w:t>
      </w:r>
      <w:r>
        <w:rPr>
          <w:rFonts w:hint="eastAsia" w:ascii="宋体" w:hAnsi="宋体" w:eastAsia="宋体" w:cs="宋体"/>
          <w:b w:val="0"/>
          <w:bCs w:val="0"/>
          <w:sz w:val="24"/>
          <w:highlight w:val="none"/>
        </w:rPr>
        <w:t xml:space="preserve">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7F5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00FA94">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472AB"/>
    <w:multiLevelType w:val="singleLevel"/>
    <w:tmpl w:val="349472A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cf591aae-4e3d-462b-956f-60d141310b91"/>
  </w:docVars>
  <w:rsids>
    <w:rsidRoot w:val="78386C5F"/>
    <w:rsid w:val="005073FB"/>
    <w:rsid w:val="0066679C"/>
    <w:rsid w:val="0077643F"/>
    <w:rsid w:val="007E3373"/>
    <w:rsid w:val="00855D1B"/>
    <w:rsid w:val="008C1BD5"/>
    <w:rsid w:val="00980689"/>
    <w:rsid w:val="00AD0F4E"/>
    <w:rsid w:val="00C201D6"/>
    <w:rsid w:val="01765E5F"/>
    <w:rsid w:val="02C24B67"/>
    <w:rsid w:val="03934582"/>
    <w:rsid w:val="0603301F"/>
    <w:rsid w:val="06064CF3"/>
    <w:rsid w:val="06715FDE"/>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575FD2"/>
    <w:rsid w:val="1986018D"/>
    <w:rsid w:val="19957E75"/>
    <w:rsid w:val="19E868E3"/>
    <w:rsid w:val="1A554870"/>
    <w:rsid w:val="1AD57D19"/>
    <w:rsid w:val="1B416B66"/>
    <w:rsid w:val="1B591091"/>
    <w:rsid w:val="1C3B5CE8"/>
    <w:rsid w:val="1E342DF7"/>
    <w:rsid w:val="1E4606F4"/>
    <w:rsid w:val="1F3612F2"/>
    <w:rsid w:val="1F9945A1"/>
    <w:rsid w:val="20500AF2"/>
    <w:rsid w:val="21033F43"/>
    <w:rsid w:val="21E632F3"/>
    <w:rsid w:val="21ED78D6"/>
    <w:rsid w:val="24AA654D"/>
    <w:rsid w:val="251A2755"/>
    <w:rsid w:val="25F0544D"/>
    <w:rsid w:val="260A76CB"/>
    <w:rsid w:val="261A7D71"/>
    <w:rsid w:val="26334E5B"/>
    <w:rsid w:val="26513E5D"/>
    <w:rsid w:val="26671012"/>
    <w:rsid w:val="275A4D3A"/>
    <w:rsid w:val="285B0102"/>
    <w:rsid w:val="28661BA4"/>
    <w:rsid w:val="2908589A"/>
    <w:rsid w:val="292A108A"/>
    <w:rsid w:val="2A9067C5"/>
    <w:rsid w:val="2B5B79D6"/>
    <w:rsid w:val="2B5E5E86"/>
    <w:rsid w:val="2BB655B5"/>
    <w:rsid w:val="2C7006A4"/>
    <w:rsid w:val="2D641EC6"/>
    <w:rsid w:val="2DE7239A"/>
    <w:rsid w:val="2E5F5866"/>
    <w:rsid w:val="2E8379D0"/>
    <w:rsid w:val="2F004870"/>
    <w:rsid w:val="2F6874EF"/>
    <w:rsid w:val="2FC05751"/>
    <w:rsid w:val="301A6B12"/>
    <w:rsid w:val="30732BB2"/>
    <w:rsid w:val="32005F50"/>
    <w:rsid w:val="322B4B74"/>
    <w:rsid w:val="32DB1233"/>
    <w:rsid w:val="352E1AEE"/>
    <w:rsid w:val="35925BF0"/>
    <w:rsid w:val="36826596"/>
    <w:rsid w:val="39363585"/>
    <w:rsid w:val="3AE53929"/>
    <w:rsid w:val="3B347BD8"/>
    <w:rsid w:val="3CF06D2D"/>
    <w:rsid w:val="3D9100B5"/>
    <w:rsid w:val="3DE634CF"/>
    <w:rsid w:val="3E1437F5"/>
    <w:rsid w:val="3E43739B"/>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EE1012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CF527A3"/>
    <w:rsid w:val="5D1B4F80"/>
    <w:rsid w:val="5DFC7E35"/>
    <w:rsid w:val="5E373B58"/>
    <w:rsid w:val="5E897C12"/>
    <w:rsid w:val="5ECD1F75"/>
    <w:rsid w:val="5FFB2214"/>
    <w:rsid w:val="600C3BE4"/>
    <w:rsid w:val="60CB50B0"/>
    <w:rsid w:val="60D85BBC"/>
    <w:rsid w:val="616E4406"/>
    <w:rsid w:val="62185387"/>
    <w:rsid w:val="64FD6FCF"/>
    <w:rsid w:val="653F7006"/>
    <w:rsid w:val="654E15EE"/>
    <w:rsid w:val="65786F1E"/>
    <w:rsid w:val="66CE1899"/>
    <w:rsid w:val="67334BBF"/>
    <w:rsid w:val="67472418"/>
    <w:rsid w:val="67DC6491"/>
    <w:rsid w:val="694750C0"/>
    <w:rsid w:val="69FA5E67"/>
    <w:rsid w:val="6AC80B7F"/>
    <w:rsid w:val="6B14519F"/>
    <w:rsid w:val="6B2E6F6F"/>
    <w:rsid w:val="6B37247C"/>
    <w:rsid w:val="6BCF5694"/>
    <w:rsid w:val="6CB87F4B"/>
    <w:rsid w:val="6E3A7C00"/>
    <w:rsid w:val="6E5042A8"/>
    <w:rsid w:val="6EE53EB0"/>
    <w:rsid w:val="6F65320A"/>
    <w:rsid w:val="700D4FE8"/>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4915</Words>
  <Characters>5090</Characters>
  <Lines>5</Lines>
  <Paragraphs>1</Paragraphs>
  <TotalTime>0</TotalTime>
  <ScaleCrop>false</ScaleCrop>
  <LinksUpToDate>false</LinksUpToDate>
  <CharactersWithSpaces>5274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2024-12-07T03:27:25Z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EC30DC2538464C6EB8576693AB04A0A6_13</vt:lpwstr>
  </property>
</Properties>
</file>