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C2F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2024年12月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</w:p>
    <w:p w14:paraId="630602C9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01C2A5ED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70A3C01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</w:t>
      </w:r>
      <w:r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FFA67F9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至121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22B4F5ED"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至12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3D86D1E5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乙方月度成交＜5套，甲方按照40000元/套为乙方计提结算佣金；乙方月度成交≥5 套，甲方按照60000元/套为乙方计提结算佣金，以上跳点为所有户型通跳。</w:t>
      </w:r>
    </w:p>
    <w:p w14:paraId="6F935B25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3357FC4D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7F92AC7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 w14:paraId="0D1AFFD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59F1F0EB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</w:p>
    <w:p w14:paraId="3886428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甲方：河南浩德</w:t>
      </w:r>
      <w:r>
        <w:rPr>
          <w:rFonts w:hint="eastAsia" w:ascii="仿宋" w:hAnsi="仿宋" w:eastAsia="仿宋" w:cs="仿宋"/>
          <w:sz w:val="24"/>
          <w:lang w:val="en-US" w:eastAsia="zh-CN"/>
        </w:rPr>
        <w:t>龙瑞</w:t>
      </w:r>
      <w:r>
        <w:rPr>
          <w:rFonts w:hint="eastAsia" w:ascii="仿宋" w:hAnsi="仿宋" w:eastAsia="仿宋" w:cs="仿宋"/>
          <w:sz w:val="24"/>
        </w:rPr>
        <w:t>置业有限公司  乙方：</w:t>
      </w:r>
      <w:r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552D0E7C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43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E1A7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E1A7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OTlmMjVmYzNlYWIyNDlhZGI5YmRlZjk1M2E5MDc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D260591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9413215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5A22EC7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5862FED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546</Characters>
  <Lines>5</Lines>
  <Paragraphs>1</Paragraphs>
  <TotalTime>2</TotalTime>
  <ScaleCrop>false</ScaleCrop>
  <LinksUpToDate>false</LinksUpToDate>
  <CharactersWithSpaces>572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大头Monkey</cp:lastModifiedBy>
  <cp:lastPrinted>2022-03-31T04:42:00Z</cp:lastPrinted>
  <dcterms:modified xsi:type="dcterms:W3CDTF">2024-12-07T07:01:10Z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9DB48814A7354C2C93F7033A95ADB6B5_13</vt:lpwstr>
  </property>
</Properties>
</file>