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C749">
      <w:pPr>
        <w:kinsoku/>
        <w:autoSpaceDE/>
        <w:autoSpaceDN/>
        <w:adjustRightInd/>
        <w:spacing w:before="117"/>
        <w:ind w:left="0"/>
        <w:jc w:val="center"/>
        <w:rPr>
          <w:rFonts w:asciiTheme="minorEastAsia" w:hAnsiTheme="minorEastAsia" w:eastAsiaTheme="minorEastAsia" w:cstheme="minorEastAsia"/>
          <w:color w:val="auto"/>
          <w:sz w:val="36"/>
          <w:szCs w:val="36"/>
        </w:rPr>
      </w:pPr>
      <w:bookmarkStart w:id="6" w:name="_GoBack"/>
      <w:bookmarkEnd w:id="6"/>
      <w:r>
        <w:rPr>
          <w:rFonts w:hint="eastAsia" w:asciiTheme="minorEastAsia" w:hAnsiTheme="minorEastAsia" w:eastAsiaTheme="minorEastAsia" w:cstheme="minorEastAsia"/>
          <w:b/>
          <w:bCs/>
          <w:color w:val="auto"/>
          <w:spacing w:val="-5"/>
          <w:sz w:val="36"/>
          <w:szCs w:val="36"/>
          <w:u w:val="single"/>
          <w:lang w:val="en-US" w:eastAsia="zh-CN"/>
        </w:rPr>
        <w:t>浩德悠然居</w:t>
      </w:r>
      <w:r>
        <w:rPr>
          <w:rFonts w:hint="eastAsia" w:asciiTheme="minorEastAsia" w:hAnsiTheme="minorEastAsia" w:eastAsiaTheme="minorEastAsia" w:cstheme="minorEastAsia"/>
          <w:b/>
          <w:bCs/>
          <w:color w:val="auto"/>
          <w:spacing w:val="-5"/>
          <w:sz w:val="36"/>
          <w:szCs w:val="36"/>
        </w:rPr>
        <w:t>项目渠道服务合同</w:t>
      </w:r>
    </w:p>
    <w:p w14:paraId="459B6517">
      <w:pPr>
        <w:kinsoku/>
        <w:autoSpaceDE/>
        <w:autoSpaceDN/>
        <w:adjustRightInd/>
        <w:spacing w:before="82"/>
        <w:ind w:left="3"/>
        <w:rPr>
          <w:rFonts w:asciiTheme="minorEastAsia" w:hAnsiTheme="minorEastAsia" w:eastAsiaTheme="minorEastAsia" w:cstheme="minorEastAsia"/>
          <w:b/>
          <w:bCs/>
          <w:color w:val="auto"/>
          <w:spacing w:val="-20"/>
          <w:sz w:val="25"/>
          <w:szCs w:val="25"/>
        </w:rPr>
      </w:pPr>
    </w:p>
    <w:p w14:paraId="67FAE84E">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color w:val="auto"/>
          <w:spacing w:val="-20"/>
          <w:sz w:val="24"/>
          <w:szCs w:val="24"/>
          <w:u w:val="single"/>
        </w:rPr>
        <w:t>河南浩德</w:t>
      </w:r>
      <w:r>
        <w:rPr>
          <w:rFonts w:hint="eastAsia" w:ascii="宋体" w:hAnsi="宋体" w:eastAsia="宋体" w:cs="宋体"/>
          <w:b/>
          <w:bCs/>
          <w:color w:val="auto"/>
          <w:spacing w:val="-20"/>
          <w:sz w:val="24"/>
          <w:szCs w:val="24"/>
          <w:u w:val="single"/>
          <w:lang w:val="en-US" w:eastAsia="zh-CN"/>
        </w:rPr>
        <w:t>龙瑞置业有限公司</w:t>
      </w:r>
    </w:p>
    <w:p w14:paraId="22B9314F">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14:paraId="3C34FB65">
      <w:pPr>
        <w:kinsoku/>
        <w:autoSpaceDE/>
        <w:autoSpaceDN/>
        <w:adjustRightInd/>
        <w:spacing w:before="81"/>
        <w:ind w:left="460"/>
        <w:rPr>
          <w:rFonts w:ascii="宋体" w:hAnsi="宋体" w:eastAsia="宋体" w:cs="宋体"/>
          <w:color w:val="auto"/>
          <w:spacing w:val="-12"/>
          <w:position w:val="16"/>
          <w:sz w:val="24"/>
          <w:szCs w:val="24"/>
        </w:rPr>
      </w:pPr>
    </w:p>
    <w:p w14:paraId="68249E9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14:paraId="747BB5E9">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一、合作内容</w:t>
      </w:r>
    </w:p>
    <w:p w14:paraId="3D23DDF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 甲方系位于洛阳市洛龙区南山大道与三川大道交汇处西北的“悠然居”项目(备案名：</w:t>
      </w:r>
      <w:r>
        <w:rPr>
          <w:rFonts w:hint="eastAsia" w:ascii="宋体" w:hAnsi="宋体" w:eastAsia="宋体" w:cs="宋体"/>
          <w:color w:val="auto"/>
          <w:sz w:val="24"/>
          <w:szCs w:val="24"/>
          <w:lang w:eastAsia="zh-CN"/>
        </w:rPr>
        <w:t>悠然居</w:t>
      </w:r>
      <w:r>
        <w:rPr>
          <w:rFonts w:hint="eastAsia" w:ascii="宋体" w:hAnsi="宋体" w:eastAsia="宋体" w:cs="宋体"/>
          <w:color w:val="auto"/>
          <w:sz w:val="24"/>
          <w:szCs w:val="24"/>
        </w:rPr>
        <w:t>)(下称“本项目”)的开发商，现特委托乙方提供本项目的新房渠道服务。</w:t>
      </w:r>
    </w:p>
    <w:p w14:paraId="7843CA0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14:paraId="4F01B04A">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14:paraId="2D12318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1.4乙方服务内容：</w:t>
      </w:r>
    </w:p>
    <w:p w14:paraId="40F51A5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14:paraId="3E3661B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14:paraId="64B21D6A">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14:paraId="77582056">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二、合同有效期</w:t>
      </w:r>
    </w:p>
    <w:p w14:paraId="00188C0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日止，合同有效期满后未续签或未签订新合同，如双方仍有合作业务的，按照本合同约定执行。</w:t>
      </w:r>
    </w:p>
    <w:p w14:paraId="66BF335C">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14:paraId="4FDC3E2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14:paraId="3BA2B19F">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四、甲方权利义务</w:t>
      </w:r>
    </w:p>
    <w:p w14:paraId="59AD1958">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w:t>
      </w:r>
      <w:r>
        <w:rPr>
          <w:rFonts w:hint="eastAsia" w:ascii="宋体" w:hAnsi="宋体" w:eastAsia="宋体" w:cs="宋体"/>
          <w:color w:val="auto"/>
          <w:sz w:val="24"/>
          <w:szCs w:val="24"/>
          <w:lang w:val="en-US" w:eastAsia="zh-CN"/>
        </w:rPr>
        <w:t>条</w:t>
      </w:r>
      <w:r>
        <w:rPr>
          <w:rFonts w:hint="eastAsia" w:ascii="宋体" w:hAnsi="宋体" w:eastAsia="宋体" w:cs="宋体"/>
          <w:color w:val="auto"/>
          <w:sz w:val="24"/>
          <w:szCs w:val="24"/>
        </w:rPr>
        <w:t>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14:paraId="56C8541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05BF862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0FE08C8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14:paraId="0710B56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14:paraId="2517C6A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4.6客户成功购房后，甲方向乙方提供认购书拍照电子版。</w:t>
      </w:r>
    </w:p>
    <w:p w14:paraId="34AFC96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4.7甲方指定对接人</w:t>
      </w:r>
    </w:p>
    <w:p w14:paraId="615D98B0">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33F8C11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在《客户带看确认书》《</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如实际使用的确客、成销、对账结算文书名称与本合同约定名称不符，以实际使用的文书名称为准，下同)上签字确认。上述文件，甲方对接人签字即有效，甲方变更对接人的，需提前3日书面通知乙方，并在盖章的书面通知中明确新的甲方对接人及签字生效日期。</w:t>
      </w:r>
    </w:p>
    <w:p w14:paraId="260F8CD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14:paraId="63EC0A0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14:paraId="74B50F84">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r>
        <w:rPr>
          <w:rFonts w:hint="eastAsia" w:ascii="宋体" w:hAnsi="宋体" w:eastAsia="宋体" w:cs="宋体"/>
          <w:color w:val="auto"/>
          <w:sz w:val="24"/>
          <w:szCs w:val="24"/>
          <w:lang w:val="en-US" w:eastAsia="zh-CN"/>
        </w:rPr>
        <w:t>。</w:t>
      </w:r>
    </w:p>
    <w:p w14:paraId="49BC7ED3">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五、乙方权利义务</w:t>
      </w:r>
    </w:p>
    <w:p w14:paraId="4DAB01E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14:paraId="4E0C006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14:paraId="3744072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14:paraId="34E9C376">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5.4负责带领客户到甲方售楼部现场，并找甲方项目对接人签字确认《客户带看确认书》</w:t>
      </w:r>
      <w:r>
        <w:rPr>
          <w:rFonts w:hint="eastAsia" w:ascii="宋体" w:hAnsi="宋体" w:eastAsia="宋体" w:cs="宋体"/>
          <w:color w:val="auto"/>
          <w:sz w:val="24"/>
          <w:szCs w:val="24"/>
          <w:lang w:eastAsia="zh-CN"/>
        </w:rPr>
        <w:t>。</w:t>
      </w:r>
    </w:p>
    <w:p w14:paraId="6FA8E7DD">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5.5负责向甲方对接人提交《客户带看确认书》《</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对账单》等文件。</w:t>
      </w:r>
    </w:p>
    <w:p w14:paraId="74F7BC9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4992FEA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14:paraId="1FFCD42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14:paraId="2BE8853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14:paraId="75A827B0">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14:paraId="5BA2242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14:paraId="689613E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14:paraId="7754D78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14:paraId="49456D38">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5.11.3不得向任何人自称或者暗示自己是甲方员工，不得以甲方名义从事任何其他活动</w:t>
      </w:r>
      <w:r>
        <w:rPr>
          <w:rFonts w:hint="eastAsia" w:ascii="宋体" w:hAnsi="宋体" w:eastAsia="宋体" w:cs="宋体"/>
          <w:color w:val="auto"/>
          <w:sz w:val="24"/>
          <w:szCs w:val="24"/>
          <w:lang w:eastAsia="zh-CN"/>
        </w:rPr>
        <w:t>。</w:t>
      </w:r>
    </w:p>
    <w:p w14:paraId="645577F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14:paraId="09B07335">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5.13因客户冲突造成的佣金纠纷，由负责人出面协商解决，若门店旗下经纪人擅自到营销中心扰乱现场秩序，影响案场正常客户接待，视情节严重性，扣除该争议单50%或全部佣金。</w:t>
      </w:r>
    </w:p>
    <w:p w14:paraId="1D19FAD9">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六、客户的认定标准</w:t>
      </w:r>
    </w:p>
    <w:p w14:paraId="392DF32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6.1、</w:t>
      </w:r>
      <w:bookmarkStart w:id="0" w:name="OLE_LINK104"/>
      <w:bookmarkStart w:id="1" w:name="_Hlk1994587"/>
      <w:r>
        <w:rPr>
          <w:rFonts w:hint="eastAsia" w:ascii="宋体" w:hAnsi="宋体" w:eastAsia="宋体" w:cs="宋体"/>
          <w:b w:val="0"/>
          <w:bCs w:val="0"/>
          <w:sz w:val="24"/>
          <w:szCs w:val="24"/>
          <w:lang w:eastAsia="zh-CN"/>
        </w:rPr>
        <w:t>隐号报备带看：</w:t>
      </w:r>
    </w:p>
    <w:p w14:paraId="5FF43D4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62B9278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38A18CC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166452D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7FC4063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6.4、带看保护期对等：</w:t>
      </w:r>
    </w:p>
    <w:p w14:paraId="66E8EFB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5F47025B">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highlight w:val="yellow"/>
          <w:u w:val="none"/>
          <w:lang w:val="en-US" w:eastAsia="zh-CN"/>
        </w:rPr>
        <w:t xml:space="preserve">30 </w:t>
      </w:r>
      <w:r>
        <w:rPr>
          <w:rFonts w:hint="eastAsia" w:ascii="宋体" w:hAnsi="宋体" w:eastAsia="宋体" w:cs="宋体"/>
          <w:b w:val="0"/>
          <w:bCs w:val="0"/>
          <w:sz w:val="24"/>
          <w:szCs w:val="24"/>
          <w:highlight w:val="yellow"/>
        </w:rPr>
        <w:t>日</w:t>
      </w:r>
      <w:r>
        <w:commentReference w:id="0"/>
      </w:r>
      <w:r>
        <w:rPr>
          <w:rFonts w:hint="eastAsia" w:ascii="宋体" w:hAnsi="宋体" w:eastAsia="宋体" w:cs="宋体"/>
          <w:b w:val="0"/>
          <w:bCs w:val="0"/>
          <w:sz w:val="24"/>
          <w:szCs w:val="24"/>
        </w:rPr>
        <w:t>，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4805B31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6ECECDC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2CBE28C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4173FDE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71E6A5C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61285B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906302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6.8.4、</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078F73F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6.8.5</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540F824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6.9、</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46A7E25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6.10、</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4A20347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6.11、</w:t>
      </w:r>
      <w:r>
        <w:rPr>
          <w:rFonts w:hint="eastAsia" w:ascii="宋体" w:hAnsi="宋体" w:eastAsia="宋体" w:cs="宋体"/>
          <w:b w:val="0"/>
          <w:bCs w:val="0"/>
          <w:sz w:val="24"/>
          <w:szCs w:val="24"/>
        </w:rPr>
        <w:t>甲方指定对接人如在乙方推荐客户成功后不向乙方出具签字确认《客户带看确认书》</w:t>
      </w:r>
      <w:r>
        <w:rPr>
          <w:rFonts w:hint="eastAsia" w:ascii="宋体" w:hAnsi="宋体" w:eastAsia="宋体" w:cs="宋体"/>
          <w:color w:val="auto"/>
          <w:sz w:val="24"/>
          <w:szCs w:val="24"/>
          <w:lang w:val="en-US" w:eastAsia="zh-CN"/>
        </w:rPr>
        <w:t>《XX项目结算对账单》</w:t>
      </w:r>
      <w:r>
        <w:rPr>
          <w:rFonts w:hint="eastAsia" w:ascii="宋体" w:hAnsi="宋体" w:eastAsia="宋体" w:cs="宋体"/>
          <w:b w:val="0"/>
          <w:bCs w:val="0"/>
          <w:sz w:val="24"/>
          <w:szCs w:val="24"/>
        </w:rPr>
        <w:t>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6555A3A0">
      <w:pPr>
        <w:numPr>
          <w:ilvl w:val="255"/>
          <w:numId w:val="0"/>
        </w:numPr>
        <w:kinsoku/>
        <w:autoSpaceDE/>
        <w:autoSpaceDN/>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sz w:val="24"/>
          <w:szCs w:val="24"/>
          <w:lang w:val="en-US" w:eastAsia="zh-CN"/>
        </w:rPr>
        <w:t>6.12、乙方客户或直系亲属认购或网签后换房、更名的不影响乙方业绩归属认定，按照实际成交房源向乙方结算佣金。</w:t>
      </w:r>
      <w:bookmarkEnd w:id="0"/>
      <w:bookmarkEnd w:id="1"/>
    </w:p>
    <w:p w14:paraId="69FFC6A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成功销售：乙方推介的客户与甲方草签或网签《商品房买卖合同》的，即视为乙方推荐客户成功，计入乙方销售业绩。甲方须在乙方成功销售物业后3日内在乙方提供的《</w:t>
      </w:r>
      <w:r>
        <w:rPr>
          <w:rFonts w:hint="eastAsia" w:ascii="宋体" w:hAnsi="宋体" w:eastAsia="宋体" w:cs="宋体"/>
          <w:color w:val="auto"/>
          <w:sz w:val="24"/>
          <w:szCs w:val="24"/>
          <w:lang w:val="en-US" w:eastAsia="zh-CN"/>
        </w:rPr>
        <w:t>XX项目结算对账单</w:t>
      </w:r>
      <w:r>
        <w:rPr>
          <w:rFonts w:hint="eastAsia" w:ascii="宋体" w:hAnsi="宋体" w:eastAsia="宋体" w:cs="宋体"/>
          <w:color w:val="auto"/>
          <w:sz w:val="24"/>
          <w:szCs w:val="24"/>
        </w:rPr>
        <w:t>》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03E233B9">
      <w:pPr>
        <w:numPr>
          <w:ilvl w:val="0"/>
          <w:numId w:val="1"/>
        </w:numPr>
        <w:kinsoku/>
        <w:autoSpaceDE/>
        <w:autoSpaceDN/>
        <w:spacing w:line="360" w:lineRule="auto"/>
        <w:ind w:firstLine="482" w:firstLineChars="200"/>
        <w:outlineLvl w:val="0"/>
        <w:rPr>
          <w:rFonts w:ascii="宋体" w:hAnsi="宋体" w:eastAsia="宋体" w:cs="宋体"/>
          <w:b/>
          <w:bCs/>
          <w:color w:val="auto"/>
          <w:sz w:val="24"/>
          <w:szCs w:val="24"/>
        </w:rPr>
      </w:pPr>
      <w:r>
        <w:rPr>
          <w:rFonts w:hint="eastAsia" w:ascii="宋体" w:hAnsi="宋体" w:eastAsia="宋体" w:cs="宋体"/>
          <w:b/>
          <w:bCs/>
          <w:color w:val="auto"/>
          <w:sz w:val="24"/>
          <w:szCs w:val="24"/>
        </w:rPr>
        <w:t>佣金标准</w:t>
      </w:r>
    </w:p>
    <w:p w14:paraId="0BE42E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7.1在合同期及保护期内认购的房源，达到结算条件后乙方提佣标准如下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14:paraId="5AD3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shd w:val="clear" w:color="auto" w:fill="D2D3B7"/>
          </w:tcPr>
          <w:p w14:paraId="6F21FA0C">
            <w:pPr>
              <w:kinsoku/>
              <w:autoSpaceDE/>
              <w:autoSpaceDN/>
              <w:adjustRightInd/>
              <w:spacing w:before="125" w:line="360" w:lineRule="auto"/>
              <w:ind w:left="275"/>
              <w:rPr>
                <w:rFonts w:ascii="宋体" w:hAnsi="宋体" w:eastAsia="宋体" w:cs="宋体"/>
                <w:color w:val="auto"/>
                <w:sz w:val="24"/>
                <w:szCs w:val="24"/>
              </w:rPr>
            </w:pPr>
            <w:r>
              <w:rPr>
                <w:rFonts w:hint="eastAsia" w:ascii="宋体" w:hAnsi="宋体" w:eastAsia="宋体" w:cs="宋体"/>
                <w:color w:val="auto"/>
                <w:sz w:val="24"/>
                <w:szCs w:val="24"/>
              </w:rPr>
              <w:t>房源类型</w:t>
            </w:r>
          </w:p>
        </w:tc>
        <w:tc>
          <w:tcPr>
            <w:tcW w:w="7329" w:type="dxa"/>
            <w:shd w:val="clear" w:color="auto" w:fill="CFCFB6"/>
          </w:tcPr>
          <w:p w14:paraId="2B47CDAA">
            <w:pPr>
              <w:kinsoku/>
              <w:autoSpaceDE/>
              <w:autoSpaceDN/>
              <w:adjustRightInd/>
              <w:spacing w:before="125" w:line="360" w:lineRule="auto"/>
              <w:ind w:left="305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佣金标准</w:t>
            </w:r>
          </w:p>
        </w:tc>
      </w:tr>
      <w:tr w14:paraId="0D40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tcBorders>
              <w:bottom w:val="nil"/>
            </w:tcBorders>
          </w:tcPr>
          <w:p w14:paraId="01368DA8">
            <w:pPr>
              <w:kinsoku/>
              <w:autoSpaceDE/>
              <w:autoSpaceDN/>
              <w:adjustRightInd/>
              <w:spacing w:before="82" w:line="360" w:lineRule="auto"/>
              <w:ind w:left="524"/>
              <w:rPr>
                <w:rFonts w:ascii="宋体" w:hAnsi="宋体" w:eastAsia="宋体" w:cs="宋体"/>
                <w:color w:val="auto"/>
                <w:sz w:val="24"/>
                <w:szCs w:val="24"/>
              </w:rPr>
            </w:pPr>
            <w:r>
              <w:rPr>
                <w:rFonts w:hint="eastAsia" w:ascii="宋体" w:hAnsi="宋体" w:eastAsia="宋体" w:cs="宋体"/>
                <w:color w:val="auto"/>
                <w:sz w:val="24"/>
                <w:szCs w:val="24"/>
              </w:rPr>
              <w:t>住宅</w:t>
            </w:r>
          </w:p>
        </w:tc>
        <w:tc>
          <w:tcPr>
            <w:tcW w:w="7329" w:type="dxa"/>
          </w:tcPr>
          <w:p w14:paraId="295ECF97">
            <w:pPr>
              <w:tabs>
                <w:tab w:val="left" w:pos="1032"/>
                <w:tab w:val="center" w:pos="3719"/>
              </w:tabs>
              <w:kinsoku/>
              <w:autoSpaceDE/>
              <w:autoSpaceDN/>
              <w:adjustRightInd/>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20000元/套</w:t>
            </w:r>
          </w:p>
        </w:tc>
      </w:tr>
    </w:tbl>
    <w:p w14:paraId="3F218B3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14:paraId="67F40D7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条款执行：</w:t>
      </w:r>
    </w:p>
    <w:p w14:paraId="6F8A342E">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7.3.1月结：</w:t>
      </w:r>
      <w:r>
        <w:rPr>
          <w:rFonts w:hint="eastAsia" w:ascii="宋体" w:hAnsi="宋体" w:eastAsia="宋体" w:cs="宋体"/>
          <w:color w:val="auto"/>
          <w:sz w:val="24"/>
          <w:szCs w:val="24"/>
        </w:rPr>
        <w:t>乙方每月3日前向甲方提供上月达到结算条件的《</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对账单》,甲方在收到《</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对账单》后3日内审核完毕并签字确认一份返还至乙方。逾期未签字确认的，视为甲方对乙方提交的结算金额的认可，同意按照《</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对账单》上所述金额向乙方支付佣金。甲方应在每月30日前将上月佣金付至乙方指定账户。甲方对于乙方提交的《</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对账单》有争议的，不得以审核原因拖欠乙方应结佣金，应先按照双方确认无异议的部分先行支付佣金，逾期视为违约。甲方迟延或故意不通知乙方开具发票的，视为违约，按照本合同约定承担违约责任。</w:t>
      </w:r>
    </w:p>
    <w:p w14:paraId="2B409097">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对账单》,甲方在收到《</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对账单》后2日内审核完毕并签字确认一份返还至乙方。逾期未签字确认的，视为甲方对乙方提交的结算金额的认可，同意按照《</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对账单》上所述金额向乙方支付佣金。甲方应在双方对账审核期限届满后5日内将佣金付至乙方指定账户。甲方对于乙方提交的《</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对账单》有争议的，不得以审核原因拖欠乙方应结佣金，应先按照双方确认无异议的部分先行支付佣金，逾期视为违约。</w:t>
      </w:r>
    </w:p>
    <w:p w14:paraId="0B6BDD68">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套房源后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甲方需要再支付</w:t>
      </w:r>
      <w:r>
        <w:rPr>
          <w:rFonts w:hint="eastAsia" w:ascii="宋体" w:hAnsi="宋体" w:eastAsia="宋体" w:cs="宋体"/>
          <w:color w:val="auto"/>
          <w:sz w:val="24"/>
          <w:szCs w:val="24"/>
          <w:lang w:val="en-US" w:eastAsia="zh-CN"/>
        </w:rPr>
        <w:t>20万</w:t>
      </w:r>
      <w:r>
        <w:rPr>
          <w:rFonts w:hint="eastAsia" w:ascii="宋体" w:hAnsi="宋体" w:eastAsia="宋体" w:cs="宋体"/>
          <w:color w:val="auto"/>
          <w:sz w:val="24"/>
          <w:szCs w:val="24"/>
        </w:rPr>
        <w:t>元的预付佣金，以此类推，</w:t>
      </w:r>
      <w:r>
        <w:rPr>
          <w:rFonts w:hint="eastAsia" w:ascii="宋体" w:hAnsi="宋体" w:eastAsia="宋体" w:cs="宋体"/>
          <w:color w:val="auto"/>
          <w:sz w:val="24"/>
          <w:szCs w:val="24"/>
          <w:lang w:val="en-US" w:eastAsia="zh-CN"/>
        </w:rPr>
        <w:t>如逾期支付，需支付日万分之三违约金，</w:t>
      </w:r>
      <w:r>
        <w:rPr>
          <w:rFonts w:hint="eastAsia" w:ascii="宋体" w:hAnsi="宋体" w:eastAsia="宋体" w:cs="宋体"/>
          <w:color w:val="auto"/>
          <w:sz w:val="24"/>
          <w:szCs w:val="24"/>
        </w:rPr>
        <w:t>否则乙方有权终止合作。乙方每周向甲方提供已达到结算条件的《</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对账单》,甲方在收到《</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对账单》后2日内审核完毕并签字确认一份返还至乙方(</w:t>
      </w:r>
      <w:r>
        <w:rPr>
          <w:rFonts w:hint="eastAsia" w:ascii="宋体" w:hAnsi="宋体" w:eastAsia="宋体" w:cs="宋体"/>
          <w:color w:val="auto"/>
          <w:sz w:val="24"/>
          <w:szCs w:val="24"/>
          <w:lang w:val="en-US" w:eastAsia="zh-CN"/>
        </w:rPr>
        <w:t>如超过2日未确认的话，</w:t>
      </w:r>
      <w:r>
        <w:rPr>
          <w:rFonts w:hint="eastAsia" w:ascii="宋体" w:hAnsi="宋体" w:eastAsia="宋体" w:cs="宋体"/>
          <w:color w:val="auto"/>
          <w:sz w:val="24"/>
          <w:szCs w:val="24"/>
        </w:rPr>
        <w:t>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14:paraId="59D8164F">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7.4</w:t>
      </w:r>
      <w:r>
        <w:rPr>
          <w:rFonts w:hint="eastAsia" w:ascii="宋体" w:hAnsi="宋体" w:eastAsia="宋体" w:cs="宋体"/>
          <w:sz w:val="24"/>
          <w:szCs w:val="24"/>
        </w:rPr>
        <w:t>甲方开票信息：</w:t>
      </w:r>
    </w:p>
    <w:p w14:paraId="30D2A3B8">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14:paraId="565DFB32">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14:paraId="3DC59D7E">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 xml:space="preserve">发票开具对象(即发票抬头)：河南浩德龙瑞置业有限公司  </w:t>
      </w:r>
    </w:p>
    <w:p w14:paraId="50D9029D">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纳税人识别编号：91410300MA9MYURF5B  </w:t>
      </w:r>
    </w:p>
    <w:p w14:paraId="0854CCE7">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14:paraId="779D3D25">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电话：0379-</w:t>
      </w:r>
      <w:r>
        <w:rPr>
          <w:rFonts w:hint="eastAsia" w:ascii="宋体" w:hAnsi="宋体" w:eastAsia="宋体" w:cs="宋体"/>
          <w:sz w:val="24"/>
          <w:szCs w:val="24"/>
          <w:lang w:val="en-US" w:eastAsia="zh-CN"/>
        </w:rPr>
        <w:t>69953333</w:t>
      </w:r>
    </w:p>
    <w:p w14:paraId="7CA3102A">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开户行：中原银行股份有限公司洛阳万豪中心支行</w:t>
      </w:r>
    </w:p>
    <w:p w14:paraId="748E9591">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账号：410311010160004001</w:t>
      </w:r>
    </w:p>
    <w:p w14:paraId="1A78BBAE">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发票开具名目：经纪代理服务费。</w:t>
      </w:r>
    </w:p>
    <w:p w14:paraId="369972B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14:paraId="2841583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7.6乙方账户信息：</w:t>
      </w:r>
    </w:p>
    <w:p w14:paraId="38577FD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开户名：</w:t>
      </w:r>
      <w:r>
        <w:rPr>
          <w:rFonts w:hint="eastAsia" w:ascii="宋体" w:hAnsi="宋体" w:cs="宋体"/>
          <w:color w:val="auto"/>
          <w:sz w:val="24"/>
          <w:u w:val="single"/>
        </w:rPr>
        <w:t>洛阳闹贝房地产经纪有限公司</w:t>
      </w:r>
    </w:p>
    <w:p w14:paraId="5B7FD25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cs="宋体"/>
          <w:color w:val="auto"/>
          <w:sz w:val="24"/>
          <w:u w:val="single"/>
        </w:rPr>
        <w:t>招商银行股份有限公司洛阳新区支行</w:t>
      </w:r>
    </w:p>
    <w:p w14:paraId="25B2D75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cs="宋体"/>
          <w:color w:val="auto"/>
          <w:sz w:val="24"/>
          <w:u w:val="single"/>
        </w:rPr>
        <w:t>379900529410302</w:t>
      </w:r>
    </w:p>
    <w:p w14:paraId="5090337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7.7甲方逾期支付或预付乙方佣金的，每逾期一日甲方需向乙方支付欠付款项万分之</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的违约金，直至清讫。若逾期支付超过30天，乙方可无责单方解除合同。</w:t>
      </w:r>
    </w:p>
    <w:p w14:paraId="37DA969E">
      <w:pPr>
        <w:kinsoku/>
        <w:autoSpaceDE/>
        <w:autoSpaceDN/>
        <w:spacing w:line="360" w:lineRule="auto"/>
        <w:ind w:firstLine="480" w:firstLineChars="200"/>
        <w:rPr>
          <w:color w:val="auto"/>
        </w:rPr>
      </w:pPr>
      <w:r>
        <w:rPr>
          <w:rFonts w:hint="eastAsia" w:ascii="宋体" w:hAnsi="宋体" w:eastAsia="宋体" w:cs="宋体"/>
          <w:color w:val="auto"/>
          <w:sz w:val="24"/>
          <w:szCs w:val="24"/>
        </w:rPr>
        <w:t>7.8如乙方客户网签后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593408D8">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14:paraId="4063A65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14:paraId="10B462E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23F05E8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3711B49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4D4719B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14:paraId="0CB7BD5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14:paraId="4FB7B7D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14:paraId="72013196">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14:paraId="515423B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w:t>
      </w:r>
      <w:r>
        <w:rPr>
          <w:rFonts w:hint="eastAsia" w:ascii="宋体" w:hAnsi="宋体" w:eastAsia="宋体" w:cs="宋体"/>
          <w:color w:val="auto"/>
          <w:sz w:val="24"/>
          <w:szCs w:val="24"/>
          <w:lang w:val="en-US" w:eastAsia="zh-CN"/>
        </w:rPr>
        <w:t>均应提前30日书面通知对方，且双方按照本合同约定完成相应的结算。</w:t>
      </w:r>
    </w:p>
    <w:p w14:paraId="0639516F">
      <w:p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14:paraId="1A447B75">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1、客户多个号码报备出现争议，经第三方渠道（电信公司、支付宝、微信等）确认为同一人，任务及奖励归第一时间推荐人（合伙人、分销商、渠道资源部员工）所有。</w:t>
      </w:r>
    </w:p>
    <w:p w14:paraId="7F1B0309">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14:paraId="058F364F">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14:paraId="077B4396">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14:paraId="586769AF">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235039EA">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7DF26A7F">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7、客户己在销售中心，后经（合伙人、分销商、渠道资源部员工）报备视为无效，以现场录像时间为界定标准。</w:t>
      </w:r>
    </w:p>
    <w:p w14:paraId="082BB9E8">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8、推荐人所推荐的客户在缴纳定金起5日内重复购买奖励及任务归原推荐人。</w:t>
      </w:r>
    </w:p>
    <w:p w14:paraId="218B1910">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14:paraId="5BD741AD">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十、通知与送达</w:t>
      </w:r>
    </w:p>
    <w:p w14:paraId="4B345F60">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.1甲方：</w:t>
      </w:r>
    </w:p>
    <w:p w14:paraId="2C6311DD">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14:paraId="28F60E5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14:paraId="7A1AD89C">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14:paraId="5D629C07">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410422199005079158</w:t>
      </w:r>
    </w:p>
    <w:p w14:paraId="29FFD1FE">
      <w:pPr>
        <w:kinsoku/>
        <w:autoSpaceDE/>
        <w:autoSpaceDN/>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15538120919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邮箱地址：</w:t>
      </w:r>
      <w:r>
        <w:rPr>
          <w:rFonts w:hint="eastAsia" w:ascii="宋体" w:hAnsi="宋体" w:eastAsia="宋体" w:cs="宋体"/>
          <w:sz w:val="24"/>
          <w:szCs w:val="24"/>
          <w:u w:val="single"/>
          <w:lang w:val="en-US" w:eastAsia="zh-CN"/>
        </w:rPr>
        <w:t>578254907@qq.com</w:t>
      </w:r>
    </w:p>
    <w:p w14:paraId="1A9A376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地址：河南省洛阳市洛龙区新伊大街</w:t>
      </w:r>
      <w:r>
        <w:rPr>
          <w:rFonts w:hint="eastAsia" w:ascii="宋体" w:hAnsi="宋体" w:eastAsia="宋体" w:cs="宋体"/>
          <w:color w:val="auto"/>
          <w:sz w:val="24"/>
          <w:szCs w:val="24"/>
          <w:lang w:val="en-US" w:eastAsia="zh-CN"/>
        </w:rPr>
        <w:t>浩德悠然居</w:t>
      </w:r>
      <w:r>
        <w:rPr>
          <w:rFonts w:hint="eastAsia" w:ascii="宋体" w:hAnsi="宋体" w:eastAsia="宋体" w:cs="宋体"/>
          <w:color w:val="auto"/>
          <w:sz w:val="24"/>
          <w:szCs w:val="24"/>
        </w:rPr>
        <w:t>营销中心</w:t>
      </w:r>
    </w:p>
    <w:p w14:paraId="641B58C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14:paraId="0435768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.2乙方：</w:t>
      </w:r>
    </w:p>
    <w:p w14:paraId="5895309A">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14:paraId="7E23BA0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乙方指定下列联络人员</w:t>
      </w:r>
    </w:p>
    <w:p w14:paraId="0A5F771A">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lang w:val="en-US" w:eastAsia="zh-CN"/>
        </w:rPr>
        <w:t>李冰</w:t>
      </w: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lang w:val="en-US" w:eastAsia="zh-CN"/>
        </w:rPr>
        <w:t>410311199411201046</w:t>
      </w:r>
    </w:p>
    <w:p w14:paraId="1B5397EA">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15517901784</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lang w:val="en-US" w:eastAsia="zh-CN"/>
        </w:rPr>
        <w:t>libing024@ke.com</w:t>
      </w:r>
    </w:p>
    <w:p w14:paraId="65BC270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u w:val="single"/>
        </w:rPr>
        <w:t>河南省洛阳市洛龙区开元大道以南正大国际城市广场西区</w:t>
      </w:r>
    </w:p>
    <w:p w14:paraId="029B2F5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14:paraId="1087DE4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14:paraId="1A4269D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.4双方确认上述送达地址适用范围包括非诉时各类通知、协议等文件以及就合同发生纠纷时相关文件和法律文书的送达，同时包括在争议进入仲裁、民事诉讼程序后的一审、二审、再审和执行程序。</w:t>
      </w:r>
    </w:p>
    <w:p w14:paraId="2D356574">
      <w:pPr>
        <w:numPr>
          <w:ilvl w:val="0"/>
          <w:numId w:val="0"/>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合同未尽事宜及争议的解决</w:t>
      </w:r>
    </w:p>
    <w:p w14:paraId="5CB81EF9">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1</w:t>
      </w:r>
      <w:r>
        <w:rPr>
          <w:rFonts w:hint="eastAsia" w:ascii="宋体" w:hAnsi="宋体" w:eastAsia="宋体" w:cs="宋体"/>
          <w:color w:val="auto"/>
          <w:position w:val="16"/>
          <w:sz w:val="24"/>
          <w:szCs w:val="24"/>
        </w:rPr>
        <w:t>.1若合同期满前，双方还有合作意向，双方另行协商签订新的续约合同。</w:t>
      </w:r>
    </w:p>
    <w:p w14:paraId="6C57DC4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11.2</w:t>
      </w:r>
      <w:r>
        <w:rPr>
          <w:rFonts w:hint="eastAsia" w:ascii="宋体" w:hAnsi="宋体" w:eastAsia="宋体" w:cs="宋体"/>
          <w:color w:val="auto"/>
          <w:sz w:val="24"/>
          <w:szCs w:val="24"/>
        </w:rPr>
        <w:t>本合同未尽事宜由甲、乙双方协商并签订书面补充协议。</w:t>
      </w:r>
    </w:p>
    <w:p w14:paraId="5A0D49EB">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lang w:val="en-US" w:eastAsia="zh-CN"/>
        </w:rPr>
        <w:t>11.3</w:t>
      </w:r>
      <w:r>
        <w:rPr>
          <w:rFonts w:hint="eastAsia" w:ascii="宋体" w:hAnsi="宋体" w:eastAsia="宋体" w:cs="宋体"/>
          <w:color w:val="auto"/>
          <w:position w:val="16"/>
          <w:sz w:val="24"/>
          <w:szCs w:val="24"/>
        </w:rPr>
        <w:t>因本合同发生争议时，双方应友好协商解决，协商不成时，可向乙方所在地有管辖权的人民法院提起诉讼。</w:t>
      </w:r>
    </w:p>
    <w:p w14:paraId="0A847184">
      <w:pPr>
        <w:pStyle w:val="2"/>
        <w:spacing w:line="360" w:lineRule="auto"/>
        <w:rPr>
          <w:color w:val="auto"/>
        </w:rPr>
      </w:pPr>
    </w:p>
    <w:p w14:paraId="5A567CDE">
      <w:pPr>
        <w:numPr>
          <w:ilvl w:val="-1"/>
          <w:numId w:val="0"/>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合同文本及生效</w:t>
      </w:r>
    </w:p>
    <w:p w14:paraId="4A770AF0">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2</w:t>
      </w:r>
      <w:r>
        <w:rPr>
          <w:rFonts w:hint="eastAsia" w:ascii="宋体" w:hAnsi="宋体" w:eastAsia="宋体" w:cs="宋体"/>
          <w:color w:val="auto"/>
          <w:position w:val="16"/>
          <w:sz w:val="24"/>
          <w:szCs w:val="24"/>
        </w:rPr>
        <w:t>.1本合同一式肆份，甲方贰份、乙方贰份，经甲、乙双方盖章后生效。</w:t>
      </w:r>
    </w:p>
    <w:p w14:paraId="78119EA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.2附件：</w:t>
      </w:r>
    </w:p>
    <w:p w14:paraId="70721F06">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《客户带看确认书》(格式)见附件1;</w:t>
      </w:r>
    </w:p>
    <w:p w14:paraId="7D7F85F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对账单》(格式)见附件2;</w:t>
      </w:r>
    </w:p>
    <w:p w14:paraId="6064CE7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w:t>
      </w:r>
      <w:r>
        <w:rPr>
          <w:rFonts w:hint="eastAsia" w:ascii="宋体" w:hAnsi="宋体" w:eastAsia="宋体" w:cs="宋体"/>
          <w:color w:val="auto"/>
          <w:position w:val="16"/>
          <w:sz w:val="24"/>
          <w:szCs w:val="24"/>
          <w:lang w:val="en-US" w:eastAsia="zh-CN"/>
        </w:rPr>
        <w:t>3</w:t>
      </w:r>
      <w:r>
        <w:rPr>
          <w:rFonts w:hint="eastAsia" w:ascii="宋体" w:hAnsi="宋体" w:eastAsia="宋体" w:cs="宋体"/>
          <w:color w:val="auto"/>
          <w:position w:val="16"/>
          <w:sz w:val="24"/>
          <w:szCs w:val="24"/>
        </w:rPr>
        <w:t>;</w:t>
      </w:r>
    </w:p>
    <w:p w14:paraId="0F25830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《电子带看单补充协议》见附件</w:t>
      </w:r>
      <w:r>
        <w:rPr>
          <w:rFonts w:hint="eastAsia" w:ascii="宋体" w:hAnsi="宋体" w:eastAsia="宋体" w:cs="宋体"/>
          <w:color w:val="auto"/>
          <w:sz w:val="24"/>
          <w:szCs w:val="24"/>
          <w:lang w:val="en-US" w:eastAsia="zh-CN"/>
        </w:rPr>
        <w:t>4</w:t>
      </w:r>
    </w:p>
    <w:p w14:paraId="2AC4BC49">
      <w:pPr>
        <w:kinsoku/>
        <w:autoSpaceDE/>
        <w:autoSpaceDN/>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b w:val="0"/>
          <w:color w:val="auto"/>
          <w:sz w:val="24"/>
          <w:szCs w:val="24"/>
        </w:rPr>
        <w:t>廉政合作协议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见附件5</w:t>
      </w:r>
    </w:p>
    <w:p w14:paraId="7158F66F">
      <w:pPr>
        <w:kinsoku/>
        <w:autoSpaceDE/>
        <w:autoSpaceDN/>
        <w:spacing w:line="360" w:lineRule="auto"/>
        <w:ind w:firstLine="480"/>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本项目置业顾问清单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见附件6</w:t>
      </w:r>
    </w:p>
    <w:p w14:paraId="78079E99">
      <w:pPr>
        <w:kinsoku/>
        <w:autoSpaceDE/>
        <w:autoSpaceDN/>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带看单信息及确认的示例参考界面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见附件7</w:t>
      </w:r>
    </w:p>
    <w:p w14:paraId="049F27A3">
      <w:pPr>
        <w:pStyle w:val="2"/>
        <w:rPr>
          <w:color w:val="auto"/>
        </w:rPr>
      </w:pPr>
    </w:p>
    <w:p w14:paraId="3F9D5763">
      <w:pPr>
        <w:kinsoku/>
        <w:autoSpaceDE/>
        <w:autoSpaceDN/>
        <w:spacing w:line="360" w:lineRule="auto"/>
        <w:ind w:firstLine="480" w:firstLineChars="200"/>
        <w:rPr>
          <w:rFonts w:ascii="宋体" w:hAnsi="宋体" w:eastAsia="宋体" w:cs="宋体"/>
          <w:color w:val="auto"/>
          <w:sz w:val="24"/>
          <w:szCs w:val="24"/>
        </w:rPr>
      </w:pPr>
    </w:p>
    <w:p w14:paraId="2171DE83">
      <w:pPr>
        <w:kinsoku/>
        <w:autoSpaceDE/>
        <w:autoSpaceDN/>
        <w:spacing w:line="360" w:lineRule="auto"/>
        <w:ind w:firstLine="480" w:firstLineChars="200"/>
        <w:rPr>
          <w:rFonts w:ascii="宋体" w:hAnsi="宋体" w:eastAsia="宋体" w:cs="宋体"/>
          <w:color w:val="auto"/>
          <w:sz w:val="24"/>
          <w:szCs w:val="24"/>
        </w:rPr>
      </w:pPr>
    </w:p>
    <w:p w14:paraId="305C1AF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                                 乙方：</w:t>
      </w:r>
    </w:p>
    <w:p w14:paraId="377D083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代表人：                               代表人：</w:t>
      </w:r>
    </w:p>
    <w:p w14:paraId="5F17E20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eastAsia="zh-CN"/>
        </w:rPr>
        <w:t>2025</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                日期：</w:t>
      </w:r>
      <w:r>
        <w:rPr>
          <w:rFonts w:hint="eastAsia" w:ascii="宋体" w:hAnsi="宋体" w:eastAsia="宋体" w:cs="宋体"/>
          <w:color w:val="auto"/>
          <w:sz w:val="24"/>
          <w:szCs w:val="24"/>
          <w:lang w:eastAsia="zh-CN"/>
        </w:rPr>
        <w:t>2025</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14:paraId="2DB11DD4">
      <w:pPr>
        <w:kinsoku/>
        <w:autoSpaceDE/>
        <w:autoSpaceDN/>
        <w:spacing w:line="360" w:lineRule="auto"/>
        <w:ind w:firstLine="480" w:firstLineChars="200"/>
        <w:rPr>
          <w:rFonts w:ascii="宋体" w:hAnsi="宋体" w:eastAsia="宋体" w:cs="宋体"/>
          <w:color w:val="auto"/>
          <w:sz w:val="24"/>
          <w:szCs w:val="24"/>
        </w:rPr>
      </w:pPr>
    </w:p>
    <w:p w14:paraId="33089AF5">
      <w:pPr>
        <w:pageBreakBefore/>
        <w:widowControl w:val="0"/>
        <w:kinsoku/>
        <w:autoSpaceDE/>
        <w:autoSpaceDN/>
        <w:spacing w:line="300" w:lineRule="auto"/>
        <w:textAlignment w:val="auto"/>
        <w:rPr>
          <w:rFonts w:ascii="宋体" w:hAnsi="宋体" w:eastAsia="宋体" w:cs="宋体"/>
          <w:color w:val="auto"/>
        </w:rPr>
      </w:pPr>
      <w:r>
        <w:rPr>
          <w:rFonts w:hint="eastAsia" w:ascii="宋体" w:hAnsi="宋体" w:eastAsia="宋体" w:cs="宋体"/>
          <w:b/>
          <w:color w:val="auto"/>
        </w:rPr>
        <w:t>附件1：《客户带看确认书》</w:t>
      </w:r>
    </w:p>
    <w:p w14:paraId="62E60D2E">
      <w:pPr>
        <w:spacing w:line="300" w:lineRule="auto"/>
        <w:rPr>
          <w:rFonts w:ascii="宋体" w:hAnsi="宋体" w:eastAsia="宋体" w:cs="宋体"/>
          <w:color w:val="auto"/>
        </w:rPr>
      </w:pPr>
      <w:r>
        <w:rPr>
          <w:rFonts w:hint="eastAsia" w:ascii="宋体" w:hAnsi="宋体" w:eastAsia="宋体" w:cs="宋体"/>
          <w:color w:val="auto"/>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rcRect l="754" t="2417"/>
                    <a:stretch>
                      <a:fillRect/>
                    </a:stretch>
                  </pic:blipFill>
                  <pic:spPr>
                    <a:xfrm>
                      <a:off x="0" y="0"/>
                      <a:ext cx="5350510" cy="2461260"/>
                    </a:xfrm>
                    <a:prstGeom prst="rect">
                      <a:avLst/>
                    </a:prstGeom>
                    <a:noFill/>
                    <a:ln>
                      <a:noFill/>
                    </a:ln>
                  </pic:spPr>
                </pic:pic>
              </a:graphicData>
            </a:graphic>
          </wp:inline>
        </w:drawing>
      </w:r>
    </w:p>
    <w:p w14:paraId="3A77AF4B">
      <w:pPr>
        <w:spacing w:line="300" w:lineRule="auto"/>
        <w:rPr>
          <w:rFonts w:ascii="宋体" w:hAnsi="宋体" w:eastAsia="宋体" w:cs="宋体"/>
          <w:b/>
          <w:color w:val="auto"/>
        </w:rPr>
      </w:pPr>
    </w:p>
    <w:p w14:paraId="16FA3955">
      <w:pPr>
        <w:spacing w:line="300" w:lineRule="auto"/>
        <w:rPr>
          <w:rFonts w:ascii="宋体" w:hAnsi="宋体" w:eastAsia="宋体" w:cs="宋体"/>
          <w:b/>
          <w:color w:val="auto"/>
        </w:rPr>
      </w:pPr>
      <w:r>
        <w:rPr>
          <w:rFonts w:hint="eastAsia" w:ascii="宋体" w:hAnsi="宋体" w:eastAsia="宋体" w:cs="宋体"/>
          <w:b/>
          <w:color w:val="auto"/>
        </w:rPr>
        <w:t>附件2 ： 《</w:t>
      </w:r>
      <w:r>
        <w:rPr>
          <w:rFonts w:hint="eastAsia" w:ascii="宋体" w:hAnsi="宋体" w:eastAsia="宋体" w:cs="宋体"/>
          <w:b/>
          <w:color w:val="auto"/>
          <w:lang w:val="en-US" w:eastAsia="zh-CN"/>
        </w:rPr>
        <w:t>XX项目结算对账单</w:t>
      </w:r>
      <w:r>
        <w:rPr>
          <w:rFonts w:hint="eastAsia" w:ascii="宋体" w:hAnsi="宋体" w:eastAsia="宋体" w:cs="宋体"/>
          <w:b/>
          <w:color w:val="auto"/>
        </w:rPr>
        <w:t>》</w:t>
      </w:r>
    </w:p>
    <w:p w14:paraId="2C5DB7D7">
      <w:pPr>
        <w:pStyle w:val="2"/>
        <w:ind w:left="0" w:leftChars="0" w:firstLine="0" w:firstLineChars="0"/>
        <w:rPr>
          <w:rFonts w:hint="eastAsia" w:ascii="宋体" w:hAnsi="宋体" w:eastAsia="宋体" w:cs="宋体"/>
          <w:b/>
          <w:color w:val="auto"/>
          <w:lang w:eastAsia="zh-CN"/>
        </w:rPr>
      </w:pPr>
    </w:p>
    <w:p w14:paraId="6C274AAA">
      <w:pPr>
        <w:spacing w:line="300" w:lineRule="auto"/>
        <w:ind w:left="0" w:firstLine="0" w:firstLineChars="0"/>
        <w:rPr>
          <w:rFonts w:eastAsia="宋体"/>
          <w:color w:val="auto"/>
        </w:rPr>
      </w:pPr>
      <w:r>
        <w:rPr>
          <w:rFonts w:hint="eastAsia" w:ascii="宋体" w:hAnsi="宋体" w:eastAsia="宋体" w:cs="宋体"/>
          <w:sz w:val="24"/>
        </w:rPr>
        <w:drawing>
          <wp:inline distT="0" distB="0" distL="114300" distR="114300">
            <wp:extent cx="5393055" cy="1607820"/>
            <wp:effectExtent l="0" t="0" r="0" b="8890"/>
            <wp:docPr id="2" name="图片 2"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2893438201"/>
                    <pic:cNvPicPr>
                      <a:picLocks noChangeAspect="1"/>
                    </pic:cNvPicPr>
                  </pic:nvPicPr>
                  <pic:blipFill>
                    <a:blip r:embed="rId9"/>
                    <a:stretch>
                      <a:fillRect/>
                    </a:stretch>
                  </pic:blipFill>
                  <pic:spPr>
                    <a:xfrm>
                      <a:off x="0" y="0"/>
                      <a:ext cx="5393055" cy="1607820"/>
                    </a:xfrm>
                    <a:prstGeom prst="rect">
                      <a:avLst/>
                    </a:prstGeom>
                  </pic:spPr>
                </pic:pic>
              </a:graphicData>
            </a:graphic>
          </wp:inline>
        </w:drawing>
      </w:r>
    </w:p>
    <w:p w14:paraId="2D0B5EF4">
      <w:pPr>
        <w:pageBreakBefore/>
        <w:spacing w:line="300" w:lineRule="auto"/>
        <w:ind w:left="539" w:hanging="446" w:hangingChars="300"/>
        <w:rPr>
          <w:rFonts w:ascii="宋体" w:hAnsi="宋体" w:eastAsia="宋体" w:cs="宋体"/>
          <w:b/>
          <w:color w:val="auto"/>
        </w:rPr>
      </w:pPr>
      <w:r>
        <w:rPr>
          <w:rFonts w:hint="eastAsia" w:ascii="宋体" w:hAnsi="宋体" w:eastAsia="宋体" w:cs="宋体"/>
          <w:b/>
          <w:bCs/>
          <w:color w:val="auto"/>
          <w:spacing w:val="-31"/>
        </w:rPr>
        <w:t>附件</w:t>
      </w:r>
      <w:r>
        <w:rPr>
          <w:rFonts w:hint="eastAsia" w:ascii="宋体" w:hAnsi="宋体" w:eastAsia="宋体" w:cs="宋体"/>
          <w:b/>
          <w:bCs/>
          <w:color w:val="auto"/>
          <w:spacing w:val="-31"/>
          <w:lang w:val="en-US" w:eastAsia="zh-CN"/>
        </w:rPr>
        <w:t>3</w:t>
      </w:r>
      <w:r>
        <w:rPr>
          <w:rFonts w:hint="eastAsia" w:ascii="宋体" w:hAnsi="宋体" w:eastAsia="宋体" w:cs="宋体"/>
          <w:b/>
          <w:bCs/>
          <w:color w:val="auto"/>
          <w:spacing w:val="-31"/>
        </w:rPr>
        <w:t>：</w:t>
      </w:r>
      <w:r>
        <w:rPr>
          <w:rFonts w:hint="eastAsia" w:ascii="宋体" w:hAnsi="宋体" w:eastAsia="宋体" w:cs="宋体"/>
          <w:b/>
          <w:color w:val="auto"/>
        </w:rPr>
        <w:t>《阳光作业服务承诺》</w:t>
      </w:r>
    </w:p>
    <w:p w14:paraId="2FC61EFF">
      <w:pPr>
        <w:pStyle w:val="15"/>
        <w:widowControl w:val="0"/>
        <w:kinsoku/>
        <w:autoSpaceDE/>
        <w:autoSpaceDN/>
        <w:spacing w:line="360" w:lineRule="auto"/>
        <w:ind w:firstLine="482"/>
        <w:textAlignment w:val="auto"/>
        <w:rPr>
          <w:rFonts w:ascii="宋体" w:hAnsi="宋体" w:eastAsia="宋体" w:cs="宋体"/>
          <w:b/>
          <w:color w:val="auto"/>
          <w:sz w:val="24"/>
          <w:szCs w:val="28"/>
        </w:rPr>
      </w:pPr>
      <w:r>
        <w:rPr>
          <w:rFonts w:hint="eastAsia" w:ascii="宋体" w:hAnsi="宋体" w:eastAsia="宋体" w:cs="宋体"/>
          <w:b/>
          <w:color w:val="auto"/>
          <w:sz w:val="24"/>
          <w:szCs w:val="28"/>
        </w:rPr>
        <w:t>一、双方服务承诺</w:t>
      </w:r>
    </w:p>
    <w:p w14:paraId="7CE54C28">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14:paraId="0A0FB56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1、在（</w:t>
      </w:r>
      <w:r>
        <w:rPr>
          <w:rFonts w:hint="eastAsia" w:ascii="宋体" w:hAnsi="宋体" w:eastAsia="宋体" w:cs="宋体"/>
          <w:bCs/>
          <w:color w:val="auto"/>
          <w:sz w:val="24"/>
          <w:szCs w:val="28"/>
          <w:lang w:val="en-US" w:eastAsia="zh-CN"/>
        </w:rPr>
        <w:t>2</w:t>
      </w:r>
      <w:r>
        <w:rPr>
          <w:rFonts w:hint="eastAsia" w:ascii="宋体" w:hAnsi="宋体" w:eastAsia="宋体" w:cs="宋体"/>
          <w:bCs/>
          <w:color w:val="auto"/>
          <w:sz w:val="24"/>
          <w:szCs w:val="28"/>
        </w:rPr>
        <w:t>）内拦截、争抢对方客户或获取对方客户的联系信息。但在乙方及其整合渠道门店正常营业范围内，乙方及乙方人员不受本条约束。</w:t>
      </w:r>
    </w:p>
    <w:p w14:paraId="191BEB5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14:paraId="3A5C2B4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14:paraId="69FBC07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14:paraId="4679A48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14:paraId="51763C8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14:paraId="2A51F222">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5DB7145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14:paraId="5FE0A96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14:paraId="7F4B5584">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二、通知及确定</w:t>
      </w:r>
    </w:p>
    <w:p w14:paraId="1662D05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14:paraId="600375ED">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0AC9ACA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34CB7B4C">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14:paraId="23E3AF77">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三、违约责任</w:t>
      </w:r>
    </w:p>
    <w:p w14:paraId="649DC3D7">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14:paraId="20ABB5D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35CE7FD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14:paraId="0772AE3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3D873973">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5AACF73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4B669DBE">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1D9EF969">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6FBA3BDE">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1D9D09D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3127994C">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四、全渠道阳光承诺</w:t>
      </w:r>
    </w:p>
    <w:p w14:paraId="281B7B2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14:paraId="477E598E">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五、其他</w:t>
      </w:r>
    </w:p>
    <w:p w14:paraId="59B3694D">
      <w:pPr>
        <w:widowControl w:val="0"/>
        <w:kinsoku/>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14:paraId="54F9C5EA">
      <w:pPr>
        <w:widowControl w:val="0"/>
        <w:kinsoku/>
        <w:spacing w:line="360" w:lineRule="auto"/>
        <w:ind w:firstLine="480" w:firstLineChars="200"/>
        <w:rPr>
          <w:rFonts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r>
        <w:rPr>
          <w:rFonts w:hint="eastAsia" w:ascii="宋体" w:hAnsi="宋体" w:eastAsia="宋体" w:cs="宋体"/>
          <w:b/>
          <w:bCs/>
          <w:color w:val="auto"/>
          <w:sz w:val="24"/>
          <w:szCs w:val="28"/>
        </w:rPr>
        <w:t>乙方监督部门电话/邮箱： 【  10106188   】</w:t>
      </w:r>
    </w:p>
    <w:p w14:paraId="42046554">
      <w:pPr>
        <w:pStyle w:val="2"/>
        <w:pageBreakBefore/>
        <w:widowControl w:val="0"/>
        <w:kinsoku/>
        <w:adjustRightInd/>
        <w:snapToGrid/>
        <w:spacing w:line="360" w:lineRule="auto"/>
        <w:ind w:left="0" w:leftChars="0" w:firstLine="0" w:firstLineChars="0"/>
        <w:textAlignment w:val="auto"/>
        <w:rPr>
          <w:rFonts w:ascii="宋体" w:hAnsi="宋体" w:eastAsia="宋体" w:cs="宋体"/>
          <w:b/>
          <w:color w:val="auto"/>
          <w:szCs w:val="20"/>
        </w:rPr>
      </w:pPr>
      <w:r>
        <w:rPr>
          <w:rFonts w:hint="eastAsia" w:ascii="宋体" w:hAnsi="宋体" w:eastAsia="宋体" w:cs="宋体"/>
          <w:b/>
          <w:color w:val="auto"/>
          <w:szCs w:val="20"/>
        </w:rPr>
        <w:t>附件</w:t>
      </w:r>
      <w:r>
        <w:rPr>
          <w:rFonts w:hint="eastAsia" w:ascii="宋体" w:hAnsi="宋体" w:eastAsia="宋体" w:cs="宋体"/>
          <w:b/>
          <w:color w:val="auto"/>
          <w:szCs w:val="20"/>
          <w:lang w:val="en-US" w:eastAsia="zh-CN"/>
        </w:rPr>
        <w:t>4</w:t>
      </w:r>
      <w:r>
        <w:rPr>
          <w:rFonts w:hint="eastAsia" w:ascii="宋体" w:hAnsi="宋体" w:eastAsia="宋体" w:cs="宋体"/>
          <w:b/>
          <w:color w:val="auto"/>
          <w:szCs w:val="20"/>
        </w:rPr>
        <w:t>：《电子带看单补充协议》</w:t>
      </w:r>
    </w:p>
    <w:p w14:paraId="65939489">
      <w:pPr>
        <w:widowControl w:val="0"/>
        <w:kinsoku/>
        <w:spacing w:line="360" w:lineRule="auto"/>
        <w:jc w:val="center"/>
        <w:rPr>
          <w:rFonts w:ascii="宋体" w:hAnsi="宋体" w:eastAsia="宋体" w:cs="宋体"/>
          <w:b/>
          <w:color w:val="auto"/>
          <w:sz w:val="32"/>
          <w:szCs w:val="28"/>
        </w:rPr>
      </w:pPr>
      <w:r>
        <w:rPr>
          <w:rFonts w:hint="eastAsia" w:ascii="宋体" w:hAnsi="宋体" w:eastAsia="宋体" w:cs="宋体"/>
          <w:b/>
          <w:color w:val="auto"/>
          <w:sz w:val="32"/>
          <w:szCs w:val="28"/>
        </w:rPr>
        <w:t>电子带看单补充协议</w:t>
      </w:r>
    </w:p>
    <w:p w14:paraId="59D2E5E5">
      <w:pPr>
        <w:widowControl w:val="0"/>
        <w:kinsoku/>
        <w:spacing w:line="360" w:lineRule="auto"/>
        <w:jc w:val="right"/>
        <w:rPr>
          <w:rFonts w:ascii="仿宋" w:hAnsi="仿宋" w:eastAsia="仿宋" w:cs="仿宋"/>
          <w:color w:val="auto"/>
        </w:rPr>
      </w:pPr>
      <w:r>
        <w:rPr>
          <w:rFonts w:hint="eastAsia" w:ascii="仿宋" w:hAnsi="仿宋" w:eastAsia="仿宋" w:cs="仿宋"/>
          <w:color w:val="auto"/>
        </w:rPr>
        <w:t xml:space="preserve"> </w:t>
      </w:r>
    </w:p>
    <w:p w14:paraId="3C62FFEA">
      <w:pPr>
        <w:widowControl w:val="0"/>
        <w:kinsoku/>
        <w:spacing w:line="360" w:lineRule="auto"/>
        <w:ind w:right="630"/>
        <w:rPr>
          <w:rFonts w:hint="default" w:ascii="宋体" w:hAnsi="宋体" w:eastAsia="宋体" w:cs="宋体"/>
          <w:b/>
          <w:bCs/>
          <w:color w:val="auto"/>
          <w:sz w:val="24"/>
          <w:szCs w:val="28"/>
          <w:u w:val="single"/>
          <w:lang w:val="en-US" w:eastAsia="zh-CN"/>
        </w:rPr>
      </w:pPr>
      <w:r>
        <w:rPr>
          <w:rFonts w:hint="eastAsia" w:ascii="宋体" w:hAnsi="宋体" w:eastAsia="宋体" w:cs="宋体"/>
          <w:b/>
          <w:bCs/>
          <w:color w:val="auto"/>
          <w:sz w:val="24"/>
          <w:szCs w:val="28"/>
        </w:rPr>
        <w:t>甲方：</w:t>
      </w:r>
      <w:r>
        <w:rPr>
          <w:rFonts w:hint="eastAsia" w:ascii="宋体" w:hAnsi="宋体" w:eastAsia="宋体" w:cs="宋体"/>
          <w:b/>
          <w:bCs/>
          <w:color w:val="auto"/>
          <w:sz w:val="24"/>
          <w:szCs w:val="28"/>
          <w:u w:val="single"/>
        </w:rPr>
        <w:t>洛阳</w:t>
      </w:r>
      <w:r>
        <w:rPr>
          <w:rFonts w:hint="eastAsia" w:ascii="宋体" w:hAnsi="宋体" w:eastAsia="宋体" w:cs="宋体"/>
          <w:b/>
          <w:bCs/>
          <w:color w:val="auto"/>
          <w:sz w:val="24"/>
          <w:szCs w:val="28"/>
          <w:u w:val="single"/>
          <w:lang w:val="en-US" w:eastAsia="zh-CN"/>
        </w:rPr>
        <w:t>浩德新澜置业有限公司</w:t>
      </w:r>
    </w:p>
    <w:p w14:paraId="46506381">
      <w:pPr>
        <w:widowControl w:val="0"/>
        <w:kinsoku/>
        <w:spacing w:line="360" w:lineRule="auto"/>
        <w:ind w:right="630"/>
        <w:rPr>
          <w:rFonts w:ascii="宋体" w:hAnsi="宋体" w:eastAsia="宋体" w:cs="宋体"/>
          <w:b/>
          <w:bCs/>
          <w:color w:val="auto"/>
          <w:sz w:val="24"/>
          <w:szCs w:val="28"/>
        </w:rPr>
      </w:pPr>
      <w:r>
        <w:rPr>
          <w:rFonts w:hint="eastAsia" w:ascii="宋体" w:hAnsi="宋体" w:eastAsia="宋体" w:cs="宋体"/>
          <w:b/>
          <w:bCs/>
          <w:color w:val="auto"/>
          <w:sz w:val="24"/>
          <w:szCs w:val="28"/>
        </w:rPr>
        <w:t>乙方：</w:t>
      </w:r>
      <w:r>
        <w:rPr>
          <w:rFonts w:hint="eastAsia" w:ascii="宋体" w:hAnsi="宋体" w:eastAsia="宋体" w:cs="宋体"/>
          <w:b/>
          <w:bCs/>
          <w:color w:val="auto"/>
          <w:sz w:val="24"/>
          <w:szCs w:val="28"/>
          <w:u w:val="single"/>
        </w:rPr>
        <w:t>洛阳闹贝房地产经纪有限公司</w:t>
      </w:r>
    </w:p>
    <w:p w14:paraId="1FE59C7F">
      <w:pPr>
        <w:widowControl w:val="0"/>
        <w:kinsoku/>
        <w:spacing w:line="360" w:lineRule="auto"/>
        <w:ind w:right="630"/>
        <w:rPr>
          <w:rFonts w:ascii="仿宋" w:hAnsi="仿宋" w:eastAsia="仿宋" w:cs="仿宋"/>
          <w:color w:val="auto"/>
        </w:rPr>
      </w:pPr>
    </w:p>
    <w:p w14:paraId="46DBCEB5">
      <w:pPr>
        <w:widowControl w:val="0"/>
        <w:kinsoku/>
        <w:adjustRightInd/>
        <w:snapToGrid/>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甲乙双方于【</w:t>
      </w:r>
      <w:r>
        <w:rPr>
          <w:rFonts w:hint="eastAsia" w:ascii="宋体" w:hAnsi="宋体" w:eastAsia="宋体" w:cs="宋体"/>
          <w:color w:val="auto"/>
          <w:sz w:val="24"/>
          <w:szCs w:val="28"/>
          <w:lang w:eastAsia="zh-CN"/>
        </w:rPr>
        <w:t>2025</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日】签署了《</w:t>
      </w:r>
      <w:r>
        <w:rPr>
          <w:rFonts w:hint="eastAsia" w:ascii="宋体" w:hAnsi="宋体" w:eastAsia="宋体" w:cs="宋体"/>
          <w:color w:val="auto"/>
          <w:sz w:val="24"/>
          <w:szCs w:val="28"/>
          <w:lang w:val="en-US" w:eastAsia="zh-CN"/>
        </w:rPr>
        <w:t>浩德悠然居</w:t>
      </w:r>
      <w:r>
        <w:rPr>
          <w:rFonts w:hint="eastAsia" w:ascii="宋体" w:hAnsi="宋体" w:eastAsia="宋体" w:cs="宋体"/>
          <w:color w:val="auto"/>
          <w:sz w:val="24"/>
          <w:szCs w:val="28"/>
        </w:rPr>
        <w:t>渠道合作合同》（以下称为“主协议”），约定【乙方为甲方【</w:t>
      </w:r>
      <w:r>
        <w:rPr>
          <w:rFonts w:hint="eastAsia" w:ascii="宋体" w:hAnsi="宋体" w:eastAsia="宋体" w:cs="宋体"/>
          <w:color w:val="auto"/>
          <w:sz w:val="24"/>
          <w:szCs w:val="28"/>
          <w:lang w:val="en-US" w:eastAsia="zh-CN"/>
        </w:rPr>
        <w:t>浩德悠然居</w:t>
      </w:r>
      <w:r>
        <w:rPr>
          <w:rFonts w:hint="eastAsia" w:ascii="宋体" w:hAnsi="宋体" w:eastAsia="宋体" w:cs="宋体"/>
          <w:color w:val="auto"/>
          <w:sz w:val="24"/>
          <w:szCs w:val="28"/>
        </w:rPr>
        <w:t>】项目提供【渠道】服务】。现双方就【</w:t>
      </w:r>
      <w:r>
        <w:rPr>
          <w:rFonts w:hint="eastAsia" w:ascii="宋体" w:hAnsi="宋体" w:eastAsia="宋体" w:cs="宋体"/>
          <w:color w:val="auto"/>
          <w:sz w:val="24"/>
          <w:szCs w:val="28"/>
          <w:lang w:val="en-US" w:eastAsia="zh-CN"/>
        </w:rPr>
        <w:t>浩德悠然居</w:t>
      </w:r>
      <w:r>
        <w:rPr>
          <w:rFonts w:hint="eastAsia" w:ascii="宋体" w:hAnsi="宋体" w:eastAsia="宋体" w:cs="宋体"/>
          <w:color w:val="auto"/>
          <w:sz w:val="24"/>
          <w:szCs w:val="28"/>
        </w:rPr>
        <w:t>】项目（以下称为“本项目”）客户确认事宜签署本补充协议，以兹共同遵守。</w:t>
      </w:r>
    </w:p>
    <w:p w14:paraId="181DE046">
      <w:pPr>
        <w:pStyle w:val="16"/>
        <w:widowControl w:val="0"/>
        <w:numPr>
          <w:ilvl w:val="0"/>
          <w:numId w:val="2"/>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w:t>
      </w:r>
    </w:p>
    <w:p w14:paraId="1A278E96">
      <w:pPr>
        <w:widowControl w:val="0"/>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14:paraId="6CF792EC">
      <w:pPr>
        <w:pStyle w:val="16"/>
        <w:widowControl w:val="0"/>
        <w:numPr>
          <w:ilvl w:val="0"/>
          <w:numId w:val="2"/>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电子带看单信息及确认</w:t>
      </w:r>
      <w:r>
        <w:rPr>
          <w:rFonts w:hint="eastAsia" w:ascii="宋体" w:hAnsi="宋体" w:eastAsia="宋体" w:cs="宋体"/>
          <w:b/>
          <w:color w:val="auto"/>
          <w:sz w:val="24"/>
          <w:szCs w:val="24"/>
          <w:lang w:val="en-GB"/>
        </w:rPr>
        <w:t>人</w:t>
      </w:r>
    </w:p>
    <w:p w14:paraId="5B50E1DA">
      <w:pPr>
        <w:pStyle w:val="16"/>
        <w:widowControl w:val="0"/>
        <w:numPr>
          <w:ilvl w:val="0"/>
          <w:numId w:val="3"/>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甲乙双方确认，本项目电子带看单需展示的带看信息为：【</w:t>
      </w:r>
      <w:r>
        <w:rPr>
          <w:rFonts w:hint="eastAsia" w:ascii="宋体" w:hAnsi="宋体" w:eastAsia="宋体" w:cs="宋体"/>
          <w:i/>
          <w:color w:val="auto"/>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auto"/>
          <w:sz w:val="24"/>
          <w:szCs w:val="24"/>
        </w:rPr>
        <w:t>】。</w:t>
      </w:r>
    </w:p>
    <w:p w14:paraId="0FF41E97">
      <w:pPr>
        <w:pStyle w:val="16"/>
        <w:widowControl w:val="0"/>
        <w:numPr>
          <w:ilvl w:val="0"/>
          <w:numId w:val="3"/>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甲方指定本项目电子带看单确认人员为：</w:t>
      </w:r>
      <w:r>
        <w:rPr>
          <w:rFonts w:hint="eastAsia" w:ascii="宋体" w:hAnsi="宋体" w:eastAsia="宋体" w:cs="宋体"/>
          <w:b/>
          <w:color w:val="auto"/>
          <w:sz w:val="24"/>
          <w:szCs w:val="24"/>
        </w:rPr>
        <w:t>客户、乙方经纪人、本项目置业顾问、本项目甲方对接人</w:t>
      </w:r>
      <w:r>
        <w:rPr>
          <w:rFonts w:hint="eastAsia" w:ascii="宋体" w:hAnsi="宋体" w:eastAsia="宋体" w:cs="宋体"/>
          <w:color w:val="auto"/>
          <w:sz w:val="24"/>
          <w:szCs w:val="24"/>
        </w:rPr>
        <w:t>（定义见后文）。甲方应于本补充协议签署同时向乙方披露本项目置业顾问姓名及其对应的手机号，详见附件一。甲方指定【</w:t>
      </w:r>
      <w:r>
        <w:rPr>
          <w:rFonts w:hint="eastAsia" w:ascii="宋体" w:hAnsi="宋体" w:eastAsia="宋体" w:cs="宋体"/>
          <w:i/>
          <w:iCs/>
          <w:color w:val="auto"/>
          <w:sz w:val="24"/>
          <w:szCs w:val="24"/>
          <w:lang w:val="en-US" w:eastAsia="zh-CN"/>
        </w:rPr>
        <w:t>贾红杰</w:t>
      </w:r>
      <w:r>
        <w:rPr>
          <w:rFonts w:hint="eastAsia" w:ascii="宋体" w:hAnsi="宋体" w:eastAsia="宋体" w:cs="宋体"/>
          <w:color w:val="auto"/>
          <w:sz w:val="24"/>
          <w:szCs w:val="24"/>
        </w:rPr>
        <w:t>】为甲方对接人，代表甲方按照本协议约定及产品实际操作方式来确认电子带看单。</w:t>
      </w:r>
    </w:p>
    <w:p w14:paraId="3FB49CD0">
      <w:pPr>
        <w:pStyle w:val="16"/>
        <w:widowControl w:val="0"/>
        <w:numPr>
          <w:ilvl w:val="0"/>
          <w:numId w:val="2"/>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电子带看单确认</w:t>
      </w:r>
    </w:p>
    <w:p w14:paraId="339B52EF">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电子带看单各确认人的确认方式如下：</w:t>
      </w:r>
    </w:p>
    <w:p w14:paraId="6FE8E33C">
      <w:pPr>
        <w:pStyle w:val="16"/>
        <w:widowControl w:val="0"/>
        <w:numPr>
          <w:ilvl w:val="0"/>
          <w:numId w:val="5"/>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14:paraId="05D15386">
      <w:pPr>
        <w:pStyle w:val="16"/>
        <w:widowControl w:val="0"/>
        <w:numPr>
          <w:ilvl w:val="0"/>
          <w:numId w:val="5"/>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客户确认：在乙方经纪人手机端完成。电子带看单生成后，点击电子带看单的客户“去签字”位置，打开客户签名面板；客户在签名面板签字，点击【使用】按钮电子带看单即完成客户确认。</w:t>
      </w:r>
    </w:p>
    <w:p w14:paraId="0D7B06A4">
      <w:pPr>
        <w:pStyle w:val="16"/>
        <w:widowControl w:val="0"/>
        <w:numPr>
          <w:ilvl w:val="0"/>
          <w:numId w:val="5"/>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14:paraId="20CEA835">
      <w:pPr>
        <w:pStyle w:val="16"/>
        <w:widowControl w:val="0"/>
        <w:numPr>
          <w:ilvl w:val="0"/>
          <w:numId w:val="5"/>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w:t>
      </w:r>
      <w:bookmarkStart w:id="2" w:name="_Hlk71654183"/>
      <w:r>
        <w:rPr>
          <w:rFonts w:hint="eastAsia" w:ascii="宋体" w:hAnsi="宋体" w:eastAsia="宋体" w:cs="宋体"/>
          <w:color w:val="auto"/>
          <w:sz w:val="24"/>
          <w:szCs w:val="24"/>
        </w:rPr>
        <w:t>须在对乙方客户到访事实及置业顾问、经纪人、客户签字情况复核无误后，通过如下方式完成线上确认</w:t>
      </w:r>
      <w:bookmarkEnd w:id="2"/>
      <w:r>
        <w:rPr>
          <w:rFonts w:hint="eastAsia" w:ascii="宋体" w:hAnsi="宋体" w:eastAsia="宋体" w:cs="宋体"/>
          <w:color w:val="auto"/>
          <w:sz w:val="24"/>
          <w:szCs w:val="24"/>
        </w:rPr>
        <w:t>：</w:t>
      </w:r>
    </w:p>
    <w:p w14:paraId="35D83768">
      <w:pPr>
        <w:pStyle w:val="16"/>
        <w:widowControl w:val="0"/>
        <w:numPr>
          <w:ilvl w:val="1"/>
          <w:numId w:val="5"/>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在甲方置业顾问及甲方对接人自己的手机端完成。</w:t>
      </w:r>
    </w:p>
    <w:p w14:paraId="1308E7FB">
      <w:pPr>
        <w:pStyle w:val="16"/>
        <w:widowControl w:val="0"/>
        <w:numPr>
          <w:ilvl w:val="1"/>
          <w:numId w:val="5"/>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w:t>
      </w:r>
      <w:r>
        <w:rPr>
          <w:rFonts w:hint="eastAsia" w:ascii="宋体" w:hAnsi="宋体" w:eastAsia="宋体" w:cs="宋体"/>
          <w:i/>
          <w:color w:val="auto"/>
          <w:sz w:val="24"/>
          <w:szCs w:val="24"/>
        </w:rPr>
        <w:t>【对接人1：</w:t>
      </w:r>
      <w:r>
        <w:rPr>
          <w:rFonts w:hint="eastAsia" w:ascii="宋体" w:hAnsi="宋体" w:cs="宋体"/>
          <w:i/>
          <w:color w:val="auto"/>
          <w:sz w:val="24"/>
          <w:szCs w:val="24"/>
        </w:rPr>
        <w:t>姓名</w:t>
      </w:r>
      <w:r>
        <w:rPr>
          <w:rFonts w:hint="eastAsia" w:ascii="宋体" w:hAnsi="宋体" w:eastAsia="宋体" w:cs="宋体"/>
          <w:i/>
          <w:color w:val="auto"/>
          <w:sz w:val="24"/>
          <w:szCs w:val="24"/>
        </w:rPr>
        <w:t>/联系方式】</w:t>
      </w:r>
      <w:r>
        <w:rPr>
          <w:rFonts w:hint="eastAsia" w:ascii="宋体" w:hAnsi="宋体" w:eastAsia="宋体" w:cs="宋体"/>
          <w:color w:val="auto"/>
          <w:sz w:val="24"/>
          <w:szCs w:val="24"/>
        </w:rPr>
        <w:t>及</w:t>
      </w:r>
      <w:r>
        <w:rPr>
          <w:rFonts w:hint="eastAsia" w:ascii="宋体" w:hAnsi="宋体" w:eastAsia="宋体" w:cs="宋体"/>
          <w:i/>
          <w:color w:val="auto"/>
          <w:sz w:val="24"/>
          <w:szCs w:val="24"/>
        </w:rPr>
        <w:t>【对接人2：</w:t>
      </w:r>
      <w:r>
        <w:rPr>
          <w:rFonts w:hint="eastAsia" w:ascii="宋体" w:hAnsi="宋体" w:cs="宋体"/>
          <w:i/>
          <w:color w:val="auto"/>
          <w:sz w:val="24"/>
          <w:szCs w:val="24"/>
        </w:rPr>
        <w:t>姓名</w:t>
      </w:r>
      <w:r>
        <w:rPr>
          <w:rFonts w:hint="eastAsia" w:ascii="宋体" w:hAnsi="宋体" w:eastAsia="宋体" w:cs="宋体"/>
          <w:i/>
          <w:color w:val="auto"/>
          <w:sz w:val="24"/>
          <w:szCs w:val="24"/>
        </w:rPr>
        <w:t>/联系方式】</w:t>
      </w:r>
      <w:r>
        <w:rPr>
          <w:rFonts w:hint="eastAsia" w:ascii="宋体" w:hAnsi="宋体" w:eastAsia="宋体" w:cs="宋体"/>
          <w:color w:val="auto"/>
          <w:sz w:val="24"/>
          <w:szCs w:val="24"/>
        </w:rPr>
        <w:t>作为甲方对接人，代表甲方确认电子带看单。该对接人确认规则是（请打√）：</w:t>
      </w:r>
    </w:p>
    <w:p w14:paraId="3F2B5438">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任1人完成线上确认及通过，即任何1人完成线上签字确认后，电子带看单即生效</w:t>
      </w:r>
    </w:p>
    <w:p w14:paraId="7D206166">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□对接人均需签字，所有对接人均签字完毕后，电子带看单即生效。</w:t>
      </w:r>
    </w:p>
    <w:p w14:paraId="31E4125A">
      <w:pPr>
        <w:pStyle w:val="16"/>
        <w:widowControl w:val="0"/>
        <w:numPr>
          <w:ilvl w:val="1"/>
          <w:numId w:val="5"/>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14:paraId="7C295666">
      <w:pPr>
        <w:pStyle w:val="16"/>
        <w:widowControl w:val="0"/>
        <w:numPr>
          <w:ilvl w:val="2"/>
          <w:numId w:val="5"/>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首次登录的，系统会校验甲方置业顾问及甲方对接人是否经过实名认证。</w:t>
      </w:r>
    </w:p>
    <w:p w14:paraId="32D79DD4">
      <w:pPr>
        <w:pStyle w:val="16"/>
        <w:widowControl w:val="0"/>
        <w:numPr>
          <w:ilvl w:val="2"/>
          <w:numId w:val="5"/>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14:paraId="2EF0F816">
      <w:pPr>
        <w:pStyle w:val="16"/>
        <w:widowControl w:val="0"/>
        <w:numPr>
          <w:ilvl w:val="2"/>
          <w:numId w:val="5"/>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已完成实名认证的，下次登录时，甲方置业顾问及甲方对接人可用手机号及回填短信验证码方式登录系统。</w:t>
      </w:r>
    </w:p>
    <w:p w14:paraId="65BFBA66">
      <w:pPr>
        <w:pStyle w:val="16"/>
        <w:widowControl w:val="0"/>
        <w:numPr>
          <w:ilvl w:val="1"/>
          <w:numId w:val="5"/>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14:paraId="59C4AC61">
      <w:pPr>
        <w:pStyle w:val="16"/>
        <w:widowControl w:val="0"/>
        <w:numPr>
          <w:ilvl w:val="0"/>
          <w:numId w:val="5"/>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auto"/>
          <w:sz w:val="24"/>
          <w:szCs w:val="24"/>
        </w:rPr>
        <w:t>逾期确认的，自【确认时限届满时】视为甲方置业顾问及甲方对接人完成电子带看单确认</w:t>
      </w:r>
      <w:r>
        <w:rPr>
          <w:rFonts w:hint="eastAsia" w:ascii="宋体" w:hAnsi="宋体" w:eastAsia="宋体" w:cs="宋体"/>
          <w:color w:val="auto"/>
          <w:sz w:val="24"/>
          <w:szCs w:val="24"/>
        </w:rPr>
        <w:t>。</w:t>
      </w:r>
    </w:p>
    <w:p w14:paraId="77A3048F">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甲方对接人完成电子带看单确认（包括视为确认的情况），电子带看单即生效，对甲乙双方均具有法律约束力。</w:t>
      </w:r>
    </w:p>
    <w:p w14:paraId="1FA86EA4">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bookmarkStart w:id="3" w:name="_Hlk71653060"/>
      <w:r>
        <w:rPr>
          <w:rFonts w:hint="eastAsia" w:ascii="宋体" w:hAnsi="宋体" w:eastAsia="宋体" w:cs="宋体"/>
          <w:color w:val="auto"/>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3"/>
    </w:p>
    <w:p w14:paraId="6C3B9B73">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本项目支持置业顾问在线对电子带看单进行“备注”，乙方驻场可以查看并为项目需要而使用。</w:t>
      </w:r>
    </w:p>
    <w:p w14:paraId="0A23FA40">
      <w:pPr>
        <w:pStyle w:val="16"/>
        <w:widowControl w:val="0"/>
        <w:numPr>
          <w:ilvl w:val="0"/>
          <w:numId w:val="2"/>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双方权利义务</w:t>
      </w:r>
    </w:p>
    <w:p w14:paraId="26CA0B94">
      <w:pPr>
        <w:pStyle w:val="16"/>
        <w:widowControl w:val="0"/>
        <w:numPr>
          <w:ilvl w:val="0"/>
          <w:numId w:val="6"/>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14:paraId="5B459817">
      <w:pPr>
        <w:pStyle w:val="16"/>
        <w:widowControl w:val="0"/>
        <w:numPr>
          <w:ilvl w:val="0"/>
          <w:numId w:val="6"/>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14:paraId="77D798AC">
      <w:pPr>
        <w:pStyle w:val="16"/>
        <w:widowControl w:val="0"/>
        <w:numPr>
          <w:ilvl w:val="0"/>
          <w:numId w:val="6"/>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4" w:name="_Hlk71653096"/>
      <w:r>
        <w:rPr>
          <w:rFonts w:hint="eastAsia" w:ascii="宋体" w:hAnsi="宋体" w:eastAsia="宋体" w:cs="宋体"/>
          <w:color w:val="auto"/>
          <w:sz w:val="24"/>
          <w:szCs w:val="24"/>
          <w:lang w:eastAsia="zh-Hans"/>
        </w:rPr>
        <w:t>甲方</w:t>
      </w:r>
      <w:r>
        <w:rPr>
          <w:rFonts w:hint="eastAsia" w:ascii="宋体" w:hAnsi="宋体" w:eastAsia="宋体" w:cs="宋体"/>
          <w:color w:val="auto"/>
          <w:sz w:val="24"/>
          <w:szCs w:val="24"/>
        </w:rPr>
        <w:t>向乙方披露</w:t>
      </w:r>
      <w:r>
        <w:rPr>
          <w:rFonts w:hint="eastAsia" w:ascii="宋体" w:hAnsi="宋体" w:eastAsia="宋体" w:cs="宋体"/>
          <w:color w:val="auto"/>
          <w:sz w:val="24"/>
          <w:szCs w:val="24"/>
          <w:lang w:eastAsia="zh-Hans"/>
        </w:rPr>
        <w:t>和授权收集、使用相关信息</w:t>
      </w:r>
      <w:r>
        <w:rPr>
          <w:rFonts w:hint="eastAsia" w:ascii="宋体" w:hAnsi="宋体" w:eastAsia="宋体" w:cs="宋体"/>
          <w:color w:val="auto"/>
          <w:sz w:val="24"/>
          <w:szCs w:val="24"/>
        </w:rPr>
        <w:t>，已经</w:t>
      </w:r>
      <w:r>
        <w:rPr>
          <w:rFonts w:hint="eastAsia" w:ascii="宋体" w:hAnsi="宋体" w:eastAsia="宋体" w:cs="宋体"/>
          <w:color w:val="auto"/>
          <w:sz w:val="24"/>
          <w:szCs w:val="24"/>
          <w:lang w:eastAsia="zh-Hans"/>
        </w:rPr>
        <w:t>事先</w:t>
      </w:r>
      <w:r>
        <w:rPr>
          <w:rFonts w:hint="eastAsia" w:ascii="宋体" w:hAnsi="宋体" w:eastAsia="宋体" w:cs="宋体"/>
          <w:color w:val="auto"/>
          <w:sz w:val="24"/>
          <w:szCs w:val="24"/>
        </w:rPr>
        <w:t>取得信息主体的明确授权或同意。</w:t>
      </w:r>
      <w:bookmarkEnd w:id="4"/>
    </w:p>
    <w:p w14:paraId="7E4927DE">
      <w:pPr>
        <w:pStyle w:val="16"/>
        <w:widowControl w:val="0"/>
        <w:numPr>
          <w:ilvl w:val="0"/>
          <w:numId w:val="6"/>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甲方应通知、督促及确保项目置业顾问及甲方对接人同意按本补充协议约定接收手机短信、进行实名认证（若有，下同）并完成确认。</w:t>
      </w:r>
    </w:p>
    <w:p w14:paraId="1E9E96DA">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14:paraId="40C51EF6">
      <w:pPr>
        <w:pStyle w:val="16"/>
        <w:widowControl w:val="0"/>
        <w:numPr>
          <w:ilvl w:val="0"/>
          <w:numId w:val="6"/>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项目置业顾问或甲方对接人变更，或其手机号变更的，甲方应至少提前1日通过电子邮箱（发件人邮箱</w:t>
      </w:r>
      <w:commentRangeStart w:id="1"/>
      <w:r>
        <w:rPr>
          <w:rFonts w:hint="eastAsia" w:ascii="宋体" w:hAnsi="宋体" w:eastAsia="宋体" w:cs="宋体"/>
          <w:color w:val="auto"/>
          <w:sz w:val="24"/>
          <w:szCs w:val="24"/>
        </w:rPr>
        <w:t>【184449714@qq.com】或</w:t>
      </w:r>
      <w:r>
        <w:rPr>
          <w:rFonts w:hint="eastAsia" w:ascii="宋体" w:hAnsi="宋体" w:eastAsia="宋体" w:cs="宋体"/>
          <w:color w:val="auto"/>
          <w:sz w:val="24"/>
          <w:szCs w:val="24"/>
          <w:lang w:val="en-GB"/>
        </w:rPr>
        <w:t>微信【18637997969】</w:t>
      </w:r>
      <w:commentRangeEnd w:id="1"/>
      <w:r>
        <w:commentReference w:id="1"/>
      </w:r>
      <w:r>
        <w:rPr>
          <w:rFonts w:hint="eastAsia" w:ascii="宋体" w:hAnsi="宋体" w:eastAsia="宋体" w:cs="宋体"/>
          <w:color w:val="auto"/>
          <w:sz w:val="24"/>
          <w:szCs w:val="24"/>
        </w:rPr>
        <w:t>）通知乙方（收件人邮箱【zhanglin084@ke.com】或</w:t>
      </w:r>
      <w:r>
        <w:rPr>
          <w:rFonts w:hint="eastAsia" w:ascii="宋体" w:hAnsi="宋体" w:eastAsia="宋体" w:cs="宋体"/>
          <w:color w:val="auto"/>
          <w:sz w:val="24"/>
          <w:szCs w:val="24"/>
          <w:lang w:val="en-GB"/>
        </w:rPr>
        <w:t>微信【</w:t>
      </w:r>
      <w:r>
        <w:rPr>
          <w:rFonts w:hint="eastAsia" w:ascii="宋体" w:hAnsi="宋体" w:eastAsia="宋体" w:cs="宋体"/>
          <w:color w:val="auto"/>
          <w:sz w:val="24"/>
          <w:szCs w:val="24"/>
        </w:rPr>
        <w:t>18637988032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），并告知变更后的项目置业顾问或甲方对接人信息，否则视为未变更。变更前人员或手机号确认的电子带看单仍对甲乙双方具有约束力。</w:t>
      </w:r>
    </w:p>
    <w:p w14:paraId="6A7BB577">
      <w:pPr>
        <w:pStyle w:val="16"/>
        <w:widowControl w:val="0"/>
        <w:numPr>
          <w:ilvl w:val="0"/>
          <w:numId w:val="6"/>
        </w:numPr>
        <w:kinsoku/>
        <w:snapToGrid/>
        <w:spacing w:line="360" w:lineRule="auto"/>
        <w:ind w:left="420" w:hanging="420" w:firstLineChars="0"/>
        <w:textAlignment w:val="auto"/>
        <w:rPr>
          <w:rFonts w:ascii="宋体" w:hAnsi="宋体" w:eastAsia="宋体" w:cs="宋体"/>
          <w:bCs/>
          <w:color w:val="auto"/>
          <w:sz w:val="24"/>
          <w:szCs w:val="24"/>
        </w:rPr>
      </w:pPr>
      <w:bookmarkStart w:id="5" w:name="_Hlk71653140"/>
      <w:r>
        <w:rPr>
          <w:rFonts w:hint="eastAsia" w:ascii="宋体" w:hAnsi="宋体" w:eastAsia="宋体" w:cs="宋体"/>
          <w:bCs/>
          <w:color w:val="auto"/>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5"/>
    </w:p>
    <w:p w14:paraId="7CB8E07B">
      <w:pPr>
        <w:pStyle w:val="16"/>
        <w:widowControl w:val="0"/>
        <w:numPr>
          <w:ilvl w:val="0"/>
          <w:numId w:val="2"/>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其他</w:t>
      </w:r>
    </w:p>
    <w:p w14:paraId="2DBD6836">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14:paraId="0CC3BD60">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本补充协议与主协议约定不一致的，按本补充协议约定履行；本补充协议未约定的，仍按主协议约定履行。</w:t>
      </w:r>
    </w:p>
    <w:p w14:paraId="4A1D628A">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14:paraId="6E3DEA25">
      <w:pPr>
        <w:widowControl w:val="0"/>
        <w:kinsoku/>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（以下无正文，为《电子电子带看单补充协议》盖章页）</w:t>
      </w:r>
    </w:p>
    <w:p w14:paraId="34B84962">
      <w:pPr>
        <w:pStyle w:val="2"/>
        <w:ind w:firstLine="482"/>
        <w:rPr>
          <w:rFonts w:eastAsia="宋体" w:cs="宋体"/>
          <w:b/>
          <w:color w:val="auto"/>
          <w:sz w:val="24"/>
          <w:szCs w:val="24"/>
        </w:rPr>
      </w:pPr>
    </w:p>
    <w:p w14:paraId="606B44CB">
      <w:pPr>
        <w:pStyle w:val="2"/>
        <w:ind w:firstLine="482"/>
        <w:rPr>
          <w:rFonts w:eastAsia="宋体" w:cs="宋体"/>
          <w:b/>
          <w:color w:val="auto"/>
          <w:sz w:val="24"/>
          <w:szCs w:val="24"/>
        </w:rPr>
      </w:pPr>
    </w:p>
    <w:p w14:paraId="1AD70D9E">
      <w:pPr>
        <w:spacing w:line="360" w:lineRule="auto"/>
        <w:rPr>
          <w:rFonts w:ascii="宋体" w:hAnsi="宋体" w:eastAsia="宋体" w:cs="宋体"/>
          <w:color w:val="auto"/>
          <w:lang w:val="zh-TW" w:eastAsia="zh-TW"/>
        </w:rPr>
      </w:pPr>
      <w:r>
        <w:rPr>
          <w:rFonts w:hint="eastAsia" w:ascii="宋体" w:hAnsi="宋体" w:eastAsia="宋体" w:cs="宋体"/>
          <w:b/>
          <w:color w:val="auto"/>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558E63AC">
                            <w:pPr>
                              <w:rPr>
                                <w:rFonts w:ascii="宋体" w:hAnsi="宋体" w:eastAsia="宋体" w:cs="宋体"/>
                                <w:b/>
                                <w:sz w:val="24"/>
                                <w:szCs w:val="32"/>
                              </w:rPr>
                            </w:pPr>
                            <w:r>
                              <w:rPr>
                                <w:rFonts w:hint="eastAsia" w:ascii="宋体" w:hAnsi="宋体" w:eastAsia="宋体" w:cs="宋体"/>
                                <w:b/>
                                <w:sz w:val="24"/>
                                <w:szCs w:val="32"/>
                              </w:rPr>
                              <w:t>甲方盖章：</w:t>
                            </w:r>
                          </w:p>
                          <w:p w14:paraId="7E8053F4">
                            <w:pPr>
                              <w:rPr>
                                <w:rFonts w:ascii="宋体" w:hAnsi="宋体" w:eastAsia="宋体" w:cs="宋体"/>
                                <w:b/>
                                <w:sz w:val="24"/>
                                <w:szCs w:val="32"/>
                              </w:rPr>
                            </w:pPr>
                          </w:p>
                          <w:p w14:paraId="3E010B94">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14:paraId="558E63AC">
                      <w:pPr>
                        <w:rPr>
                          <w:rFonts w:ascii="宋体" w:hAnsi="宋体" w:eastAsia="宋体" w:cs="宋体"/>
                          <w:b/>
                          <w:sz w:val="24"/>
                          <w:szCs w:val="32"/>
                        </w:rPr>
                      </w:pPr>
                      <w:r>
                        <w:rPr>
                          <w:rFonts w:hint="eastAsia" w:ascii="宋体" w:hAnsi="宋体" w:eastAsia="宋体" w:cs="宋体"/>
                          <w:b/>
                          <w:sz w:val="24"/>
                          <w:szCs w:val="32"/>
                        </w:rPr>
                        <w:t>甲方盖章：</w:t>
                      </w:r>
                    </w:p>
                    <w:p w14:paraId="7E8053F4">
                      <w:pPr>
                        <w:rPr>
                          <w:rFonts w:ascii="宋体" w:hAnsi="宋体" w:eastAsia="宋体" w:cs="宋体"/>
                          <w:b/>
                          <w:sz w:val="24"/>
                          <w:szCs w:val="32"/>
                        </w:rPr>
                      </w:pPr>
                    </w:p>
                    <w:p w14:paraId="3E010B94">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color w:val="auto"/>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59B5B4F8">
                            <w:pPr>
                              <w:rPr>
                                <w:rFonts w:ascii="宋体" w:hAnsi="宋体" w:eastAsia="宋体" w:cs="宋体"/>
                                <w:b/>
                                <w:sz w:val="24"/>
                                <w:szCs w:val="32"/>
                              </w:rPr>
                            </w:pPr>
                            <w:r>
                              <w:rPr>
                                <w:rFonts w:hint="eastAsia" w:ascii="宋体" w:hAnsi="宋体" w:eastAsia="宋体" w:cs="宋体"/>
                                <w:b/>
                                <w:sz w:val="24"/>
                                <w:szCs w:val="32"/>
                              </w:rPr>
                              <w:t>乙方盖章：</w:t>
                            </w:r>
                          </w:p>
                          <w:p w14:paraId="2187FD4E">
                            <w:pPr>
                              <w:rPr>
                                <w:rFonts w:ascii="宋体" w:hAnsi="宋体" w:eastAsia="宋体" w:cs="宋体"/>
                                <w:b/>
                                <w:sz w:val="24"/>
                                <w:szCs w:val="32"/>
                              </w:rPr>
                            </w:pPr>
                          </w:p>
                          <w:p w14:paraId="1F896B0F">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14:paraId="59B5B4F8">
                      <w:pPr>
                        <w:rPr>
                          <w:rFonts w:ascii="宋体" w:hAnsi="宋体" w:eastAsia="宋体" w:cs="宋体"/>
                          <w:b/>
                          <w:sz w:val="24"/>
                          <w:szCs w:val="32"/>
                        </w:rPr>
                      </w:pPr>
                      <w:r>
                        <w:rPr>
                          <w:rFonts w:hint="eastAsia" w:ascii="宋体" w:hAnsi="宋体" w:eastAsia="宋体" w:cs="宋体"/>
                          <w:b/>
                          <w:sz w:val="24"/>
                          <w:szCs w:val="32"/>
                        </w:rPr>
                        <w:t>乙方盖章：</w:t>
                      </w:r>
                    </w:p>
                    <w:p w14:paraId="2187FD4E">
                      <w:pPr>
                        <w:rPr>
                          <w:rFonts w:ascii="宋体" w:hAnsi="宋体" w:eastAsia="宋体" w:cs="宋体"/>
                          <w:b/>
                          <w:sz w:val="24"/>
                          <w:szCs w:val="32"/>
                        </w:rPr>
                      </w:pPr>
                    </w:p>
                    <w:p w14:paraId="1F896B0F">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p>
    <w:p w14:paraId="04F3DDA5">
      <w:pPr>
        <w:spacing w:line="300" w:lineRule="auto"/>
        <w:ind w:left="630" w:hanging="630" w:hangingChars="300"/>
        <w:rPr>
          <w:rFonts w:ascii="宋体" w:hAnsi="宋体" w:eastAsia="宋体" w:cs="宋体"/>
          <w:color w:val="auto"/>
        </w:rPr>
      </w:pPr>
    </w:p>
    <w:p w14:paraId="08FB88E7">
      <w:pPr>
        <w:spacing w:line="360" w:lineRule="auto"/>
        <w:rPr>
          <w:rFonts w:ascii="仿宋" w:hAnsi="仿宋" w:eastAsia="仿宋" w:cs="仿宋"/>
          <w:b/>
          <w:color w:val="auto"/>
        </w:rPr>
      </w:pPr>
    </w:p>
    <w:p w14:paraId="610C9C03">
      <w:pPr>
        <w:keepNext/>
        <w:widowControl w:val="0"/>
        <w:adjustRightInd/>
        <w:spacing w:before="234"/>
        <w:rPr>
          <w:rFonts w:asciiTheme="minorEastAsia" w:hAnsiTheme="minorEastAsia" w:eastAsiaTheme="minorEastAsia" w:cstheme="minorEastAsia"/>
          <w:color w:val="auto"/>
          <w:sz w:val="25"/>
          <w:szCs w:val="25"/>
        </w:rPr>
      </w:pPr>
    </w:p>
    <w:p w14:paraId="1EAD8170">
      <w:pPr>
        <w:pStyle w:val="2"/>
        <w:rPr>
          <w:rFonts w:asciiTheme="minorEastAsia" w:hAnsiTheme="minorEastAsia" w:eastAsiaTheme="minorEastAsia" w:cstheme="minorEastAsia"/>
          <w:color w:val="auto"/>
          <w:sz w:val="25"/>
          <w:szCs w:val="25"/>
        </w:rPr>
      </w:pPr>
    </w:p>
    <w:p w14:paraId="71B739F3">
      <w:pPr>
        <w:pStyle w:val="2"/>
        <w:rPr>
          <w:rFonts w:asciiTheme="minorEastAsia" w:hAnsiTheme="minorEastAsia" w:eastAsiaTheme="minorEastAsia" w:cstheme="minorEastAsia"/>
          <w:color w:val="auto"/>
          <w:sz w:val="25"/>
          <w:szCs w:val="25"/>
        </w:rPr>
      </w:pPr>
    </w:p>
    <w:p w14:paraId="527E98CB">
      <w:pPr>
        <w:pStyle w:val="2"/>
        <w:rPr>
          <w:rFonts w:asciiTheme="minorEastAsia" w:hAnsiTheme="minorEastAsia" w:eastAsiaTheme="minorEastAsia" w:cstheme="minorEastAsia"/>
          <w:color w:val="auto"/>
          <w:sz w:val="25"/>
          <w:szCs w:val="25"/>
        </w:rPr>
      </w:pPr>
    </w:p>
    <w:p w14:paraId="42B766BF">
      <w:pPr>
        <w:pStyle w:val="2"/>
        <w:rPr>
          <w:rFonts w:asciiTheme="minorEastAsia" w:hAnsiTheme="minorEastAsia" w:eastAsiaTheme="minorEastAsia" w:cstheme="minorEastAsia"/>
          <w:color w:val="auto"/>
          <w:sz w:val="25"/>
          <w:szCs w:val="25"/>
        </w:rPr>
      </w:pPr>
    </w:p>
    <w:p w14:paraId="15AC377B">
      <w:pPr>
        <w:pStyle w:val="2"/>
        <w:rPr>
          <w:rFonts w:asciiTheme="minorEastAsia" w:hAnsiTheme="minorEastAsia" w:eastAsiaTheme="minorEastAsia" w:cstheme="minorEastAsia"/>
          <w:color w:val="auto"/>
          <w:sz w:val="25"/>
          <w:szCs w:val="25"/>
        </w:rPr>
      </w:pPr>
    </w:p>
    <w:p w14:paraId="23510050">
      <w:pPr>
        <w:pStyle w:val="2"/>
        <w:rPr>
          <w:rFonts w:asciiTheme="minorEastAsia" w:hAnsiTheme="minorEastAsia" w:eastAsiaTheme="minorEastAsia" w:cstheme="minorEastAsia"/>
          <w:color w:val="auto"/>
          <w:sz w:val="25"/>
          <w:szCs w:val="25"/>
        </w:rPr>
      </w:pPr>
    </w:p>
    <w:p w14:paraId="15681C45">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r>
        <w:rPr>
          <w:rFonts w:hint="eastAsia" w:ascii="宋体" w:hAnsi="宋体" w:eastAsia="宋体" w:cs="宋体"/>
          <w:b/>
          <w:color w:val="auto"/>
          <w:szCs w:val="24"/>
          <w:lang w:val="en-US" w:eastAsia="zh-CN"/>
        </w:rPr>
        <w:t>5</w:t>
      </w:r>
      <w:r>
        <w:rPr>
          <w:rFonts w:hint="eastAsia" w:ascii="宋体" w:hAnsi="宋体" w:cs="宋体"/>
          <w:b/>
          <w:color w:val="auto"/>
          <w:szCs w:val="24"/>
        </w:rPr>
        <w:t>、</w:t>
      </w:r>
      <w:r>
        <w:rPr>
          <w:rFonts w:hint="eastAsia" w:ascii="宋体" w:hAnsi="宋体" w:eastAsia="宋体" w:cs="宋体"/>
          <w:b/>
          <w:color w:val="auto"/>
          <w:szCs w:val="24"/>
          <w:lang w:eastAsia="zh-CN"/>
        </w:rPr>
        <w:t>《</w:t>
      </w:r>
      <w:r>
        <w:rPr>
          <w:rFonts w:hint="eastAsia" w:ascii="宋体" w:hAnsi="宋体" w:cs="宋体"/>
          <w:b/>
          <w:color w:val="auto"/>
          <w:szCs w:val="24"/>
        </w:rPr>
        <w:t>廉政合作协议</w:t>
      </w:r>
      <w:r>
        <w:rPr>
          <w:rFonts w:hint="eastAsia" w:ascii="宋体" w:hAnsi="宋体" w:eastAsia="宋体" w:cs="宋体"/>
          <w:b/>
          <w:color w:val="auto"/>
          <w:szCs w:val="24"/>
          <w:lang w:eastAsia="zh-CN"/>
        </w:rPr>
        <w:t>》</w:t>
      </w:r>
    </w:p>
    <w:p w14:paraId="6B2CA540">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14:paraId="254210F1">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b/>
          <w:color w:val="auto"/>
          <w:sz w:val="24"/>
          <w:szCs w:val="24"/>
          <w:lang w:val="en-US" w:eastAsia="zh-CN"/>
        </w:rPr>
        <w:t>河南浩德龙瑞置业有限公司</w:t>
      </w:r>
      <w:r>
        <w:rPr>
          <w:rFonts w:hint="eastAsia" w:ascii="宋体" w:hAnsi="宋体"/>
          <w:b/>
          <w:color w:val="auto"/>
          <w:sz w:val="24"/>
          <w:szCs w:val="24"/>
        </w:rPr>
        <w:t xml:space="preserve">     </w:t>
      </w:r>
      <w:r>
        <w:rPr>
          <w:rFonts w:hint="eastAsia" w:ascii="宋体" w:hAnsi="宋体"/>
          <w:b/>
          <w:color w:val="auto"/>
          <w:szCs w:val="24"/>
        </w:rPr>
        <w:t xml:space="preserve">  </w:t>
      </w:r>
    </w:p>
    <w:p w14:paraId="38B647FD">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eastAsia="宋体" w:cs="宋体"/>
          <w:b/>
          <w:bCs/>
          <w:color w:val="auto"/>
          <w:sz w:val="24"/>
          <w:szCs w:val="28"/>
          <w:u w:val="single"/>
        </w:rPr>
        <w:t>洛阳闹贝房地产经纪有限公司</w:t>
      </w:r>
      <w:r>
        <w:rPr>
          <w:rFonts w:hint="eastAsia" w:ascii="宋体" w:hAnsi="宋体"/>
          <w:b/>
          <w:color w:val="auto"/>
          <w:szCs w:val="24"/>
        </w:rPr>
        <w:t xml:space="preserve">  </w:t>
      </w:r>
    </w:p>
    <w:p w14:paraId="09712965">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14:paraId="21182134">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14:paraId="763CE1E2">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14:paraId="1B54C3EE">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14:paraId="7C805E4E">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14:paraId="4D2E48F3">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14:paraId="2066E7E7">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14:paraId="54CBA4BF">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14:paraId="3B164B1E">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14:paraId="48908316">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14:paraId="73BD4DC8">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14:paraId="60A95825">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14:paraId="10A04314">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14:paraId="54D66558">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0B85C43">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14:paraId="36757EB7">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14:paraId="7DA4DC00">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14:paraId="07F17EE8">
      <w:pPr>
        <w:spacing w:line="360" w:lineRule="auto"/>
        <w:ind w:firstLine="420" w:firstLineChars="200"/>
        <w:rPr>
          <w:rFonts w:ascii="宋体" w:hAnsi="宋体" w:cs="宋体"/>
          <w:color w:val="auto"/>
          <w:szCs w:val="28"/>
        </w:rPr>
      </w:pPr>
      <w:r>
        <w:rPr>
          <w:color w:val="auto"/>
        </w:rP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14:paraId="5C7C8913">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14:paraId="01C2A13A">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14:paraId="4B888A23">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14:paraId="456C95B1">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14:paraId="21C8531B">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14:paraId="2EC5B561">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14:paraId="667C314C">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14:paraId="7A0D7191">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14:paraId="1C672708">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14:paraId="4891A5D3">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14:paraId="7CBAA2CF">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14:paraId="6D9D6AA5">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14:paraId="15E187D8">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14:paraId="7E79A2A4">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14:paraId="52BBF3CA">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14:paraId="4192052A">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14:paraId="3D8EAFCB">
      <w:pPr>
        <w:spacing w:line="360" w:lineRule="auto"/>
        <w:ind w:firstLine="420" w:firstLineChars="200"/>
        <w:rPr>
          <w:rFonts w:ascii="宋体" w:hAnsi="宋体" w:cs="宋体"/>
          <w:color w:val="auto"/>
        </w:rPr>
      </w:pPr>
      <w:r>
        <w:rPr>
          <w:rFonts w:hint="eastAsia" w:ascii="宋体" w:hAnsi="宋体" w:cs="宋体"/>
          <w:color w:val="auto"/>
        </w:rPr>
        <w:t>（以下无正文）</w:t>
      </w:r>
    </w:p>
    <w:p w14:paraId="002074F5">
      <w:pPr>
        <w:autoSpaceDN w:val="0"/>
        <w:spacing w:line="360" w:lineRule="auto"/>
        <w:ind w:firstLine="420" w:firstLineChars="200"/>
        <w:rPr>
          <w:rFonts w:hint="eastAsia" w:ascii="宋体" w:hAnsi="宋体" w:cs="宋体"/>
          <w:color w:val="auto"/>
          <w:szCs w:val="28"/>
        </w:rPr>
      </w:pPr>
    </w:p>
    <w:p w14:paraId="719B2EDC">
      <w:pPr>
        <w:autoSpaceDN w:val="0"/>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color w:val="auto"/>
          <w:szCs w:val="24"/>
          <w:lang w:val="en-US" w:eastAsia="zh-CN"/>
        </w:rPr>
        <w:t>河南浩德龙瑞置业有限公司</w:t>
      </w:r>
      <w:r>
        <w:rPr>
          <w:rFonts w:ascii="宋体" w:hAnsi="宋体" w:cs="宋体"/>
          <w:color w:val="auto"/>
          <w:szCs w:val="24"/>
        </w:rPr>
        <w:t xml:space="preserve">    </w:t>
      </w:r>
      <w:r>
        <w:rPr>
          <w:rFonts w:hint="eastAsia" w:ascii="宋体" w:hAnsi="宋体"/>
          <w:color w:val="auto"/>
          <w:szCs w:val="24"/>
        </w:rPr>
        <w:t>乙方（盖章）：</w:t>
      </w:r>
      <w:r>
        <w:rPr>
          <w:rFonts w:hint="eastAsia" w:ascii="宋体" w:hAnsi="宋体" w:eastAsia="宋体" w:cs="宋体"/>
          <w:b w:val="0"/>
          <w:bCs w:val="0"/>
          <w:color w:val="auto"/>
          <w:sz w:val="21"/>
          <w:szCs w:val="24"/>
          <w:u w:val="none"/>
        </w:rPr>
        <w:t>洛阳闹贝房地产经纪有限公司</w:t>
      </w:r>
      <w:r>
        <w:rPr>
          <w:rFonts w:hint="eastAsia" w:ascii="宋体" w:hAnsi="宋体" w:eastAsia="宋体" w:cs="宋体"/>
          <w:b w:val="0"/>
          <w:color w:val="auto"/>
          <w:szCs w:val="24"/>
        </w:rPr>
        <w:t xml:space="preserve">  </w:t>
      </w:r>
    </w:p>
    <w:p w14:paraId="55B7DA5C">
      <w:pPr>
        <w:autoSpaceDN w:val="0"/>
        <w:spacing w:line="360" w:lineRule="auto"/>
        <w:ind w:firstLine="420" w:firstLineChars="200"/>
        <w:rPr>
          <w:rFonts w:hint="eastAsia" w:ascii="宋体" w:hAnsi="宋体"/>
          <w:color w:val="auto"/>
          <w:szCs w:val="24"/>
        </w:rPr>
      </w:pPr>
    </w:p>
    <w:p w14:paraId="6F0968A8">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eastAsia="宋体" w:cs="宋体"/>
          <w:bCs/>
          <w:color w:val="auto"/>
          <w:szCs w:val="24"/>
          <w:u w:val="single"/>
          <w:lang w:eastAsia="zh-CN"/>
        </w:rPr>
        <w:t>2025</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cs="宋体"/>
          <w:bCs/>
          <w:color w:val="auto"/>
          <w:szCs w:val="24"/>
          <w:u w:val="single"/>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eastAsia="宋体" w:cs="宋体"/>
          <w:bCs/>
          <w:color w:val="auto"/>
          <w:szCs w:val="24"/>
          <w:u w:val="single"/>
          <w:lang w:eastAsia="zh-CN"/>
        </w:rPr>
        <w:t>2025</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eastAsia="宋体" w:cs="宋体"/>
          <w:bCs/>
          <w:color w:val="auto"/>
          <w:szCs w:val="24"/>
          <w:u w:val="single"/>
          <w:lang w:val="en-US" w:eastAsia="zh-CN"/>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14:paraId="61CD35F8">
      <w:pPr>
        <w:pStyle w:val="2"/>
        <w:rPr>
          <w:rFonts w:asciiTheme="minorEastAsia" w:hAnsiTheme="minorEastAsia" w:eastAsiaTheme="minorEastAsia" w:cstheme="minorEastAsia"/>
          <w:color w:val="auto"/>
          <w:sz w:val="25"/>
          <w:szCs w:val="25"/>
        </w:rPr>
      </w:pPr>
    </w:p>
    <w:p w14:paraId="52EFC5DC">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color w:val="auto"/>
        </w:rPr>
      </w:pPr>
      <w:r>
        <w:rPr>
          <w:rFonts w:hint="eastAsia" w:ascii="宋体" w:hAnsi="宋体" w:eastAsia="宋体" w:cs="宋体"/>
          <w:b/>
          <w:color w:val="auto"/>
        </w:rPr>
        <w:t>附件</w:t>
      </w:r>
      <w:r>
        <w:rPr>
          <w:rFonts w:hint="eastAsia" w:ascii="宋体" w:hAnsi="宋体" w:eastAsia="宋体" w:cs="宋体"/>
          <w:b/>
          <w:color w:val="auto"/>
          <w:lang w:val="en-US" w:eastAsia="zh-CN"/>
        </w:rPr>
        <w:t>6</w:t>
      </w:r>
      <w:r>
        <w:rPr>
          <w:rFonts w:hint="eastAsia" w:ascii="宋体" w:hAnsi="宋体" w:eastAsia="宋体" w:cs="宋体"/>
          <w:b/>
          <w:color w:val="auto"/>
        </w:rPr>
        <w:t>：本项目置业顾问清单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14:paraId="5383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7BBD36CB">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序号</w:t>
            </w:r>
          </w:p>
        </w:tc>
        <w:tc>
          <w:tcPr>
            <w:tcW w:w="1713" w:type="dxa"/>
          </w:tcPr>
          <w:p w14:paraId="7111EEA4">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姓名</w:t>
            </w:r>
          </w:p>
        </w:tc>
        <w:tc>
          <w:tcPr>
            <w:tcW w:w="2493" w:type="dxa"/>
          </w:tcPr>
          <w:p w14:paraId="2A83C657">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手机号</w:t>
            </w:r>
          </w:p>
        </w:tc>
        <w:tc>
          <w:tcPr>
            <w:tcW w:w="3346" w:type="dxa"/>
          </w:tcPr>
          <w:p w14:paraId="2A37D909">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身份证</w:t>
            </w:r>
          </w:p>
        </w:tc>
      </w:tr>
      <w:tr w14:paraId="09E2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4A499487">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1</w:t>
            </w:r>
          </w:p>
        </w:tc>
        <w:tc>
          <w:tcPr>
            <w:tcW w:w="1713" w:type="dxa"/>
          </w:tcPr>
          <w:p w14:paraId="04F9954F">
            <w:pPr>
              <w:tabs>
                <w:tab w:val="left" w:pos="0"/>
              </w:tabs>
              <w:overflowPunct w:val="0"/>
              <w:spacing w:line="360" w:lineRule="auto"/>
              <w:jc w:val="center"/>
              <w:rPr>
                <w:rFonts w:ascii="宋体" w:hAnsi="宋体" w:eastAsia="宋体" w:cs="宋体"/>
                <w:b/>
                <w:color w:val="auto"/>
              </w:rPr>
            </w:pPr>
          </w:p>
        </w:tc>
        <w:tc>
          <w:tcPr>
            <w:tcW w:w="2493" w:type="dxa"/>
          </w:tcPr>
          <w:p w14:paraId="298A8EBF">
            <w:pPr>
              <w:tabs>
                <w:tab w:val="left" w:pos="0"/>
              </w:tabs>
              <w:overflowPunct w:val="0"/>
              <w:spacing w:line="360" w:lineRule="auto"/>
              <w:jc w:val="center"/>
              <w:rPr>
                <w:rFonts w:ascii="宋体" w:hAnsi="宋体" w:eastAsia="宋体" w:cs="宋体"/>
                <w:b/>
                <w:color w:val="auto"/>
              </w:rPr>
            </w:pPr>
          </w:p>
        </w:tc>
        <w:tc>
          <w:tcPr>
            <w:tcW w:w="3346" w:type="dxa"/>
          </w:tcPr>
          <w:p w14:paraId="1D9DC060">
            <w:pPr>
              <w:tabs>
                <w:tab w:val="left" w:pos="0"/>
              </w:tabs>
              <w:overflowPunct w:val="0"/>
              <w:spacing w:line="360" w:lineRule="auto"/>
              <w:jc w:val="center"/>
              <w:rPr>
                <w:rFonts w:ascii="宋体" w:hAnsi="宋体" w:eastAsia="宋体" w:cs="宋体"/>
                <w:b/>
                <w:color w:val="auto"/>
              </w:rPr>
            </w:pPr>
          </w:p>
        </w:tc>
      </w:tr>
      <w:tr w14:paraId="2939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D1C4906">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2</w:t>
            </w:r>
          </w:p>
        </w:tc>
        <w:tc>
          <w:tcPr>
            <w:tcW w:w="1713" w:type="dxa"/>
          </w:tcPr>
          <w:p w14:paraId="5EEA0A0A">
            <w:pPr>
              <w:tabs>
                <w:tab w:val="left" w:pos="0"/>
              </w:tabs>
              <w:overflowPunct w:val="0"/>
              <w:spacing w:line="360" w:lineRule="auto"/>
              <w:jc w:val="center"/>
              <w:rPr>
                <w:rFonts w:ascii="宋体" w:hAnsi="宋体" w:eastAsia="宋体" w:cs="宋体"/>
                <w:b/>
                <w:color w:val="auto"/>
              </w:rPr>
            </w:pPr>
          </w:p>
        </w:tc>
        <w:tc>
          <w:tcPr>
            <w:tcW w:w="2493" w:type="dxa"/>
          </w:tcPr>
          <w:p w14:paraId="3AEB93E6">
            <w:pPr>
              <w:tabs>
                <w:tab w:val="left" w:pos="0"/>
              </w:tabs>
              <w:overflowPunct w:val="0"/>
              <w:spacing w:line="360" w:lineRule="auto"/>
              <w:jc w:val="center"/>
              <w:rPr>
                <w:rFonts w:ascii="宋体" w:hAnsi="宋体" w:eastAsia="宋体" w:cs="宋体"/>
                <w:b/>
                <w:color w:val="auto"/>
              </w:rPr>
            </w:pPr>
          </w:p>
        </w:tc>
        <w:tc>
          <w:tcPr>
            <w:tcW w:w="3346" w:type="dxa"/>
          </w:tcPr>
          <w:p w14:paraId="3065109D">
            <w:pPr>
              <w:tabs>
                <w:tab w:val="left" w:pos="0"/>
              </w:tabs>
              <w:overflowPunct w:val="0"/>
              <w:spacing w:line="360" w:lineRule="auto"/>
              <w:jc w:val="center"/>
              <w:rPr>
                <w:rFonts w:ascii="宋体" w:hAnsi="宋体" w:eastAsia="宋体" w:cs="宋体"/>
                <w:b/>
                <w:color w:val="auto"/>
              </w:rPr>
            </w:pPr>
          </w:p>
        </w:tc>
      </w:tr>
      <w:tr w14:paraId="272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5FD5F6E">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3</w:t>
            </w:r>
          </w:p>
        </w:tc>
        <w:tc>
          <w:tcPr>
            <w:tcW w:w="1713" w:type="dxa"/>
          </w:tcPr>
          <w:p w14:paraId="7956992D">
            <w:pPr>
              <w:tabs>
                <w:tab w:val="left" w:pos="0"/>
              </w:tabs>
              <w:overflowPunct w:val="0"/>
              <w:spacing w:line="360" w:lineRule="auto"/>
              <w:jc w:val="center"/>
              <w:rPr>
                <w:rFonts w:ascii="宋体" w:hAnsi="宋体" w:eastAsia="宋体" w:cs="宋体"/>
                <w:b/>
                <w:color w:val="auto"/>
              </w:rPr>
            </w:pPr>
          </w:p>
        </w:tc>
        <w:tc>
          <w:tcPr>
            <w:tcW w:w="2493" w:type="dxa"/>
          </w:tcPr>
          <w:p w14:paraId="3AAB0700">
            <w:pPr>
              <w:tabs>
                <w:tab w:val="left" w:pos="0"/>
              </w:tabs>
              <w:overflowPunct w:val="0"/>
              <w:spacing w:line="360" w:lineRule="auto"/>
              <w:jc w:val="center"/>
              <w:rPr>
                <w:rFonts w:ascii="宋体" w:hAnsi="宋体" w:eastAsia="宋体" w:cs="宋体"/>
                <w:b/>
                <w:color w:val="auto"/>
              </w:rPr>
            </w:pPr>
          </w:p>
        </w:tc>
        <w:tc>
          <w:tcPr>
            <w:tcW w:w="3346" w:type="dxa"/>
          </w:tcPr>
          <w:p w14:paraId="109A81C2">
            <w:pPr>
              <w:tabs>
                <w:tab w:val="left" w:pos="0"/>
              </w:tabs>
              <w:overflowPunct w:val="0"/>
              <w:spacing w:line="360" w:lineRule="auto"/>
              <w:jc w:val="center"/>
              <w:rPr>
                <w:rFonts w:ascii="宋体" w:hAnsi="宋体" w:eastAsia="宋体" w:cs="宋体"/>
                <w:b/>
                <w:color w:val="auto"/>
              </w:rPr>
            </w:pPr>
          </w:p>
        </w:tc>
      </w:tr>
      <w:tr w14:paraId="5FD1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16C5F160">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4</w:t>
            </w:r>
          </w:p>
        </w:tc>
        <w:tc>
          <w:tcPr>
            <w:tcW w:w="1713" w:type="dxa"/>
          </w:tcPr>
          <w:p w14:paraId="75B38067">
            <w:pPr>
              <w:tabs>
                <w:tab w:val="left" w:pos="0"/>
              </w:tabs>
              <w:overflowPunct w:val="0"/>
              <w:spacing w:line="360" w:lineRule="auto"/>
              <w:jc w:val="center"/>
              <w:rPr>
                <w:rFonts w:ascii="宋体" w:hAnsi="宋体" w:eastAsia="宋体" w:cs="宋体"/>
                <w:b/>
                <w:color w:val="auto"/>
              </w:rPr>
            </w:pPr>
          </w:p>
        </w:tc>
        <w:tc>
          <w:tcPr>
            <w:tcW w:w="2493" w:type="dxa"/>
          </w:tcPr>
          <w:p w14:paraId="081ED2C5">
            <w:pPr>
              <w:tabs>
                <w:tab w:val="left" w:pos="0"/>
              </w:tabs>
              <w:overflowPunct w:val="0"/>
              <w:spacing w:line="360" w:lineRule="auto"/>
              <w:jc w:val="center"/>
              <w:rPr>
                <w:rFonts w:ascii="宋体" w:hAnsi="宋体" w:eastAsia="宋体" w:cs="宋体"/>
                <w:b/>
                <w:color w:val="auto"/>
              </w:rPr>
            </w:pPr>
          </w:p>
        </w:tc>
        <w:tc>
          <w:tcPr>
            <w:tcW w:w="3346" w:type="dxa"/>
          </w:tcPr>
          <w:p w14:paraId="61005A1B">
            <w:pPr>
              <w:tabs>
                <w:tab w:val="left" w:pos="0"/>
              </w:tabs>
              <w:overflowPunct w:val="0"/>
              <w:spacing w:line="360" w:lineRule="auto"/>
              <w:jc w:val="center"/>
              <w:rPr>
                <w:rFonts w:ascii="宋体" w:hAnsi="宋体" w:eastAsia="宋体" w:cs="宋体"/>
                <w:b/>
                <w:color w:val="auto"/>
              </w:rPr>
            </w:pPr>
          </w:p>
        </w:tc>
      </w:tr>
      <w:tr w14:paraId="7345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DF08EC5">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5</w:t>
            </w:r>
          </w:p>
        </w:tc>
        <w:tc>
          <w:tcPr>
            <w:tcW w:w="1713" w:type="dxa"/>
          </w:tcPr>
          <w:p w14:paraId="61CE176B">
            <w:pPr>
              <w:tabs>
                <w:tab w:val="left" w:pos="0"/>
              </w:tabs>
              <w:overflowPunct w:val="0"/>
              <w:spacing w:line="360" w:lineRule="auto"/>
              <w:jc w:val="center"/>
              <w:rPr>
                <w:rFonts w:ascii="宋体" w:hAnsi="宋体" w:eastAsia="宋体" w:cs="宋体"/>
                <w:b/>
                <w:color w:val="auto"/>
              </w:rPr>
            </w:pPr>
          </w:p>
        </w:tc>
        <w:tc>
          <w:tcPr>
            <w:tcW w:w="2493" w:type="dxa"/>
          </w:tcPr>
          <w:p w14:paraId="19894F14">
            <w:pPr>
              <w:tabs>
                <w:tab w:val="left" w:pos="0"/>
              </w:tabs>
              <w:overflowPunct w:val="0"/>
              <w:spacing w:line="360" w:lineRule="auto"/>
              <w:jc w:val="center"/>
              <w:rPr>
                <w:rFonts w:ascii="宋体" w:hAnsi="宋体" w:eastAsia="宋体" w:cs="宋体"/>
                <w:b/>
                <w:color w:val="auto"/>
              </w:rPr>
            </w:pPr>
          </w:p>
        </w:tc>
        <w:tc>
          <w:tcPr>
            <w:tcW w:w="3346" w:type="dxa"/>
          </w:tcPr>
          <w:p w14:paraId="3D80321E">
            <w:pPr>
              <w:tabs>
                <w:tab w:val="left" w:pos="0"/>
              </w:tabs>
              <w:overflowPunct w:val="0"/>
              <w:spacing w:line="360" w:lineRule="auto"/>
              <w:jc w:val="center"/>
              <w:rPr>
                <w:rFonts w:ascii="宋体" w:hAnsi="宋体" w:eastAsia="宋体" w:cs="宋体"/>
                <w:b/>
                <w:color w:val="auto"/>
              </w:rPr>
            </w:pPr>
          </w:p>
        </w:tc>
      </w:tr>
      <w:tr w14:paraId="37B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AAC181F">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6</w:t>
            </w:r>
          </w:p>
        </w:tc>
        <w:tc>
          <w:tcPr>
            <w:tcW w:w="1713" w:type="dxa"/>
          </w:tcPr>
          <w:p w14:paraId="7467DB9B">
            <w:pPr>
              <w:tabs>
                <w:tab w:val="left" w:pos="0"/>
              </w:tabs>
              <w:overflowPunct w:val="0"/>
              <w:spacing w:line="360" w:lineRule="auto"/>
              <w:jc w:val="center"/>
              <w:rPr>
                <w:rFonts w:ascii="宋体" w:hAnsi="宋体" w:eastAsia="宋体" w:cs="宋体"/>
                <w:b/>
                <w:color w:val="auto"/>
              </w:rPr>
            </w:pPr>
          </w:p>
        </w:tc>
        <w:tc>
          <w:tcPr>
            <w:tcW w:w="2493" w:type="dxa"/>
          </w:tcPr>
          <w:p w14:paraId="1B4C0099">
            <w:pPr>
              <w:tabs>
                <w:tab w:val="left" w:pos="0"/>
              </w:tabs>
              <w:overflowPunct w:val="0"/>
              <w:spacing w:line="360" w:lineRule="auto"/>
              <w:jc w:val="center"/>
              <w:rPr>
                <w:rFonts w:ascii="宋体" w:hAnsi="宋体" w:eastAsia="宋体" w:cs="宋体"/>
                <w:b/>
                <w:color w:val="auto"/>
              </w:rPr>
            </w:pPr>
          </w:p>
        </w:tc>
        <w:tc>
          <w:tcPr>
            <w:tcW w:w="3346" w:type="dxa"/>
          </w:tcPr>
          <w:p w14:paraId="4F73FB60">
            <w:pPr>
              <w:tabs>
                <w:tab w:val="left" w:pos="0"/>
              </w:tabs>
              <w:overflowPunct w:val="0"/>
              <w:spacing w:line="360" w:lineRule="auto"/>
              <w:jc w:val="center"/>
              <w:rPr>
                <w:rFonts w:ascii="宋体" w:hAnsi="宋体" w:eastAsia="宋体" w:cs="宋体"/>
                <w:b/>
                <w:color w:val="auto"/>
              </w:rPr>
            </w:pPr>
          </w:p>
        </w:tc>
      </w:tr>
    </w:tbl>
    <w:p w14:paraId="762DAC09">
      <w:pPr>
        <w:keepNext/>
        <w:widowControl w:val="0"/>
        <w:adjustRightInd/>
        <w:spacing w:before="272"/>
        <w:ind w:left="84"/>
        <w:rPr>
          <w:rFonts w:asciiTheme="minorEastAsia" w:hAnsiTheme="minorEastAsia" w:eastAsiaTheme="minorEastAsia" w:cstheme="minorEastAsia"/>
          <w:color w:val="auto"/>
          <w:spacing w:val="-10"/>
          <w:sz w:val="25"/>
          <w:szCs w:val="25"/>
        </w:rPr>
      </w:pPr>
    </w:p>
    <w:p w14:paraId="6F3FEDED">
      <w:pPr>
        <w:pStyle w:val="2"/>
        <w:rPr>
          <w:color w:val="auto"/>
        </w:rPr>
      </w:pPr>
    </w:p>
    <w:p w14:paraId="17003974">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附件</w:t>
      </w:r>
      <w:r>
        <w:rPr>
          <w:rFonts w:hint="eastAsia" w:ascii="宋体" w:hAnsi="宋体" w:eastAsia="宋体" w:cs="宋体"/>
          <w:b/>
          <w:color w:val="auto"/>
          <w:lang w:val="en-US" w:eastAsia="zh-CN"/>
        </w:rPr>
        <w:t>7</w:t>
      </w:r>
      <w:r>
        <w:rPr>
          <w:rFonts w:hint="eastAsia" w:ascii="宋体" w:hAnsi="宋体" w:eastAsia="宋体" w:cs="宋体"/>
          <w:b/>
          <w:color w:val="auto"/>
        </w:rPr>
        <w:t>：带看单信息及确认的示例参考界面，具体以实际确认时带看单界面及流程为准。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14:paraId="77C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B997D53">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项目名称</w:t>
            </w:r>
          </w:p>
        </w:tc>
        <w:tc>
          <w:tcPr>
            <w:tcW w:w="6051" w:type="dxa"/>
            <w:gridSpan w:val="3"/>
          </w:tcPr>
          <w:p w14:paraId="319A6467">
            <w:pPr>
              <w:tabs>
                <w:tab w:val="left" w:pos="0"/>
              </w:tabs>
              <w:overflowPunct w:val="0"/>
              <w:spacing w:line="360" w:lineRule="auto"/>
              <w:rPr>
                <w:rFonts w:ascii="宋体" w:hAnsi="宋体" w:eastAsia="宋体" w:cs="宋体"/>
                <w:b/>
                <w:color w:val="auto"/>
              </w:rPr>
            </w:pPr>
          </w:p>
        </w:tc>
      </w:tr>
      <w:tr w14:paraId="7F08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2CFEBDE">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报备时间</w:t>
            </w:r>
          </w:p>
        </w:tc>
        <w:tc>
          <w:tcPr>
            <w:tcW w:w="1804" w:type="dxa"/>
          </w:tcPr>
          <w:p w14:paraId="1163254B">
            <w:pPr>
              <w:tabs>
                <w:tab w:val="left" w:pos="0"/>
              </w:tabs>
              <w:overflowPunct w:val="0"/>
              <w:spacing w:line="360" w:lineRule="auto"/>
              <w:rPr>
                <w:rFonts w:ascii="宋体" w:hAnsi="宋体" w:eastAsia="宋体" w:cs="宋体"/>
                <w:b/>
                <w:color w:val="auto"/>
              </w:rPr>
            </w:pPr>
          </w:p>
        </w:tc>
        <w:tc>
          <w:tcPr>
            <w:tcW w:w="2124" w:type="dxa"/>
          </w:tcPr>
          <w:p w14:paraId="5DE63F56">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到访时间</w:t>
            </w:r>
          </w:p>
        </w:tc>
        <w:tc>
          <w:tcPr>
            <w:tcW w:w="2123" w:type="dxa"/>
          </w:tcPr>
          <w:p w14:paraId="3DD8F27B">
            <w:pPr>
              <w:tabs>
                <w:tab w:val="left" w:pos="0"/>
              </w:tabs>
              <w:overflowPunct w:val="0"/>
              <w:spacing w:line="360" w:lineRule="auto"/>
              <w:rPr>
                <w:rFonts w:ascii="宋体" w:hAnsi="宋体" w:eastAsia="宋体" w:cs="宋体"/>
                <w:b/>
                <w:color w:val="auto"/>
              </w:rPr>
            </w:pPr>
          </w:p>
        </w:tc>
      </w:tr>
      <w:tr w14:paraId="5590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3D5DA6CA">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客户姓名</w:t>
            </w:r>
          </w:p>
        </w:tc>
        <w:tc>
          <w:tcPr>
            <w:tcW w:w="1804" w:type="dxa"/>
          </w:tcPr>
          <w:p w14:paraId="6A56F02B">
            <w:pPr>
              <w:tabs>
                <w:tab w:val="left" w:pos="0"/>
              </w:tabs>
              <w:overflowPunct w:val="0"/>
              <w:spacing w:line="360" w:lineRule="auto"/>
              <w:rPr>
                <w:rFonts w:ascii="宋体" w:hAnsi="宋体" w:eastAsia="宋体" w:cs="宋体"/>
                <w:b/>
                <w:color w:val="auto"/>
              </w:rPr>
            </w:pPr>
          </w:p>
        </w:tc>
        <w:tc>
          <w:tcPr>
            <w:tcW w:w="2124" w:type="dxa"/>
          </w:tcPr>
          <w:p w14:paraId="40E84A05">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客户手机</w:t>
            </w:r>
          </w:p>
        </w:tc>
        <w:tc>
          <w:tcPr>
            <w:tcW w:w="2123" w:type="dxa"/>
          </w:tcPr>
          <w:p w14:paraId="3F37DFB7">
            <w:pPr>
              <w:tabs>
                <w:tab w:val="left" w:pos="0"/>
              </w:tabs>
              <w:overflowPunct w:val="0"/>
              <w:spacing w:line="360" w:lineRule="auto"/>
              <w:rPr>
                <w:rFonts w:ascii="宋体" w:hAnsi="宋体" w:eastAsia="宋体" w:cs="宋体"/>
                <w:b/>
                <w:color w:val="auto"/>
              </w:rPr>
            </w:pPr>
          </w:p>
        </w:tc>
      </w:tr>
      <w:tr w14:paraId="385A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6AB89CF1">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推荐人姓名</w:t>
            </w:r>
          </w:p>
        </w:tc>
        <w:tc>
          <w:tcPr>
            <w:tcW w:w="1804" w:type="dxa"/>
          </w:tcPr>
          <w:p w14:paraId="545B4B5F">
            <w:pPr>
              <w:tabs>
                <w:tab w:val="left" w:pos="0"/>
              </w:tabs>
              <w:overflowPunct w:val="0"/>
              <w:spacing w:line="360" w:lineRule="auto"/>
              <w:rPr>
                <w:rFonts w:ascii="宋体" w:hAnsi="宋体" w:eastAsia="宋体" w:cs="宋体"/>
                <w:b/>
                <w:color w:val="auto"/>
              </w:rPr>
            </w:pPr>
          </w:p>
        </w:tc>
        <w:tc>
          <w:tcPr>
            <w:tcW w:w="2124" w:type="dxa"/>
          </w:tcPr>
          <w:p w14:paraId="74EF6796">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推荐人手机</w:t>
            </w:r>
          </w:p>
        </w:tc>
        <w:tc>
          <w:tcPr>
            <w:tcW w:w="2123" w:type="dxa"/>
          </w:tcPr>
          <w:p w14:paraId="0AAD456A">
            <w:pPr>
              <w:tabs>
                <w:tab w:val="left" w:pos="0"/>
              </w:tabs>
              <w:overflowPunct w:val="0"/>
              <w:spacing w:line="360" w:lineRule="auto"/>
              <w:rPr>
                <w:rFonts w:ascii="宋体" w:hAnsi="宋体" w:eastAsia="宋体" w:cs="宋体"/>
                <w:b/>
                <w:color w:val="auto"/>
              </w:rPr>
            </w:pPr>
          </w:p>
        </w:tc>
      </w:tr>
      <w:tr w14:paraId="0AA2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264EE6D">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置业顾问姓名</w:t>
            </w:r>
          </w:p>
        </w:tc>
        <w:tc>
          <w:tcPr>
            <w:tcW w:w="1804" w:type="dxa"/>
          </w:tcPr>
          <w:p w14:paraId="3D80B565">
            <w:pPr>
              <w:tabs>
                <w:tab w:val="left" w:pos="0"/>
              </w:tabs>
              <w:overflowPunct w:val="0"/>
              <w:spacing w:line="360" w:lineRule="auto"/>
              <w:rPr>
                <w:rFonts w:ascii="宋体" w:hAnsi="宋体" w:eastAsia="宋体" w:cs="宋体"/>
                <w:b/>
                <w:color w:val="auto"/>
              </w:rPr>
            </w:pPr>
          </w:p>
        </w:tc>
        <w:tc>
          <w:tcPr>
            <w:tcW w:w="2124" w:type="dxa"/>
          </w:tcPr>
          <w:p w14:paraId="4C82EBE4">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推荐人门店</w:t>
            </w:r>
          </w:p>
        </w:tc>
        <w:tc>
          <w:tcPr>
            <w:tcW w:w="2123" w:type="dxa"/>
          </w:tcPr>
          <w:p w14:paraId="36D53AE0">
            <w:pPr>
              <w:tabs>
                <w:tab w:val="left" w:pos="0"/>
              </w:tabs>
              <w:overflowPunct w:val="0"/>
              <w:spacing w:line="360" w:lineRule="auto"/>
              <w:rPr>
                <w:rFonts w:ascii="宋体" w:hAnsi="宋体" w:eastAsia="宋体" w:cs="宋体"/>
                <w:b/>
                <w:color w:val="auto"/>
              </w:rPr>
            </w:pPr>
          </w:p>
        </w:tc>
      </w:tr>
      <w:tr w14:paraId="32C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7A06674E">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置业顾问手机</w:t>
            </w:r>
          </w:p>
        </w:tc>
        <w:tc>
          <w:tcPr>
            <w:tcW w:w="1804" w:type="dxa"/>
          </w:tcPr>
          <w:p w14:paraId="5A54B0DE">
            <w:pPr>
              <w:tabs>
                <w:tab w:val="left" w:pos="0"/>
              </w:tabs>
              <w:overflowPunct w:val="0"/>
              <w:spacing w:line="360" w:lineRule="auto"/>
              <w:rPr>
                <w:rFonts w:ascii="宋体" w:hAnsi="宋体" w:eastAsia="宋体" w:cs="宋体"/>
                <w:b/>
                <w:color w:val="auto"/>
              </w:rPr>
            </w:pPr>
          </w:p>
        </w:tc>
        <w:tc>
          <w:tcPr>
            <w:tcW w:w="2124" w:type="dxa"/>
          </w:tcPr>
          <w:p w14:paraId="40140492">
            <w:pPr>
              <w:tabs>
                <w:tab w:val="left" w:pos="0"/>
              </w:tabs>
              <w:overflowPunct w:val="0"/>
              <w:spacing w:line="360" w:lineRule="auto"/>
              <w:rPr>
                <w:rFonts w:ascii="宋体" w:hAnsi="宋体" w:eastAsia="宋体" w:cs="宋体"/>
                <w:b/>
                <w:color w:val="auto"/>
              </w:rPr>
            </w:pPr>
          </w:p>
        </w:tc>
        <w:tc>
          <w:tcPr>
            <w:tcW w:w="2123" w:type="dxa"/>
          </w:tcPr>
          <w:p w14:paraId="73F31DCE">
            <w:pPr>
              <w:tabs>
                <w:tab w:val="left" w:pos="0"/>
              </w:tabs>
              <w:overflowPunct w:val="0"/>
              <w:spacing w:line="360" w:lineRule="auto"/>
              <w:rPr>
                <w:rFonts w:ascii="宋体" w:hAnsi="宋体" w:eastAsia="宋体" w:cs="宋体"/>
                <w:b/>
                <w:color w:val="auto"/>
              </w:rPr>
            </w:pPr>
          </w:p>
        </w:tc>
      </w:tr>
      <w:tr w14:paraId="76FD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14:paraId="032826D2">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备注：</w:t>
            </w:r>
          </w:p>
          <w:p w14:paraId="2898ED06">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本登记单为贝壳渠道带看确认单，如客户到访，请确认所填信息的准确性。本确认单为线上签字，具有法律效力。</w:t>
            </w:r>
          </w:p>
        </w:tc>
      </w:tr>
    </w:tbl>
    <w:p w14:paraId="476BBFDF">
      <w:pPr>
        <w:tabs>
          <w:tab w:val="left" w:pos="0"/>
        </w:tabs>
        <w:overflowPunct w:val="0"/>
        <w:spacing w:line="360" w:lineRule="auto"/>
        <w:ind w:firstLine="422" w:firstLineChars="200"/>
        <w:rPr>
          <w:rFonts w:ascii="宋体" w:hAnsi="宋体" w:eastAsia="宋体" w:cs="宋体"/>
          <w:b/>
          <w:color w:val="auto"/>
        </w:rPr>
      </w:pPr>
    </w:p>
    <w:p w14:paraId="6A0A906A">
      <w:pPr>
        <w:pStyle w:val="2"/>
        <w:spacing w:line="360" w:lineRule="auto"/>
        <w:ind w:left="0" w:leftChars="0"/>
        <w:rPr>
          <w:color w:val="auto"/>
        </w:rPr>
      </w:pPr>
    </w:p>
    <w:p w14:paraId="3D952C18">
      <w:pPr>
        <w:tabs>
          <w:tab w:val="left" w:pos="0"/>
        </w:tabs>
        <w:overflowPunct w:val="0"/>
        <w:spacing w:line="360" w:lineRule="auto"/>
        <w:ind w:firstLine="422" w:firstLineChars="200"/>
        <w:rPr>
          <w:rFonts w:ascii="宋体" w:hAnsi="宋体" w:eastAsia="宋体" w:cs="宋体"/>
          <w:b/>
          <w:color w:val="auto"/>
        </w:rPr>
      </w:pPr>
      <w:r>
        <w:rPr>
          <w:rFonts w:hint="eastAsia" w:ascii="宋体" w:hAnsi="宋体" w:eastAsia="宋体" w:cs="宋体"/>
          <w:b/>
          <w:color w:val="auto"/>
        </w:rPr>
        <w:t>置业顾问：                        授权代表签字：</w:t>
      </w:r>
    </w:p>
    <w:p w14:paraId="0D4D8011">
      <w:pPr>
        <w:pStyle w:val="2"/>
        <w:ind w:left="0" w:leftChars="0" w:firstLine="0" w:firstLineChars="0"/>
        <w:rPr>
          <w:rFonts w:ascii="宋体" w:hAnsi="宋体" w:eastAsia="宋体" w:cs="宋体"/>
          <w:b/>
          <w:color w:val="auto"/>
        </w:rPr>
      </w:pPr>
    </w:p>
    <w:p w14:paraId="1D9D48AA">
      <w:pPr>
        <w:pStyle w:val="5"/>
        <w:rPr>
          <w:color w:val="auto"/>
        </w:rPr>
      </w:pPr>
    </w:p>
    <w:p w14:paraId="28D04B0B">
      <w:pPr>
        <w:keepNext/>
        <w:widowControl w:val="0"/>
        <w:adjustRightInd/>
        <w:rPr>
          <w:rFonts w:asciiTheme="minorEastAsia" w:hAnsiTheme="minorEastAsia" w:eastAsiaTheme="minorEastAsia" w:cstheme="minorEastAsia"/>
          <w:color w:val="auto"/>
          <w:spacing w:val="-9"/>
          <w:sz w:val="25"/>
          <w:szCs w:val="25"/>
        </w:rPr>
        <w:sectPr>
          <w:footerReference r:id="rId5" w:type="default"/>
          <w:pgSz w:w="11900" w:h="16830"/>
          <w:pgMar w:top="1417" w:right="1417" w:bottom="1417" w:left="1417" w:header="0" w:footer="814" w:gutter="0"/>
          <w:cols w:space="720" w:num="1"/>
        </w:sectPr>
      </w:pPr>
    </w:p>
    <w:p w14:paraId="0C3A9F5C">
      <w:pPr>
        <w:keepNext/>
        <w:widowControl w:val="0"/>
        <w:adjustRightInd/>
        <w:spacing w:before="42"/>
        <w:rPr>
          <w:rFonts w:asciiTheme="minorEastAsia" w:hAnsiTheme="minorEastAsia" w:eastAsiaTheme="minorEastAsia" w:cstheme="minorEastAsia"/>
          <w:color w:val="auto"/>
          <w:sz w:val="25"/>
          <w:szCs w:val="25"/>
        </w:rPr>
      </w:pPr>
    </w:p>
    <w:sectPr>
      <w:footerReference r:id="rId6" w:type="default"/>
      <w:type w:val="continuous"/>
      <w:pgSz w:w="11900" w:h="16830"/>
      <w:pgMar w:top="1417" w:right="1417" w:bottom="1417" w:left="1417" w:header="0" w:footer="829" w:gutter="0"/>
      <w:cols w:equalWidth="0" w:num="2">
        <w:col w:w="4126" w:space="100"/>
        <w:col w:w="484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大圆子" w:date="2024-12-26T09:30:53Z" w:initials="">
    <w:p w14:paraId="1C354BCE">
      <w:pPr>
        <w:pStyle w:val="4"/>
        <w:rPr>
          <w:rFonts w:hint="default" w:eastAsia="宋体"/>
          <w:lang w:val="en-US" w:eastAsia="zh-CN"/>
        </w:rPr>
      </w:pPr>
      <w:r>
        <w:rPr>
          <w:rFonts w:hint="eastAsia" w:eastAsia="宋体"/>
          <w:lang w:val="en-US" w:eastAsia="zh-CN"/>
        </w:rPr>
        <w:t>到访保护期上下约定不一致，上面条款约定的30日。</w:t>
      </w:r>
    </w:p>
  </w:comment>
  <w:comment w:id="1" w:author="大圆子" w:date="2024-12-30T09:05:42Z" w:initials="">
    <w:p w14:paraId="449D6FFD">
      <w:pPr>
        <w:pStyle w:val="4"/>
        <w:rPr>
          <w:rFonts w:hint="default" w:eastAsia="宋体"/>
          <w:lang w:val="en-US" w:eastAsia="zh-CN"/>
        </w:rPr>
      </w:pPr>
      <w:r>
        <w:rPr>
          <w:rFonts w:hint="eastAsia" w:eastAsia="宋体"/>
          <w:lang w:val="en-US" w:eastAsia="zh-CN"/>
        </w:rPr>
        <w:t>需核实该邮箱及微信使用人员是否为贾红杰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354BCE" w15:done="0"/>
  <w15:commentEx w15:paraId="449D6F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95FE">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D30CB">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7D0D30CB">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3040">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9760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02B9760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Q5Y2MwYTUzOWExZWRkYjY1YmQxZWIxZjM1ODgifQ=="/>
    <w:docVar w:name="KSO_WPS_MARK_KEY" w:val="00b1c3bd-4116-4f8e-bdc7-0653698f2aa6"/>
  </w:docVars>
  <w:rsids>
    <w:rsidRoot w:val="00AE3D98"/>
    <w:rsid w:val="0063552C"/>
    <w:rsid w:val="006836D3"/>
    <w:rsid w:val="009F0546"/>
    <w:rsid w:val="00AE3D98"/>
    <w:rsid w:val="00B33FE7"/>
    <w:rsid w:val="00BE6392"/>
    <w:rsid w:val="00F021E4"/>
    <w:rsid w:val="0369266B"/>
    <w:rsid w:val="04357D70"/>
    <w:rsid w:val="045D1075"/>
    <w:rsid w:val="04DF1A8A"/>
    <w:rsid w:val="05E76E48"/>
    <w:rsid w:val="063B3638"/>
    <w:rsid w:val="07373DFF"/>
    <w:rsid w:val="07B216D8"/>
    <w:rsid w:val="07E4308F"/>
    <w:rsid w:val="08A74FB5"/>
    <w:rsid w:val="091B541D"/>
    <w:rsid w:val="099E75C3"/>
    <w:rsid w:val="09B82EE0"/>
    <w:rsid w:val="09F1168A"/>
    <w:rsid w:val="0A14667A"/>
    <w:rsid w:val="0A9B28F7"/>
    <w:rsid w:val="0B0B3924"/>
    <w:rsid w:val="0D196BD7"/>
    <w:rsid w:val="0E84127D"/>
    <w:rsid w:val="10816CDF"/>
    <w:rsid w:val="10AA3894"/>
    <w:rsid w:val="10C02B10"/>
    <w:rsid w:val="10E634CA"/>
    <w:rsid w:val="113A6F91"/>
    <w:rsid w:val="11C3747E"/>
    <w:rsid w:val="123E21E9"/>
    <w:rsid w:val="12483364"/>
    <w:rsid w:val="13274D28"/>
    <w:rsid w:val="136C3083"/>
    <w:rsid w:val="13857B7F"/>
    <w:rsid w:val="145A5CF4"/>
    <w:rsid w:val="14DE3B0C"/>
    <w:rsid w:val="153656F6"/>
    <w:rsid w:val="15BC5DBF"/>
    <w:rsid w:val="16113A6D"/>
    <w:rsid w:val="182757CA"/>
    <w:rsid w:val="18DC65B5"/>
    <w:rsid w:val="19353F17"/>
    <w:rsid w:val="19770D9E"/>
    <w:rsid w:val="1A275E1A"/>
    <w:rsid w:val="1A283D75"/>
    <w:rsid w:val="1A7607A9"/>
    <w:rsid w:val="1B831F6C"/>
    <w:rsid w:val="1E443ABD"/>
    <w:rsid w:val="212B57EF"/>
    <w:rsid w:val="21EF675B"/>
    <w:rsid w:val="239301B8"/>
    <w:rsid w:val="24F5112A"/>
    <w:rsid w:val="2536789D"/>
    <w:rsid w:val="261F3E40"/>
    <w:rsid w:val="263B7010"/>
    <w:rsid w:val="2751058E"/>
    <w:rsid w:val="282E2A25"/>
    <w:rsid w:val="28493F0C"/>
    <w:rsid w:val="289B1FE8"/>
    <w:rsid w:val="29064F88"/>
    <w:rsid w:val="29DE3D0C"/>
    <w:rsid w:val="2A4144C9"/>
    <w:rsid w:val="2A93613F"/>
    <w:rsid w:val="2B1256CB"/>
    <w:rsid w:val="2B65423D"/>
    <w:rsid w:val="2C363DD6"/>
    <w:rsid w:val="2C996BA3"/>
    <w:rsid w:val="2D8F684C"/>
    <w:rsid w:val="2DBB2943"/>
    <w:rsid w:val="30297EDA"/>
    <w:rsid w:val="318A7266"/>
    <w:rsid w:val="31D2634F"/>
    <w:rsid w:val="342F1837"/>
    <w:rsid w:val="345D6870"/>
    <w:rsid w:val="346A4072"/>
    <w:rsid w:val="34C87A62"/>
    <w:rsid w:val="358F6C5C"/>
    <w:rsid w:val="35D73F34"/>
    <w:rsid w:val="35F5709E"/>
    <w:rsid w:val="365D65F2"/>
    <w:rsid w:val="36E96615"/>
    <w:rsid w:val="36F823B4"/>
    <w:rsid w:val="39AD02F7"/>
    <w:rsid w:val="39FC36FD"/>
    <w:rsid w:val="3B1B0D67"/>
    <w:rsid w:val="3B9D352A"/>
    <w:rsid w:val="3BF46B89"/>
    <w:rsid w:val="3C5B6581"/>
    <w:rsid w:val="3C681D8A"/>
    <w:rsid w:val="3CD4741F"/>
    <w:rsid w:val="3DE07282"/>
    <w:rsid w:val="3ED03C16"/>
    <w:rsid w:val="3ED71A43"/>
    <w:rsid w:val="41DE7D72"/>
    <w:rsid w:val="43122A4F"/>
    <w:rsid w:val="433C61AD"/>
    <w:rsid w:val="44B43D2B"/>
    <w:rsid w:val="44E67CEF"/>
    <w:rsid w:val="45D54DF6"/>
    <w:rsid w:val="463E3B5B"/>
    <w:rsid w:val="46603AD2"/>
    <w:rsid w:val="4732546E"/>
    <w:rsid w:val="4918033A"/>
    <w:rsid w:val="4A190B67"/>
    <w:rsid w:val="4A995804"/>
    <w:rsid w:val="4B533C05"/>
    <w:rsid w:val="4C607508"/>
    <w:rsid w:val="4D80577B"/>
    <w:rsid w:val="4D9250EC"/>
    <w:rsid w:val="4D9C5D37"/>
    <w:rsid w:val="4DA1466C"/>
    <w:rsid w:val="4E0D0AE6"/>
    <w:rsid w:val="4E7D1E1F"/>
    <w:rsid w:val="4E7F5AB0"/>
    <w:rsid w:val="4E8F13F8"/>
    <w:rsid w:val="4F2D052D"/>
    <w:rsid w:val="4F5B17E3"/>
    <w:rsid w:val="50245B70"/>
    <w:rsid w:val="50A53155"/>
    <w:rsid w:val="51026B2E"/>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7FC3469"/>
    <w:rsid w:val="589A2E73"/>
    <w:rsid w:val="5A9210C5"/>
    <w:rsid w:val="5AF50835"/>
    <w:rsid w:val="5AF51CF5"/>
    <w:rsid w:val="5AFA1E1F"/>
    <w:rsid w:val="5BB10BFF"/>
    <w:rsid w:val="5C9116AE"/>
    <w:rsid w:val="5D28618E"/>
    <w:rsid w:val="5DCA7D57"/>
    <w:rsid w:val="5E1C0BD4"/>
    <w:rsid w:val="5F987C2B"/>
    <w:rsid w:val="60032B9C"/>
    <w:rsid w:val="60151F74"/>
    <w:rsid w:val="60396BAB"/>
    <w:rsid w:val="605F0EDC"/>
    <w:rsid w:val="609306C5"/>
    <w:rsid w:val="618943CD"/>
    <w:rsid w:val="62444633"/>
    <w:rsid w:val="631F0609"/>
    <w:rsid w:val="63615DDE"/>
    <w:rsid w:val="65A3559F"/>
    <w:rsid w:val="660B3A10"/>
    <w:rsid w:val="6613365E"/>
    <w:rsid w:val="668A4AAB"/>
    <w:rsid w:val="669F3A29"/>
    <w:rsid w:val="69EA352F"/>
    <w:rsid w:val="6AB73438"/>
    <w:rsid w:val="6D0D5EB2"/>
    <w:rsid w:val="6D301BA0"/>
    <w:rsid w:val="6D62377B"/>
    <w:rsid w:val="6D745F31"/>
    <w:rsid w:val="6D905AB8"/>
    <w:rsid w:val="6DDA1CB2"/>
    <w:rsid w:val="6E2F4EA0"/>
    <w:rsid w:val="6E7D2BC3"/>
    <w:rsid w:val="6F5C0A2B"/>
    <w:rsid w:val="70E76A1A"/>
    <w:rsid w:val="71E35433"/>
    <w:rsid w:val="73CF1035"/>
    <w:rsid w:val="752B3379"/>
    <w:rsid w:val="75B94E29"/>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1206"/>
      </w:tabs>
      <w:spacing w:after="0"/>
      <w:ind w:firstLine="420" w:firstLineChars="200"/>
    </w:pPr>
  </w:style>
  <w:style w:type="paragraph" w:styleId="3">
    <w:name w:val="Body Text Indent"/>
    <w:basedOn w:val="1"/>
    <w:autoRedefine/>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next w:val="6"/>
    <w:qFormat/>
    <w:uiPriority w:val="0"/>
    <w:pPr>
      <w:spacing w:line="360" w:lineRule="auto"/>
    </w:pPr>
    <w:rPr>
      <w:rFonts w:cs="Times New Roman"/>
      <w:kern w:val="1"/>
      <w:sz w:val="24"/>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autoRedefine/>
    <w:qFormat/>
    <w:uiPriority w:val="0"/>
    <w:pPr>
      <w:jc w:val="center"/>
    </w:pPr>
    <w:rPr>
      <w:b/>
      <w:sz w:val="28"/>
      <w:szCs w:val="24"/>
    </w:rPr>
  </w:style>
  <w:style w:type="paragraph" w:styleId="8">
    <w:name w:val="footer"/>
    <w:basedOn w:val="1"/>
    <w:autoRedefine/>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autoRedefine/>
    <w:unhideWhenUsed/>
    <w:qFormat/>
    <w:uiPriority w:val="99"/>
    <w:pPr>
      <w:tabs>
        <w:tab w:val="left" w:pos="1206"/>
      </w:tabs>
      <w:spacing w:after="0"/>
      <w:ind w:firstLine="420" w:firstLineChars="200"/>
    </w:pPr>
  </w:style>
  <w:style w:type="paragraph" w:styleId="15">
    <w:name w:val="List Paragraph"/>
    <w:basedOn w:val="1"/>
    <w:autoRedefine/>
    <w:qFormat/>
    <w:uiPriority w:val="34"/>
    <w:pPr>
      <w:ind w:firstLine="420" w:firstLineChars="200"/>
    </w:pPr>
  </w:style>
  <w:style w:type="paragraph" w:customStyle="1" w:styleId="16">
    <w:name w:val="列表段落1"/>
    <w:basedOn w:val="1"/>
    <w:autoRedefine/>
    <w:qFormat/>
    <w:uiPriority w:val="99"/>
    <w:pPr>
      <w:ind w:firstLine="420" w:firstLineChars="200"/>
    </w:pPr>
  </w:style>
  <w:style w:type="paragraph" w:customStyle="1" w:styleId="17">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14429</Words>
  <Characters>15124</Characters>
  <Lines>103</Lines>
  <Paragraphs>29</Paragraphs>
  <TotalTime>16</TotalTime>
  <ScaleCrop>false</ScaleCrop>
  <LinksUpToDate>false</LinksUpToDate>
  <CharactersWithSpaces>15323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大头Monkey</cp:lastModifiedBy>
  <cp:lastPrinted>2023-09-22T01:28:00Z</cp:lastPrinted>
  <dcterms:modified xsi:type="dcterms:W3CDTF">2024-12-30T02:17:17Z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2052-12.1.0.19770</vt:lpwstr>
  </property>
  <property fmtid="{D5CDD505-2E9C-101B-9397-08002B2CF9AE}" pid="6" name="ICV">
    <vt:lpwstr>660B6D1C224043639399B8DE41378CEF_13</vt:lpwstr>
  </property>
  <property fmtid="{D5CDD505-2E9C-101B-9397-08002B2CF9AE}" pid="7" name="KSOTemplateDocerSaveRecord">
    <vt:lpwstr>eyJoZGlkIjoiZDhlOTlmMjVmYzNlYWIyNDlhZGI5YmRlZjk1M2E5MDciLCJ1c2VySWQiOiIyNjY5MDkxMjYifQ==</vt:lpwstr>
  </property>
</Properties>
</file>