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C749">
      <w:pPr>
        <w:kinsoku/>
        <w:autoSpaceDE/>
        <w:autoSpaceDN/>
        <w:adjustRightInd/>
        <w:spacing w:before="117"/>
        <w:ind w:left="0"/>
        <w:jc w:val="center"/>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color w:val="auto"/>
          <w:spacing w:val="-5"/>
          <w:sz w:val="36"/>
          <w:szCs w:val="36"/>
          <w:u w:val="single"/>
          <w:lang w:val="en-US" w:eastAsia="zh-CN"/>
        </w:rPr>
        <w:t>浩德伊河湾</w:t>
      </w:r>
      <w:r>
        <w:rPr>
          <w:rFonts w:hint="eastAsia" w:asciiTheme="minorEastAsia" w:hAnsiTheme="minorEastAsia" w:eastAsiaTheme="minorEastAsia" w:cstheme="minorEastAsia"/>
          <w:b/>
          <w:bCs/>
          <w:color w:val="auto"/>
          <w:spacing w:val="-5"/>
          <w:sz w:val="36"/>
          <w:szCs w:val="36"/>
        </w:rPr>
        <w:t>项目渠道服务合同</w:t>
      </w:r>
    </w:p>
    <w:p w14:paraId="459B6517">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新澜置业有限公司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C34FB65">
      <w:pPr>
        <w:kinsoku/>
        <w:autoSpaceDE/>
        <w:autoSpaceDN/>
        <w:adjustRightInd/>
        <w:spacing w:before="81"/>
        <w:ind w:left="460"/>
        <w:rPr>
          <w:rFonts w:ascii="宋体" w:hAnsi="宋体" w:eastAsia="宋体" w:cs="宋体"/>
          <w:color w:val="auto"/>
          <w:spacing w:val="-12"/>
          <w:position w:val="16"/>
          <w:sz w:val="24"/>
          <w:szCs w:val="24"/>
        </w:rPr>
      </w:pPr>
    </w:p>
    <w:p w14:paraId="68249E9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14:paraId="747BB5E9">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14:paraId="64042B9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甲方系位于洛阳市洛龙区新伊大街</w:t>
      </w:r>
      <w:r>
        <w:rPr>
          <w:rFonts w:hint="eastAsia" w:ascii="宋体" w:hAnsi="宋体" w:eastAsia="宋体" w:cs="宋体"/>
          <w:color w:val="auto"/>
          <w:sz w:val="24"/>
          <w:szCs w:val="24"/>
          <w:lang w:val="en-US" w:eastAsia="zh-CN"/>
        </w:rPr>
        <w:t>浩德伊河湾</w:t>
      </w:r>
      <w:r>
        <w:rPr>
          <w:rFonts w:hint="eastAsia" w:ascii="宋体" w:hAnsi="宋体" w:eastAsia="宋体" w:cs="宋体"/>
          <w:color w:val="auto"/>
          <w:sz w:val="24"/>
          <w:szCs w:val="24"/>
        </w:rPr>
        <w:t>项目(备案名：</w:t>
      </w:r>
      <w:r>
        <w:rPr>
          <w:rFonts w:hint="eastAsia" w:ascii="宋体" w:hAnsi="宋体" w:eastAsia="宋体" w:cs="宋体"/>
          <w:color w:val="auto"/>
          <w:sz w:val="24"/>
          <w:szCs w:val="24"/>
          <w:lang w:val="en-US" w:eastAsia="zh-CN"/>
        </w:rPr>
        <w:t>伊畔湾小区</w:t>
      </w:r>
      <w:r>
        <w:rPr>
          <w:rFonts w:hint="eastAsia" w:ascii="宋体" w:hAnsi="宋体" w:eastAsia="宋体" w:cs="宋体"/>
          <w:color w:val="auto"/>
          <w:sz w:val="24"/>
          <w:szCs w:val="24"/>
        </w:rPr>
        <w:t>)(下称“本项目”)的开发商，现特委托乙方提供本项目的新房渠道服务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本合同中的“渠道”系指乙方</w:t>
      </w:r>
      <w:r>
        <w:rPr>
          <w:rFonts w:hint="eastAsia" w:ascii="宋体" w:hAnsi="宋体" w:eastAsia="宋体" w:cs="宋体"/>
          <w:color w:val="auto"/>
          <w:sz w:val="24"/>
          <w:szCs w:val="24"/>
        </w:rPr>
        <w:t>。</w:t>
      </w:r>
    </w:p>
    <w:p w14:paraId="7843CA0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14:paraId="4F01B04A">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14:paraId="2D12318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14:paraId="40F51A5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14:paraId="3E3661B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14:paraId="64B21D6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14:paraId="77582056">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14:paraId="00188C0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14:paraId="66BF335C">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14:paraId="4FDC3E2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14:paraId="3BA2B19F">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14:paraId="59AD1958">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w:t>
      </w:r>
      <w:r>
        <w:rPr>
          <w:rFonts w:hint="eastAsia" w:ascii="宋体" w:hAnsi="宋体" w:eastAsia="宋体" w:cs="宋体"/>
          <w:color w:val="auto"/>
          <w:sz w:val="24"/>
          <w:szCs w:val="24"/>
          <w:lang w:val="en-US" w:eastAsia="zh-CN"/>
        </w:rPr>
        <w:t>条</w:t>
      </w:r>
      <w:r>
        <w:rPr>
          <w:rFonts w:hint="eastAsia" w:ascii="宋体" w:hAnsi="宋体" w:eastAsia="宋体" w:cs="宋体"/>
          <w:color w:val="auto"/>
          <w:sz w:val="24"/>
          <w:szCs w:val="24"/>
        </w:rPr>
        <w:t>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14:paraId="56C8541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05BF862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0FE08C8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14:paraId="0710B56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14:paraId="2517C6A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4.6客户成功购房后，甲方向乙方提供认购书拍照电子版。</w:t>
      </w:r>
    </w:p>
    <w:p w14:paraId="34AFC96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14:paraId="615D98B0">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郭智鹏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18736329533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33F8C11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客户带看确认书》《成功销售确认单》《对账单明细表》(如实际使用的确客、成销、对账结算文书名称与本合同约定名称不符，以实际使用的文书名称为准，下同)上签字确认。上述文件，甲方对接人签字即有效，甲方变更对接人的，需提前3日书面通知乙方，并在盖章的书面通知中明确新的甲方对接人及签字生效日期。</w:t>
      </w:r>
    </w:p>
    <w:p w14:paraId="260F8CD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14:paraId="63EC0A0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14:paraId="74B50F84">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14:paraId="49BC7ED3">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14:paraId="4DAB01E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14:paraId="4E0C006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14:paraId="3744072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14:paraId="34E9C376">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5.4负责带领客户到甲方售楼部现场，并找甲方项目对接人签字确认《客户带看确认书》</w:t>
      </w:r>
      <w:r>
        <w:rPr>
          <w:rFonts w:hint="eastAsia" w:ascii="宋体" w:hAnsi="宋体" w:eastAsia="宋体" w:cs="宋体"/>
          <w:color w:val="auto"/>
          <w:sz w:val="24"/>
          <w:szCs w:val="24"/>
          <w:lang w:eastAsia="zh-CN"/>
        </w:rPr>
        <w:t>。</w:t>
      </w:r>
    </w:p>
    <w:p w14:paraId="6FA8E7D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5.5负责向甲方对接人提交《客户带看确认书》《成功销售确认单》《对账单明细表》等文件。</w:t>
      </w:r>
    </w:p>
    <w:p w14:paraId="74F7BC9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4992FEA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14:paraId="1FFCD42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14:paraId="2BE8853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14:paraId="75A827B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14:paraId="5BA2242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14:paraId="689613E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14:paraId="7754D78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14:paraId="49456D3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14:paraId="645577F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14:paraId="09B07335">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5.13因客户冲突造成的佣金纠纷，由负责人出面协商解决，若门</w:t>
      </w:r>
      <w:bookmarkStart w:id="6" w:name="_GoBack"/>
      <w:bookmarkEnd w:id="6"/>
      <w:r>
        <w:rPr>
          <w:rFonts w:hint="eastAsia" w:ascii="宋体" w:hAnsi="宋体" w:eastAsia="宋体" w:cs="宋体"/>
          <w:color w:val="auto"/>
          <w:sz w:val="24"/>
          <w:szCs w:val="24"/>
        </w:rPr>
        <w:t>店旗下经纪人擅自到营销中心扰乱现场秩序，影响案场正常客户接待，视情节严重性，扣除该争议单50%或全部佣金。</w:t>
      </w:r>
    </w:p>
    <w:p w14:paraId="1D19FAD9">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14:paraId="392DF32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6.1、</w:t>
      </w:r>
      <w:bookmarkStart w:id="0" w:name="_Hlk1994587"/>
      <w:bookmarkStart w:id="1" w:name="OLE_LINK104"/>
      <w:r>
        <w:rPr>
          <w:rFonts w:hint="eastAsia" w:ascii="宋体" w:hAnsi="宋体" w:eastAsia="宋体" w:cs="宋体"/>
          <w:b w:val="0"/>
          <w:bCs w:val="0"/>
          <w:sz w:val="24"/>
          <w:szCs w:val="24"/>
          <w:lang w:eastAsia="zh-CN"/>
        </w:rPr>
        <w:t>隐号报备带看：</w:t>
      </w:r>
    </w:p>
    <w:p w14:paraId="5FF43D4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62B9278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38A18CC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166452D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7FC4063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6.4、带看保护期对等：</w:t>
      </w:r>
    </w:p>
    <w:p w14:paraId="66E8EFB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5F47025B">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sz w:val="24"/>
          <w:szCs w:val="24"/>
          <w:highlight w:val="yellow"/>
          <w:u w:val="none"/>
          <w:lang w:val="en-US" w:eastAsia="zh-CN"/>
        </w:rPr>
        <w:t xml:space="preserve">30 </w:t>
      </w:r>
      <w:r>
        <w:rPr>
          <w:rFonts w:hint="eastAsia" w:ascii="宋体" w:hAnsi="宋体" w:eastAsia="宋体" w:cs="宋体"/>
          <w:b w:val="0"/>
          <w:bCs w:val="0"/>
          <w:sz w:val="24"/>
          <w:szCs w:val="24"/>
          <w:highlight w:val="yellow"/>
        </w:rPr>
        <w:t>日</w:t>
      </w:r>
      <w:r>
        <w:commentReference w:id="0"/>
      </w:r>
      <w:r>
        <w:rPr>
          <w:rFonts w:hint="eastAsia" w:ascii="宋体" w:hAnsi="宋体" w:eastAsia="宋体" w:cs="宋体"/>
          <w:b w:val="0"/>
          <w:bCs w:val="0"/>
          <w:sz w:val="24"/>
          <w:szCs w:val="24"/>
        </w:rPr>
        <w:t>，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4805B31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6ECECDC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2CBE28C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4173FDE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71E6A5CD">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61285B4">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906302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6.8.4、</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078F73F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6.8.5</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540F824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6.9、</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46A7E25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6.10、</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4A20347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6.11、</w:t>
      </w:r>
      <w:r>
        <w:rPr>
          <w:rFonts w:hint="eastAsia" w:ascii="宋体" w:hAnsi="宋体" w:eastAsia="宋体" w:cs="宋体"/>
          <w:b w:val="0"/>
          <w:bCs w:val="0"/>
          <w:sz w:val="24"/>
          <w:szCs w:val="24"/>
        </w:rPr>
        <w:t>甲方指定对接人如在乙方推荐客户成功后不向乙方出具签字确认《客户带看确认书》</w:t>
      </w:r>
      <w:r>
        <w:rPr>
          <w:rFonts w:hint="eastAsia" w:ascii="宋体" w:hAnsi="宋体" w:eastAsia="宋体" w:cs="宋体"/>
          <w:color w:val="auto"/>
          <w:sz w:val="24"/>
          <w:szCs w:val="24"/>
          <w:lang w:val="en-US" w:eastAsia="zh-CN"/>
        </w:rPr>
        <w:t>《XX项目结算对账单》</w:t>
      </w:r>
      <w:r>
        <w:rPr>
          <w:rFonts w:hint="eastAsia" w:ascii="宋体" w:hAnsi="宋体" w:eastAsia="宋体" w:cs="宋体"/>
          <w:b w:val="0"/>
          <w:bCs w:val="0"/>
          <w:sz w:val="24"/>
          <w:szCs w:val="24"/>
        </w:rPr>
        <w:t>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6555A3A0">
      <w:pPr>
        <w:numPr>
          <w:ilvl w:val="255"/>
          <w:numId w:val="0"/>
        </w:numPr>
        <w:kinsoku/>
        <w:autoSpaceDE/>
        <w:autoSpaceDN/>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sz w:val="24"/>
          <w:szCs w:val="24"/>
          <w:lang w:val="en-US" w:eastAsia="zh-CN"/>
        </w:rPr>
        <w:t>6.12、乙方客户或直系亲属认购或网签后换房、更名的不影响乙方业绩归属认定，按照实际成交房源向乙方结算佣金。</w:t>
      </w:r>
      <w:bookmarkEnd w:id="0"/>
      <w:bookmarkEnd w:id="1"/>
    </w:p>
    <w:p w14:paraId="69FFC6A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成功销售：乙方推介的客户与甲方草签或网签《商品房买卖合同》的，即视为乙方推荐客户成功，计入乙方销售业绩。甲方须在乙方成功销售物业后3日内在乙方提供的《</w:t>
      </w:r>
      <w:r>
        <w:rPr>
          <w:rFonts w:hint="eastAsia" w:ascii="宋体" w:hAnsi="宋体" w:eastAsia="宋体" w:cs="宋体"/>
          <w:color w:val="auto"/>
          <w:sz w:val="24"/>
          <w:szCs w:val="24"/>
          <w:lang w:val="en-US" w:eastAsia="zh-CN"/>
        </w:rPr>
        <w:t>XX项目结算对账单</w:t>
      </w:r>
      <w:r>
        <w:rPr>
          <w:rFonts w:hint="eastAsia" w:ascii="宋体" w:hAnsi="宋体" w:eastAsia="宋体" w:cs="宋体"/>
          <w:color w:val="auto"/>
          <w:sz w:val="24"/>
          <w:szCs w:val="24"/>
        </w:rPr>
        <w:t>》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03E233B9">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14:paraId="0BE42E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7.1在合同期及保护期内认购的房源，达到结算条件后乙方提佣标准如下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14:paraId="6F21FA0C">
            <w:pPr>
              <w:kinsoku/>
              <w:autoSpaceDE/>
              <w:autoSpaceDN/>
              <w:adjustRightInd/>
              <w:spacing w:before="125" w:line="360" w:lineRule="auto"/>
              <w:ind w:left="275"/>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7329" w:type="dxa"/>
            <w:shd w:val="clear" w:color="auto" w:fill="CFCFB6"/>
          </w:tcPr>
          <w:p w14:paraId="2B47CDAA">
            <w:pPr>
              <w:kinsoku/>
              <w:autoSpaceDE/>
              <w:autoSpaceDN/>
              <w:adjustRightInd/>
              <w:spacing w:before="125" w:line="360" w:lineRule="auto"/>
              <w:ind w:left="305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14:paraId="01368DA8">
            <w:pPr>
              <w:kinsoku/>
              <w:autoSpaceDE/>
              <w:autoSpaceDN/>
              <w:adjustRightInd/>
              <w:spacing w:before="82" w:line="360" w:lineRule="auto"/>
              <w:ind w:left="524"/>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7329" w:type="dxa"/>
          </w:tcPr>
          <w:p w14:paraId="295ECF97">
            <w:pPr>
              <w:tabs>
                <w:tab w:val="left" w:pos="1032"/>
                <w:tab w:val="center" w:pos="3719"/>
              </w:tabs>
              <w:kinsoku/>
              <w:autoSpaceDE/>
              <w:autoSpaceDN/>
              <w:adjustRightInd/>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按网签合同总房款：高层1</w:t>
            </w:r>
            <w:r>
              <w:rPr>
                <w:rFonts w:ascii="宋体" w:hAnsi="宋体" w:eastAsia="宋体" w:cs="宋体"/>
                <w:color w:val="auto"/>
                <w:sz w:val="24"/>
                <w:szCs w:val="24"/>
              </w:rPr>
              <w:t>%</w:t>
            </w:r>
            <w:r>
              <w:rPr>
                <w:rFonts w:hint="eastAsia" w:ascii="宋体" w:hAnsi="宋体" w:eastAsia="宋体" w:cs="宋体"/>
                <w:color w:val="auto"/>
                <w:sz w:val="24"/>
                <w:szCs w:val="24"/>
                <w:lang w:bidi="ar"/>
              </w:rPr>
              <w:t>，</w:t>
            </w:r>
            <w:r>
              <w:rPr>
                <w:rFonts w:hint="eastAsia" w:ascii="宋体" w:hAnsi="宋体" w:eastAsia="宋体" w:cs="宋体"/>
                <w:color w:val="auto"/>
                <w:sz w:val="24"/>
                <w:szCs w:val="24"/>
                <w:lang w:val="en-US" w:eastAsia="zh-CN"/>
              </w:rPr>
              <w:t>小高层1%</w:t>
            </w:r>
          </w:p>
        </w:tc>
      </w:tr>
      <w:tr w14:paraId="48F8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70" w:type="dxa"/>
          </w:tcPr>
          <w:p w14:paraId="4B4CC468">
            <w:pPr>
              <w:kinsoku/>
              <w:autoSpaceDE/>
              <w:autoSpaceDN/>
              <w:adjustRightInd/>
              <w:spacing w:before="99" w:line="360" w:lineRule="auto"/>
              <w:ind w:left="524"/>
              <w:rPr>
                <w:rFonts w:ascii="宋体" w:hAnsi="宋体" w:eastAsia="宋体" w:cs="宋体"/>
                <w:color w:val="auto"/>
                <w:sz w:val="24"/>
                <w:szCs w:val="24"/>
              </w:rPr>
            </w:pPr>
            <w:r>
              <w:rPr>
                <w:rFonts w:hint="eastAsia" w:ascii="宋体" w:hAnsi="宋体" w:eastAsia="宋体" w:cs="宋体"/>
                <w:color w:val="auto"/>
                <w:sz w:val="24"/>
                <w:szCs w:val="24"/>
              </w:rPr>
              <w:t>商铺</w:t>
            </w:r>
          </w:p>
        </w:tc>
        <w:tc>
          <w:tcPr>
            <w:tcW w:w="7329" w:type="dxa"/>
          </w:tcPr>
          <w:p w14:paraId="0E463B8B">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bidi="ar"/>
              </w:rPr>
              <w:t>无</w:t>
            </w:r>
          </w:p>
        </w:tc>
      </w:tr>
    </w:tbl>
    <w:p w14:paraId="3F218B3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14:paraId="67F40D7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7.3.3</w:t>
      </w:r>
      <w:r>
        <w:rPr>
          <w:rFonts w:hint="eastAsia" w:ascii="宋体" w:hAnsi="宋体" w:eastAsia="宋体" w:cs="宋体"/>
          <w:color w:val="auto"/>
          <w:sz w:val="24"/>
          <w:szCs w:val="24"/>
        </w:rPr>
        <w:t>条款执行：</w:t>
      </w:r>
    </w:p>
    <w:p w14:paraId="6F8A342E">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7.3.1月结：</w:t>
      </w:r>
      <w:r>
        <w:rPr>
          <w:rFonts w:hint="eastAsia" w:ascii="宋体" w:hAnsi="宋体" w:eastAsia="宋体" w:cs="宋体"/>
          <w:color w:val="auto"/>
          <w:sz w:val="24"/>
          <w:szCs w:val="24"/>
        </w:rPr>
        <w:t>乙方每月3日前向甲方提供上月达到结算条件的《对账单明细表》,甲方在收到《对账单明细表》后3日内审核完毕并签字确认一份返还至乙方。逾期未签字确认的，视为甲方对乙方提交的结算金额的认可，同意按照《对账单明细表》上所述金额向乙方支付佣金。甲方应在每月30日前将上月佣金付至乙方指定账户。甲方对于乙方提交的《对账单明细表》有争议的，不得以审核原因拖欠乙方应结佣金，应先按照双方确认无异议的部分先行支付佣金，逾期视为违约。甲方迟延或故意不通知乙方开具发票的，视为违约，按照本合同约定承担违约责任。</w:t>
      </w:r>
    </w:p>
    <w:p w14:paraId="2B409097">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14:paraId="0B6BDD68">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如逾期支付，需支付日万分之三违约金，</w:t>
      </w:r>
      <w:r>
        <w:rPr>
          <w:rFonts w:hint="eastAsia" w:ascii="宋体" w:hAnsi="宋体" w:eastAsia="宋体" w:cs="宋体"/>
          <w:color w:val="auto"/>
          <w:sz w:val="24"/>
          <w:szCs w:val="24"/>
        </w:rPr>
        <w:t>否则乙方有权终止合作。乙方每周向甲方提供已达到结算条件的《对账单明细表》,甲方在收到《对账单明细表》后2日内审核完毕并签字确认一份返还至乙方(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14:paraId="6525D4A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7.4甲方开票信息：</w:t>
      </w:r>
    </w:p>
    <w:p w14:paraId="34DD0A6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发票类型：增值税</w:t>
      </w:r>
      <w:r>
        <w:rPr>
          <w:rFonts w:hint="eastAsia" w:ascii="宋体" w:hAnsi="宋体" w:eastAsia="宋体" w:cs="宋体"/>
          <w:color w:val="auto"/>
          <w:sz w:val="24"/>
          <w:szCs w:val="24"/>
          <w:u w:val="single"/>
        </w:rPr>
        <w:t>专用</w:t>
      </w:r>
      <w:r>
        <w:rPr>
          <w:rFonts w:hint="eastAsia" w:ascii="宋体" w:hAnsi="宋体" w:eastAsia="宋体" w:cs="宋体"/>
          <w:color w:val="auto"/>
          <w:sz w:val="24"/>
          <w:szCs w:val="24"/>
        </w:rPr>
        <w:t>发票，税率</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w:t>
      </w:r>
    </w:p>
    <w:p w14:paraId="3029F41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若实际发票税率与此税率不相符，则实际付款金额进行相应调整。</w:t>
      </w:r>
    </w:p>
    <w:p w14:paraId="799F85A4">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发票开具对象(即发票抬头)：河南</w:t>
      </w:r>
      <w:r>
        <w:rPr>
          <w:rFonts w:hint="eastAsia" w:ascii="宋体" w:hAnsi="宋体" w:eastAsia="宋体" w:cs="宋体"/>
          <w:color w:val="auto"/>
          <w:sz w:val="24"/>
          <w:szCs w:val="24"/>
          <w:lang w:val="en-US" w:eastAsia="zh-CN"/>
        </w:rPr>
        <w:t>浩德新澜置业有限公司</w:t>
      </w:r>
    </w:p>
    <w:p w14:paraId="441270C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纳税人识别编号：91410300MA9LXU59XK</w:t>
      </w:r>
    </w:p>
    <w:p w14:paraId="7DC50AB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地址：河南省洛阳市洛龙区关林西路8号中浩德电商大厦三楼301室</w:t>
      </w:r>
    </w:p>
    <w:p w14:paraId="5EE198C0">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电话：0379-</w:t>
      </w:r>
      <w:r>
        <w:rPr>
          <w:rFonts w:hint="eastAsia" w:ascii="宋体" w:hAnsi="宋体" w:eastAsia="宋体" w:cs="宋体"/>
          <w:color w:val="auto"/>
          <w:sz w:val="24"/>
          <w:szCs w:val="24"/>
          <w:lang w:val="en-US" w:eastAsia="zh-CN"/>
        </w:rPr>
        <w:t>69953333</w:t>
      </w:r>
    </w:p>
    <w:p w14:paraId="6419184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开户行：中原银行洛阳万豪中心支行</w:t>
      </w:r>
    </w:p>
    <w:p w14:paraId="6905671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账号：410311010110000000</w:t>
      </w:r>
    </w:p>
    <w:p w14:paraId="0756DD8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发票开具名目：经纪代理服务费。</w:t>
      </w:r>
    </w:p>
    <w:p w14:paraId="369972B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2841583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14:paraId="38577FD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cs="宋体"/>
          <w:color w:val="auto"/>
          <w:sz w:val="24"/>
          <w:u w:val="single"/>
        </w:rPr>
        <w:t>洛阳闹贝房地产经纪有限公司</w:t>
      </w:r>
    </w:p>
    <w:p w14:paraId="5B7FD25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cs="宋体"/>
          <w:color w:val="auto"/>
          <w:sz w:val="24"/>
          <w:u w:val="single"/>
        </w:rPr>
        <w:t>招商银行股份有限公司洛阳新区支行</w:t>
      </w:r>
    </w:p>
    <w:p w14:paraId="25B2D75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u w:val="single"/>
        </w:rPr>
        <w:t>379900529410302</w:t>
      </w:r>
    </w:p>
    <w:p w14:paraId="5090337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7.7甲方逾期支付或预付乙方佣金的，每逾期一日甲方需向乙方支付欠付款项万分之</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的违约金，直至清讫。若逾期支付超过30天，乙方可无责单方解除合同。</w:t>
      </w:r>
    </w:p>
    <w:p w14:paraId="37DA969E">
      <w:pPr>
        <w:kinsoku/>
        <w:autoSpaceDE/>
        <w:autoSpaceDN/>
        <w:spacing w:line="360" w:lineRule="auto"/>
        <w:ind w:firstLine="480" w:firstLineChars="200"/>
        <w:rPr>
          <w:color w:val="auto"/>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593408D8">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14:paraId="4063A65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14:paraId="10B462E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23F05E8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3711B49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4D4719B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14:paraId="0CB7BD5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14:paraId="4FB7B7D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14:paraId="72013196">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14:paraId="515423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w:t>
      </w:r>
      <w:r>
        <w:rPr>
          <w:rFonts w:hint="eastAsia" w:ascii="宋体" w:hAnsi="宋体" w:eastAsia="宋体" w:cs="宋体"/>
          <w:color w:val="auto"/>
          <w:sz w:val="24"/>
          <w:szCs w:val="24"/>
          <w:lang w:val="en-US" w:eastAsia="zh-CN"/>
        </w:rPr>
        <w:t>均应提前30日书面通知对方，且双方按照本合同约定完成相应的结算。</w:t>
      </w:r>
    </w:p>
    <w:p w14:paraId="0639516F">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14:paraId="1A447B75">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14:paraId="7F1B0309">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058F364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14:paraId="077B4396">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14:paraId="586769A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235039EA">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7DF26A7F">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7、客户己在销售中心，后经（合伙人、分销商、渠道资源部员工）报备视为无效，以现场录像时间为界定标准。</w:t>
      </w:r>
    </w:p>
    <w:p w14:paraId="082BB9E8">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8、推荐人所推荐的客户在缴纳定金起5日内重复购买奖励及任务归原推荐人。</w:t>
      </w:r>
    </w:p>
    <w:p w14:paraId="218B1910">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14:paraId="5BD741AD">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14:paraId="4B345F6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9.1甲方：</w:t>
      </w:r>
    </w:p>
    <w:p w14:paraId="2C6311D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14:paraId="28F60E5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14:paraId="7A1AD89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14:paraId="1C641104">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lang w:val="en-US" w:eastAsia="zh-CN"/>
        </w:rPr>
        <w:t>郭智鹏</w:t>
      </w:r>
    </w:p>
    <w:p w14:paraId="124C945A">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410303199304201016</w:t>
      </w:r>
    </w:p>
    <w:p w14:paraId="7BC281F7">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18736329533             </w:t>
      </w:r>
      <w:r>
        <w:rPr>
          <w:rFonts w:hint="eastAsia" w:ascii="宋体" w:hAnsi="宋体" w:eastAsia="宋体" w:cs="宋体"/>
          <w:color w:val="auto"/>
          <w:sz w:val="24"/>
          <w:szCs w:val="24"/>
        </w:rPr>
        <w:t>邮箱地址：</w:t>
      </w:r>
      <w:r>
        <w:rPr>
          <w:rFonts w:hint="eastAsia" w:ascii="宋体" w:hAnsi="宋体" w:eastAsia="宋体" w:cs="宋体"/>
          <w:color w:val="auto"/>
          <w:sz w:val="24"/>
          <w:szCs w:val="24"/>
          <w:lang w:val="en-US" w:eastAsia="zh-CN"/>
        </w:rPr>
        <w:t>513720751@qq.com</w:t>
      </w:r>
    </w:p>
    <w:p w14:paraId="1A9A376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地址：河南省洛阳市洛龙区新伊大街</w:t>
      </w:r>
      <w:r>
        <w:rPr>
          <w:rFonts w:hint="eastAsia" w:ascii="宋体" w:hAnsi="宋体" w:eastAsia="宋体" w:cs="宋体"/>
          <w:color w:val="auto"/>
          <w:sz w:val="24"/>
          <w:szCs w:val="24"/>
          <w:lang w:val="en-US" w:eastAsia="zh-CN"/>
        </w:rPr>
        <w:t>浩德伊河湾</w:t>
      </w:r>
      <w:r>
        <w:rPr>
          <w:rFonts w:hint="eastAsia" w:ascii="宋体" w:hAnsi="宋体" w:eastAsia="宋体" w:cs="宋体"/>
          <w:color w:val="auto"/>
          <w:sz w:val="24"/>
          <w:szCs w:val="24"/>
        </w:rPr>
        <w:t>营销中心</w:t>
      </w:r>
    </w:p>
    <w:p w14:paraId="641B58C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14:paraId="0435768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9.2乙方：</w:t>
      </w:r>
    </w:p>
    <w:p w14:paraId="5895309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14:paraId="7E23BA0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14:paraId="0A5F771A">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lang w:val="en-US" w:eastAsia="zh-CN"/>
        </w:rPr>
        <w:t>李冰</w:t>
      </w:r>
      <w:r>
        <w:rPr>
          <w:rFonts w:hint="eastAsia" w:ascii="宋体" w:hAnsi="宋体" w:eastAsia="宋体" w:cs="宋体"/>
          <w:color w:val="auto"/>
          <w:sz w:val="24"/>
          <w:szCs w:val="24"/>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lang w:val="en-US" w:eastAsia="zh-CN"/>
        </w:rPr>
        <w:t>410311199411201046</w:t>
      </w:r>
    </w:p>
    <w:p w14:paraId="1B5397EA">
      <w:pPr>
        <w:kinsoku/>
        <w:autoSpaceDE/>
        <w:autoSpaceDN/>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15517901784</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lang w:val="en-US" w:eastAsia="zh-CN"/>
        </w:rPr>
        <w:t>libing024@ke.com</w:t>
      </w:r>
    </w:p>
    <w:p w14:paraId="65BC270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河南省洛阳市洛龙区开元大道以南正大国际城市广场西区</w:t>
      </w:r>
    </w:p>
    <w:p w14:paraId="029B2F5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14:paraId="1087DE4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14:paraId="1A4269D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14:paraId="2D356574">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合同未尽事宜及争议的解决</w:t>
      </w:r>
    </w:p>
    <w:p w14:paraId="5CB81EF9">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10.1若合同期满前，双方还有合作意向，双方另行协商签订新的续约合同。</w:t>
      </w:r>
    </w:p>
    <w:p w14:paraId="6C57DC4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10.2本合同未尽事宜由甲、乙双方协商并签订书面补充协议。</w:t>
      </w:r>
    </w:p>
    <w:p w14:paraId="5A0D49EB">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10.3因本合同发生争议时，双方应友好协商解决，协商不成时，可向乙方所在地有管辖权的人民法院提起诉讼。</w:t>
      </w:r>
    </w:p>
    <w:p w14:paraId="0A847184">
      <w:pPr>
        <w:pStyle w:val="2"/>
        <w:spacing w:line="360" w:lineRule="auto"/>
        <w:rPr>
          <w:color w:val="auto"/>
        </w:rPr>
      </w:pPr>
    </w:p>
    <w:p w14:paraId="5A567CDE">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合同文本及生效</w:t>
      </w:r>
    </w:p>
    <w:p w14:paraId="4A770AF0">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11.1本合同一式肆份，甲方贰份、乙方贰份，经甲、乙双方盖章后生效。</w:t>
      </w:r>
    </w:p>
    <w:p w14:paraId="78119EA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11.2附件：</w:t>
      </w:r>
    </w:p>
    <w:p w14:paraId="70721F06">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《客户带看确认书》(格式)见附件1;</w:t>
      </w:r>
    </w:p>
    <w:p w14:paraId="7D7F85F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XX项目结算</w:t>
      </w:r>
      <w:r>
        <w:rPr>
          <w:rFonts w:hint="eastAsia" w:ascii="宋体" w:hAnsi="宋体" w:eastAsia="宋体" w:cs="宋体"/>
          <w:color w:val="auto"/>
          <w:sz w:val="24"/>
          <w:szCs w:val="24"/>
        </w:rPr>
        <w:t>对账单》(格式)见附件2;</w:t>
      </w:r>
    </w:p>
    <w:p w14:paraId="6064CE7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w:t>
      </w:r>
      <w:r>
        <w:rPr>
          <w:rFonts w:hint="eastAsia" w:ascii="宋体" w:hAnsi="宋体" w:eastAsia="宋体" w:cs="宋体"/>
          <w:color w:val="auto"/>
          <w:position w:val="16"/>
          <w:sz w:val="24"/>
          <w:szCs w:val="24"/>
          <w:lang w:val="en-US" w:eastAsia="zh-CN"/>
        </w:rPr>
        <w:t>3</w:t>
      </w:r>
      <w:r>
        <w:rPr>
          <w:rFonts w:hint="eastAsia" w:ascii="宋体" w:hAnsi="宋体" w:eastAsia="宋体" w:cs="宋体"/>
          <w:color w:val="auto"/>
          <w:position w:val="16"/>
          <w:sz w:val="24"/>
          <w:szCs w:val="24"/>
        </w:rPr>
        <w:t>;</w:t>
      </w:r>
    </w:p>
    <w:p w14:paraId="0F25830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《电子带看单补充协议》见附件</w:t>
      </w:r>
      <w:r>
        <w:rPr>
          <w:rFonts w:hint="eastAsia" w:ascii="宋体" w:hAnsi="宋体" w:eastAsia="宋体" w:cs="宋体"/>
          <w:color w:val="auto"/>
          <w:sz w:val="24"/>
          <w:szCs w:val="24"/>
          <w:lang w:val="en-US" w:eastAsia="zh-CN"/>
        </w:rPr>
        <w:t>4</w:t>
      </w:r>
    </w:p>
    <w:p w14:paraId="2AC4BC49">
      <w:pPr>
        <w:kinsoku/>
        <w:autoSpaceDE/>
        <w:autoSpaceDN/>
        <w:spacing w:line="360" w:lineRule="auto"/>
        <w:ind w:firstLine="480" w:firstLineChars="200"/>
        <w:rPr>
          <w:rFonts w:hint="default" w:ascii="宋体" w:hAnsi="宋体" w:eastAsia="宋体" w:cs="宋体"/>
          <w:b w:val="0"/>
          <w:color w:val="auto"/>
          <w:sz w:val="24"/>
          <w:szCs w:val="24"/>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见附件5</w:t>
      </w:r>
    </w:p>
    <w:p w14:paraId="049F27A3">
      <w:pPr>
        <w:pStyle w:val="2"/>
        <w:rPr>
          <w:color w:val="auto"/>
        </w:rPr>
      </w:pPr>
    </w:p>
    <w:p w14:paraId="3F9D5763">
      <w:pPr>
        <w:kinsoku/>
        <w:autoSpaceDE/>
        <w:autoSpaceDN/>
        <w:spacing w:line="360" w:lineRule="auto"/>
        <w:ind w:firstLine="480" w:firstLineChars="200"/>
        <w:rPr>
          <w:rFonts w:ascii="宋体" w:hAnsi="宋体" w:eastAsia="宋体" w:cs="宋体"/>
          <w:color w:val="auto"/>
          <w:sz w:val="24"/>
          <w:szCs w:val="24"/>
        </w:rPr>
      </w:pPr>
    </w:p>
    <w:p w14:paraId="2171DE83">
      <w:pPr>
        <w:kinsoku/>
        <w:autoSpaceDE/>
        <w:autoSpaceDN/>
        <w:spacing w:line="360" w:lineRule="auto"/>
        <w:ind w:firstLine="480" w:firstLineChars="200"/>
        <w:rPr>
          <w:rFonts w:ascii="宋体" w:hAnsi="宋体" w:eastAsia="宋体" w:cs="宋体"/>
          <w:color w:val="auto"/>
          <w:sz w:val="24"/>
          <w:szCs w:val="24"/>
        </w:rPr>
      </w:pPr>
    </w:p>
    <w:p w14:paraId="305C1AF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14:paraId="377D083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14:paraId="5F17E20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eastAsia="zh-CN"/>
        </w:rPr>
        <w:t>2025</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w:t>
      </w:r>
      <w:r>
        <w:rPr>
          <w:rFonts w:hint="eastAsia" w:ascii="宋体" w:hAnsi="宋体" w:eastAsia="宋体" w:cs="宋体"/>
          <w:color w:val="auto"/>
          <w:sz w:val="24"/>
          <w:szCs w:val="24"/>
          <w:lang w:eastAsia="zh-CN"/>
        </w:rPr>
        <w:t>2025</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14:paraId="2DB11DD4">
      <w:pPr>
        <w:kinsoku/>
        <w:autoSpaceDE/>
        <w:autoSpaceDN/>
        <w:spacing w:line="360" w:lineRule="auto"/>
        <w:ind w:firstLine="480" w:firstLineChars="200"/>
        <w:rPr>
          <w:rFonts w:ascii="宋体" w:hAnsi="宋体" w:eastAsia="宋体" w:cs="宋体"/>
          <w:color w:val="auto"/>
          <w:sz w:val="24"/>
          <w:szCs w:val="24"/>
        </w:rPr>
      </w:pPr>
    </w:p>
    <w:p w14:paraId="33089AF5">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附件1：《客户带看确认书》</w:t>
      </w:r>
    </w:p>
    <w:p w14:paraId="62E60D2E">
      <w:pPr>
        <w:spacing w:line="300" w:lineRule="auto"/>
        <w:rPr>
          <w:rFonts w:ascii="宋体" w:hAnsi="宋体" w:eastAsia="宋体" w:cs="宋体"/>
          <w:color w:val="auto"/>
        </w:rPr>
      </w:pPr>
      <w:r>
        <w:rPr>
          <w:rFonts w:hint="eastAsia" w:ascii="宋体" w:hAnsi="宋体" w:eastAsia="宋体" w:cs="宋体"/>
          <w:color w:val="auto"/>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rcRect l="754" t="2417"/>
                    <a:stretch>
                      <a:fillRect/>
                    </a:stretch>
                  </pic:blipFill>
                  <pic:spPr>
                    <a:xfrm>
                      <a:off x="0" y="0"/>
                      <a:ext cx="5350510" cy="2461260"/>
                    </a:xfrm>
                    <a:prstGeom prst="rect">
                      <a:avLst/>
                    </a:prstGeom>
                    <a:noFill/>
                    <a:ln>
                      <a:noFill/>
                    </a:ln>
                  </pic:spPr>
                </pic:pic>
              </a:graphicData>
            </a:graphic>
          </wp:inline>
        </w:drawing>
      </w:r>
    </w:p>
    <w:p w14:paraId="3A77AF4B">
      <w:pPr>
        <w:spacing w:line="300" w:lineRule="auto"/>
        <w:rPr>
          <w:rFonts w:ascii="宋体" w:hAnsi="宋体" w:eastAsia="宋体" w:cs="宋体"/>
          <w:b/>
          <w:color w:val="auto"/>
        </w:rPr>
      </w:pPr>
    </w:p>
    <w:p w14:paraId="16FA3955">
      <w:pPr>
        <w:spacing w:line="300" w:lineRule="auto"/>
        <w:rPr>
          <w:rFonts w:ascii="宋体" w:hAnsi="宋体" w:eastAsia="宋体" w:cs="宋体"/>
          <w:b/>
          <w:color w:val="auto"/>
        </w:rPr>
      </w:pPr>
      <w:r>
        <w:rPr>
          <w:rFonts w:hint="eastAsia" w:ascii="宋体" w:hAnsi="宋体" w:eastAsia="宋体" w:cs="宋体"/>
          <w:b/>
          <w:color w:val="auto"/>
        </w:rPr>
        <w:t>附件2 ： 《</w:t>
      </w:r>
      <w:r>
        <w:rPr>
          <w:rFonts w:hint="eastAsia" w:ascii="宋体" w:hAnsi="宋体" w:eastAsia="宋体" w:cs="宋体"/>
          <w:b/>
          <w:color w:val="auto"/>
          <w:lang w:val="en-US" w:eastAsia="zh-CN"/>
        </w:rPr>
        <w:t>XX项目结算对账单</w:t>
      </w:r>
      <w:r>
        <w:rPr>
          <w:rFonts w:hint="eastAsia" w:ascii="宋体" w:hAnsi="宋体" w:eastAsia="宋体" w:cs="宋体"/>
          <w:b/>
          <w:color w:val="auto"/>
        </w:rPr>
        <w:t>》</w:t>
      </w:r>
    </w:p>
    <w:p w14:paraId="2C5DB7D7">
      <w:pPr>
        <w:pStyle w:val="2"/>
        <w:ind w:left="0" w:leftChars="0" w:firstLine="0" w:firstLineChars="0"/>
        <w:rPr>
          <w:rFonts w:hint="eastAsia" w:ascii="宋体" w:hAnsi="宋体" w:eastAsia="宋体" w:cs="宋体"/>
          <w:b/>
          <w:color w:val="auto"/>
          <w:lang w:eastAsia="zh-CN"/>
        </w:rPr>
      </w:pPr>
    </w:p>
    <w:p w14:paraId="6C274AAA">
      <w:pPr>
        <w:spacing w:line="300" w:lineRule="auto"/>
        <w:ind w:left="0" w:firstLine="0" w:firstLineChars="0"/>
        <w:rPr>
          <w:rFonts w:eastAsia="宋体"/>
          <w:color w:val="auto"/>
        </w:rPr>
      </w:pPr>
      <w:r>
        <w:rPr>
          <w:rFonts w:hint="eastAsia" w:ascii="宋体" w:hAnsi="宋体" w:eastAsia="宋体" w:cs="宋体"/>
          <w:sz w:val="24"/>
        </w:rPr>
        <w:drawing>
          <wp:inline distT="0" distB="0" distL="114300" distR="114300">
            <wp:extent cx="5393055" cy="1607820"/>
            <wp:effectExtent l="0" t="0" r="0" b="8890"/>
            <wp:docPr id="2" name="图片 2"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2893438201"/>
                    <pic:cNvPicPr>
                      <a:picLocks noChangeAspect="1"/>
                    </pic:cNvPicPr>
                  </pic:nvPicPr>
                  <pic:blipFill>
                    <a:blip r:embed="rId9"/>
                    <a:stretch>
                      <a:fillRect/>
                    </a:stretch>
                  </pic:blipFill>
                  <pic:spPr>
                    <a:xfrm>
                      <a:off x="0" y="0"/>
                      <a:ext cx="5393055" cy="1607820"/>
                    </a:xfrm>
                    <a:prstGeom prst="rect">
                      <a:avLst/>
                    </a:prstGeom>
                  </pic:spPr>
                </pic:pic>
              </a:graphicData>
            </a:graphic>
          </wp:inline>
        </w:drawing>
      </w:r>
    </w:p>
    <w:p w14:paraId="2D0B5EF4">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w:t>
      </w:r>
      <w:r>
        <w:rPr>
          <w:rFonts w:hint="eastAsia" w:ascii="宋体" w:hAnsi="宋体" w:eastAsia="宋体" w:cs="宋体"/>
          <w:b/>
          <w:bCs/>
          <w:color w:val="auto"/>
          <w:spacing w:val="-31"/>
          <w:lang w:val="en-US" w:eastAsia="zh-CN"/>
        </w:rPr>
        <w:t>3</w:t>
      </w:r>
      <w:r>
        <w:rPr>
          <w:rFonts w:hint="eastAsia" w:ascii="宋体" w:hAnsi="宋体" w:eastAsia="宋体" w:cs="宋体"/>
          <w:b/>
          <w:bCs/>
          <w:color w:val="auto"/>
          <w:spacing w:val="-31"/>
        </w:rPr>
        <w:t>：</w:t>
      </w:r>
      <w:r>
        <w:rPr>
          <w:rFonts w:hint="eastAsia" w:ascii="宋体" w:hAnsi="宋体" w:eastAsia="宋体" w:cs="宋体"/>
          <w:b/>
          <w:color w:val="auto"/>
        </w:rPr>
        <w:t>《阳光作业服务承诺》</w:t>
      </w:r>
    </w:p>
    <w:p w14:paraId="2FC61EFF">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14:paraId="7CE54C28">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14:paraId="0A0FB56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r>
        <w:rPr>
          <w:rFonts w:hint="eastAsia" w:ascii="宋体" w:hAnsi="宋体" w:eastAsia="宋体" w:cs="宋体"/>
          <w:bCs/>
          <w:color w:val="auto"/>
          <w:sz w:val="24"/>
          <w:szCs w:val="28"/>
          <w:lang w:val="en-US" w:eastAsia="zh-CN"/>
        </w:rPr>
        <w:t>2</w:t>
      </w:r>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14:paraId="191BEB5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14:paraId="3A5C2B4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14:paraId="69FBC07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14:paraId="4679A48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14:paraId="51763C8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14:paraId="2A51F222">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5DB7145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14:paraId="5FE0A96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14:paraId="7F4B5584">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14:paraId="1662D05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14:paraId="600375ED">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0AC9ACA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34CB7B4C">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14:paraId="23E3AF77">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14:paraId="649DC3D7">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14:paraId="20ABB5D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35CE7FD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14:paraId="0772AE3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3D873973">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5AACF73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4B669DBE">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1D9EF969">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6FBA3BDE">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1D9D09D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3127994C">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14:paraId="281B7B2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14:paraId="477E598E">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14:paraId="59B3694D">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14:paraId="54F9C5EA">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14:paraId="42046554">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w:t>
      </w:r>
      <w:r>
        <w:rPr>
          <w:rFonts w:hint="eastAsia" w:ascii="宋体" w:hAnsi="宋体" w:eastAsia="宋体" w:cs="宋体"/>
          <w:b/>
          <w:color w:val="auto"/>
          <w:szCs w:val="20"/>
          <w:lang w:val="en-US" w:eastAsia="zh-CN"/>
        </w:rPr>
        <w:t>4</w:t>
      </w:r>
      <w:r>
        <w:rPr>
          <w:rFonts w:hint="eastAsia" w:ascii="宋体" w:hAnsi="宋体" w:eastAsia="宋体" w:cs="宋体"/>
          <w:b/>
          <w:color w:val="auto"/>
          <w:szCs w:val="20"/>
        </w:rPr>
        <w:t>：《电子带看单补充协议》</w:t>
      </w:r>
    </w:p>
    <w:p w14:paraId="65939489">
      <w:pPr>
        <w:widowControl w:val="0"/>
        <w:kinsoku/>
        <w:spacing w:line="360" w:lineRule="auto"/>
        <w:jc w:val="center"/>
        <w:rPr>
          <w:rFonts w:ascii="宋体" w:hAnsi="宋体" w:eastAsia="宋体" w:cs="宋体"/>
          <w:b/>
          <w:color w:val="auto"/>
          <w:sz w:val="32"/>
          <w:szCs w:val="28"/>
        </w:rPr>
      </w:pPr>
      <w:r>
        <w:rPr>
          <w:rFonts w:hint="eastAsia" w:ascii="宋体" w:hAnsi="宋体" w:eastAsia="宋体" w:cs="宋体"/>
          <w:b/>
          <w:color w:val="auto"/>
          <w:sz w:val="32"/>
          <w:szCs w:val="28"/>
        </w:rPr>
        <w:t>电子带看单补充协议</w:t>
      </w:r>
    </w:p>
    <w:p w14:paraId="59D2E5E5">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14:paraId="3C62FFEA">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color w:val="auto"/>
          <w:sz w:val="24"/>
          <w:szCs w:val="28"/>
          <w:u w:val="single"/>
        </w:rPr>
        <w:t>洛阳</w:t>
      </w:r>
      <w:r>
        <w:rPr>
          <w:rFonts w:hint="eastAsia" w:ascii="宋体" w:hAnsi="宋体" w:eastAsia="宋体" w:cs="宋体"/>
          <w:b/>
          <w:bCs/>
          <w:color w:val="auto"/>
          <w:sz w:val="24"/>
          <w:szCs w:val="28"/>
          <w:u w:val="single"/>
          <w:lang w:val="en-US" w:eastAsia="zh-CN"/>
        </w:rPr>
        <w:t>浩德新澜置业有限公司</w:t>
      </w:r>
    </w:p>
    <w:p w14:paraId="46506381">
      <w:pPr>
        <w:widowControl w:val="0"/>
        <w:kinsoku/>
        <w:spacing w:line="360" w:lineRule="auto"/>
        <w:ind w:right="630"/>
        <w:rPr>
          <w:rFonts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洛阳闹贝房地产经纪有限公司</w:t>
      </w:r>
    </w:p>
    <w:p w14:paraId="1FE59C7F">
      <w:pPr>
        <w:widowControl w:val="0"/>
        <w:kinsoku/>
        <w:spacing w:line="360" w:lineRule="auto"/>
        <w:ind w:right="630"/>
        <w:rPr>
          <w:rFonts w:ascii="仿宋" w:hAnsi="仿宋" w:eastAsia="仿宋" w:cs="仿宋"/>
          <w:color w:val="auto"/>
        </w:rPr>
      </w:pPr>
    </w:p>
    <w:p w14:paraId="46DBCEB5">
      <w:pPr>
        <w:widowControl w:val="0"/>
        <w:kinsoku/>
        <w:adjustRightInd/>
        <w:snapToGrid/>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甲乙双方于【</w:t>
      </w:r>
      <w:r>
        <w:rPr>
          <w:rFonts w:hint="eastAsia" w:ascii="宋体" w:hAnsi="宋体" w:eastAsia="宋体" w:cs="宋体"/>
          <w:color w:val="auto"/>
          <w:sz w:val="24"/>
          <w:szCs w:val="28"/>
          <w:lang w:eastAsia="zh-CN"/>
        </w:rPr>
        <w:t>2025</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日】签署了《</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渠道合作合同》（以下称为“主协议”），约定【乙方为甲方【</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】项目提供【渠道】服务】。现双方就【</w:t>
      </w:r>
      <w:r>
        <w:rPr>
          <w:rFonts w:hint="eastAsia" w:ascii="宋体" w:hAnsi="宋体" w:eastAsia="宋体" w:cs="宋体"/>
          <w:color w:val="auto"/>
          <w:sz w:val="24"/>
          <w:szCs w:val="28"/>
          <w:lang w:val="en-US" w:eastAsia="zh-CN"/>
        </w:rPr>
        <w:t>浩德伊河湾</w:t>
      </w:r>
      <w:r>
        <w:rPr>
          <w:rFonts w:hint="eastAsia" w:ascii="宋体" w:hAnsi="宋体" w:eastAsia="宋体" w:cs="宋体"/>
          <w:color w:val="auto"/>
          <w:sz w:val="24"/>
          <w:szCs w:val="28"/>
        </w:rPr>
        <w:t>】项目（以下称为“本项目”）客户确认事宜签署本补充协议，以兹共同遵守。</w:t>
      </w:r>
    </w:p>
    <w:p w14:paraId="181DE046">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w:t>
      </w:r>
    </w:p>
    <w:p w14:paraId="1A278E96">
      <w:pPr>
        <w:widowControl w:val="0"/>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14:paraId="6CF792EC">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电子带看单信息及确认</w:t>
      </w:r>
      <w:r>
        <w:rPr>
          <w:rFonts w:hint="eastAsia" w:ascii="宋体" w:hAnsi="宋体" w:eastAsia="宋体" w:cs="宋体"/>
          <w:b/>
          <w:color w:val="auto"/>
          <w:sz w:val="24"/>
          <w:szCs w:val="24"/>
          <w:lang w:val="en-GB"/>
        </w:rPr>
        <w:t>人</w:t>
      </w:r>
    </w:p>
    <w:p w14:paraId="5B50E1DA">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甲乙双方确认，本项目电子带看单需展示的带看信息为：【</w:t>
      </w:r>
      <w:r>
        <w:rPr>
          <w:rFonts w:hint="eastAsia" w:ascii="宋体" w:hAnsi="宋体" w:eastAsia="宋体" w:cs="宋体"/>
          <w:i/>
          <w:color w:val="auto"/>
          <w:sz w:val="24"/>
          <w:szCs w:val="24"/>
        </w:rPr>
        <w:t>项目名称、客户信息（姓氏或姓名均可）、客户手机号（加密设置，对置业顾问仅展示前三后四）、客户性别、本项目置业顾问姓名及其手机号、经纪人姓名、经纪人手机号、经纪人公司、带看时间</w:t>
      </w:r>
      <w:r>
        <w:rPr>
          <w:rFonts w:hint="eastAsia" w:ascii="宋体" w:hAnsi="宋体" w:eastAsia="宋体" w:cs="宋体"/>
          <w:color w:val="auto"/>
          <w:sz w:val="24"/>
          <w:szCs w:val="24"/>
        </w:rPr>
        <w:t>】。</w:t>
      </w:r>
    </w:p>
    <w:p w14:paraId="0FF41E97">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甲方指定本项目电子带看单确认人员为：</w:t>
      </w:r>
      <w:r>
        <w:rPr>
          <w:rFonts w:hint="eastAsia" w:ascii="宋体" w:hAnsi="宋体" w:eastAsia="宋体" w:cs="宋体"/>
          <w:b/>
          <w:color w:val="auto"/>
          <w:sz w:val="24"/>
          <w:szCs w:val="24"/>
        </w:rPr>
        <w:t>客户、乙方经纪人、本项目置业顾问、本项目甲方对接人</w:t>
      </w:r>
      <w:r>
        <w:rPr>
          <w:rFonts w:hint="eastAsia" w:ascii="宋体" w:hAnsi="宋体" w:eastAsia="宋体" w:cs="宋体"/>
          <w:color w:val="auto"/>
          <w:sz w:val="24"/>
          <w:szCs w:val="24"/>
        </w:rPr>
        <w:t>（定义见后文）。甲方应于本补充协议签署同时向乙方披露本项目置业顾问姓名及其对应的手机号，详见附件一。甲方指定【</w:t>
      </w:r>
      <w:r>
        <w:rPr>
          <w:rFonts w:hint="eastAsia" w:ascii="宋体" w:hAnsi="宋体" w:eastAsia="宋体" w:cs="宋体"/>
          <w:i/>
          <w:iCs/>
          <w:color w:val="auto"/>
          <w:sz w:val="24"/>
          <w:szCs w:val="24"/>
        </w:rPr>
        <w:t>1、</w:t>
      </w:r>
      <w:r>
        <w:rPr>
          <w:rFonts w:hint="eastAsia" w:ascii="宋体" w:hAnsi="宋体" w:eastAsia="宋体" w:cs="宋体"/>
          <w:i/>
          <w:iCs/>
          <w:color w:val="auto"/>
          <w:sz w:val="24"/>
          <w:szCs w:val="24"/>
          <w:lang w:val="en-US" w:eastAsia="zh-CN"/>
        </w:rPr>
        <w:t>郭智鹏</w:t>
      </w:r>
      <w:r>
        <w:rPr>
          <w:rFonts w:hint="eastAsia" w:ascii="宋体" w:hAnsi="宋体" w:eastAsia="宋体" w:cs="宋体"/>
          <w:i/>
          <w:iCs/>
          <w:color w:val="auto"/>
          <w:sz w:val="24"/>
          <w:szCs w:val="24"/>
        </w:rPr>
        <w:t>；2、</w:t>
      </w:r>
      <w:r>
        <w:rPr>
          <w:rFonts w:hint="eastAsia" w:ascii="宋体" w:hAnsi="宋体" w:eastAsia="宋体" w:cs="宋体"/>
          <w:i/>
          <w:iCs/>
          <w:color w:val="auto"/>
          <w:sz w:val="24"/>
          <w:szCs w:val="24"/>
          <w:lang w:val="en-US" w:eastAsia="zh-CN"/>
        </w:rPr>
        <w:t>费晨光</w:t>
      </w:r>
      <w:r>
        <w:rPr>
          <w:rFonts w:hint="eastAsia" w:ascii="宋体" w:hAnsi="宋体" w:eastAsia="宋体" w:cs="宋体"/>
          <w:color w:val="auto"/>
          <w:sz w:val="24"/>
          <w:szCs w:val="24"/>
        </w:rPr>
        <w:t>】为甲方对接人，代表甲方按照本协议约定及产品实际操作方式来确认电子带看单。</w:t>
      </w:r>
    </w:p>
    <w:p w14:paraId="3FB49CD0">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电子带看单确认</w:t>
      </w:r>
    </w:p>
    <w:p w14:paraId="339B52EF">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电子带看单各确认人的确认方式如下：</w:t>
      </w:r>
    </w:p>
    <w:p w14:paraId="6FE8E33C">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14:paraId="05D15386">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客户确认：在乙方经纪人手机端完成。电子带看单生成后，点击电子带看单的客户“去签字”位置，打开客户签名面板；客户在签名面板签字，点击【使用】按钮电子带看单即完成客户确认。</w:t>
      </w:r>
    </w:p>
    <w:p w14:paraId="0D7B06A4">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14:paraId="20CEA835">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w:t>
      </w:r>
      <w:bookmarkStart w:id="2" w:name="_Hlk71654183"/>
      <w:r>
        <w:rPr>
          <w:rFonts w:hint="eastAsia" w:ascii="宋体" w:hAnsi="宋体" w:eastAsia="宋体" w:cs="宋体"/>
          <w:color w:val="auto"/>
          <w:sz w:val="24"/>
          <w:szCs w:val="24"/>
        </w:rPr>
        <w:t>须在对乙方客户到访事实及置业顾问、经纪人、客户签字情况复核无误后，通过如下方式完成线上确认</w:t>
      </w:r>
      <w:bookmarkEnd w:id="2"/>
      <w:r>
        <w:rPr>
          <w:rFonts w:hint="eastAsia" w:ascii="宋体" w:hAnsi="宋体" w:eastAsia="宋体" w:cs="宋体"/>
          <w:color w:val="auto"/>
          <w:sz w:val="24"/>
          <w:szCs w:val="24"/>
        </w:rPr>
        <w:t>：</w:t>
      </w:r>
    </w:p>
    <w:p w14:paraId="35D83768">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在甲方置业顾问及甲方对接人自己的手机端完成。</w:t>
      </w:r>
    </w:p>
    <w:p w14:paraId="1308E7FB">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w:t>
      </w:r>
      <w:r>
        <w:rPr>
          <w:rFonts w:hint="eastAsia" w:ascii="宋体" w:hAnsi="宋体" w:eastAsia="宋体" w:cs="宋体"/>
          <w:i/>
          <w:color w:val="auto"/>
          <w:sz w:val="24"/>
          <w:szCs w:val="24"/>
        </w:rPr>
        <w:t>【对接人1：</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及</w:t>
      </w:r>
      <w:r>
        <w:rPr>
          <w:rFonts w:hint="eastAsia" w:ascii="宋体" w:hAnsi="宋体" w:eastAsia="宋体" w:cs="宋体"/>
          <w:i/>
          <w:color w:val="auto"/>
          <w:sz w:val="24"/>
          <w:szCs w:val="24"/>
        </w:rPr>
        <w:t>【对接人2：</w:t>
      </w:r>
      <w:r>
        <w:rPr>
          <w:rFonts w:hint="eastAsia" w:ascii="宋体" w:hAnsi="宋体" w:cs="宋体"/>
          <w:i/>
          <w:color w:val="auto"/>
          <w:sz w:val="24"/>
          <w:szCs w:val="24"/>
        </w:rPr>
        <w:t>姓名</w:t>
      </w:r>
      <w:r>
        <w:rPr>
          <w:rFonts w:hint="eastAsia" w:ascii="宋体" w:hAnsi="宋体" w:eastAsia="宋体" w:cs="宋体"/>
          <w:i/>
          <w:color w:val="auto"/>
          <w:sz w:val="24"/>
          <w:szCs w:val="24"/>
        </w:rPr>
        <w:t>/联系方式】</w:t>
      </w:r>
      <w:r>
        <w:rPr>
          <w:rFonts w:hint="eastAsia" w:ascii="宋体" w:hAnsi="宋体" w:eastAsia="宋体" w:cs="宋体"/>
          <w:color w:val="auto"/>
          <w:sz w:val="24"/>
          <w:szCs w:val="24"/>
        </w:rPr>
        <w:t>作为甲方对接人，代表甲方确认电子带看单。该对接人确认规则是（请打√）：</w:t>
      </w:r>
    </w:p>
    <w:p w14:paraId="3F2B5438">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任1人完成线上确认及通过，即任何1人完成线上签字确认后，电子带看单即生效</w:t>
      </w:r>
    </w:p>
    <w:p w14:paraId="7D206166">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□对接人均需签字，所有对接人均签字完毕后，电子带看单即生效。</w:t>
      </w:r>
    </w:p>
    <w:p w14:paraId="31E4125A">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14:paraId="7C295666">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首次登录的，系统会校验甲方置业顾问及甲方对接人是否经过实名认证。</w:t>
      </w:r>
    </w:p>
    <w:p w14:paraId="32D79DD4">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14:paraId="2EF0F816">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已完成实名认证的，下次登录时，甲方置业顾问及甲方对接人可用手机号及回填短信验证码方式登录系统。</w:t>
      </w:r>
    </w:p>
    <w:p w14:paraId="65BFBA66">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14:paraId="59C4AC61">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auto"/>
          <w:sz w:val="24"/>
          <w:szCs w:val="24"/>
        </w:rPr>
        <w:t>逾期确认的，自【确认时限届满时】视为甲方置业顾问及甲方对接人完成电子带看单确认</w:t>
      </w:r>
      <w:r>
        <w:rPr>
          <w:rFonts w:hint="eastAsia" w:ascii="宋体" w:hAnsi="宋体" w:eastAsia="宋体" w:cs="宋体"/>
          <w:color w:val="auto"/>
          <w:sz w:val="24"/>
          <w:szCs w:val="24"/>
        </w:rPr>
        <w:t>。</w:t>
      </w:r>
    </w:p>
    <w:p w14:paraId="77A3048F">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甲方对接人完成电子带看单确认（包括视为确认的情况），电子带看单即生效，对甲乙双方均具有法律约束力。</w:t>
      </w:r>
    </w:p>
    <w:p w14:paraId="1FA86EA4">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bookmarkStart w:id="3" w:name="_Hlk71653060"/>
      <w:r>
        <w:rPr>
          <w:rFonts w:hint="eastAsia" w:ascii="宋体" w:hAnsi="宋体" w:eastAsia="宋体" w:cs="宋体"/>
          <w:color w:val="auto"/>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3"/>
    </w:p>
    <w:p w14:paraId="6C3B9B73">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本项目支持置业顾问在线对电子带看单进行“备注”，乙方驻场可以查看并为项目需要而使用。</w:t>
      </w:r>
    </w:p>
    <w:p w14:paraId="0A23FA40">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双方权利义务</w:t>
      </w:r>
    </w:p>
    <w:p w14:paraId="26CA0B94">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14:paraId="5B459817">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14:paraId="77D798AC">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4" w:name="_Hlk71653096"/>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向乙方披露</w:t>
      </w:r>
      <w:r>
        <w:rPr>
          <w:rFonts w:hint="eastAsia" w:ascii="宋体" w:hAnsi="宋体" w:eastAsia="宋体" w:cs="宋体"/>
          <w:color w:val="auto"/>
          <w:sz w:val="24"/>
          <w:szCs w:val="24"/>
          <w:lang w:eastAsia="zh-Hans"/>
        </w:rPr>
        <w:t>和授权收集、使用相关信息</w:t>
      </w:r>
      <w:r>
        <w:rPr>
          <w:rFonts w:hint="eastAsia" w:ascii="宋体" w:hAnsi="宋体" w:eastAsia="宋体" w:cs="宋体"/>
          <w:color w:val="auto"/>
          <w:sz w:val="24"/>
          <w:szCs w:val="24"/>
        </w:rPr>
        <w:t>，已经</w:t>
      </w:r>
      <w:r>
        <w:rPr>
          <w:rFonts w:hint="eastAsia" w:ascii="宋体" w:hAnsi="宋体" w:eastAsia="宋体" w:cs="宋体"/>
          <w:color w:val="auto"/>
          <w:sz w:val="24"/>
          <w:szCs w:val="24"/>
          <w:lang w:eastAsia="zh-Hans"/>
        </w:rPr>
        <w:t>事先</w:t>
      </w:r>
      <w:r>
        <w:rPr>
          <w:rFonts w:hint="eastAsia" w:ascii="宋体" w:hAnsi="宋体" w:eastAsia="宋体" w:cs="宋体"/>
          <w:color w:val="auto"/>
          <w:sz w:val="24"/>
          <w:szCs w:val="24"/>
        </w:rPr>
        <w:t>取得信息主体的明确授权或同意。</w:t>
      </w:r>
      <w:bookmarkEnd w:id="4"/>
    </w:p>
    <w:p w14:paraId="7E4927DE">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甲方应通知、督促及确保项目置业顾问及甲方对接人同意按本补充协议约定接收手机短信、进行实名认证（若有，下同）并完成确认。</w:t>
      </w:r>
    </w:p>
    <w:p w14:paraId="1E9E96DA">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14:paraId="40C51EF6">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项目置业顾问或甲方对接人变更，或其手机号变更的，甲方应至少提前1日通过电子邮箱（发件人邮箱【184449714@qq.com】或</w:t>
      </w:r>
      <w:r>
        <w:rPr>
          <w:rFonts w:hint="eastAsia" w:ascii="宋体" w:hAnsi="宋体" w:eastAsia="宋体" w:cs="宋体"/>
          <w:color w:val="auto"/>
          <w:sz w:val="24"/>
          <w:szCs w:val="24"/>
          <w:lang w:val="en-GB"/>
        </w:rPr>
        <w:t>微信【18637997969】</w:t>
      </w:r>
      <w:r>
        <w:rPr>
          <w:rFonts w:hint="eastAsia" w:ascii="宋体" w:hAnsi="宋体" w:eastAsia="宋体" w:cs="宋体"/>
          <w:color w:val="auto"/>
          <w:sz w:val="24"/>
          <w:szCs w:val="24"/>
        </w:rPr>
        <w:t>）通知乙方（收件人邮箱【zhanglin084@ke.com】或</w:t>
      </w:r>
      <w:r>
        <w:rPr>
          <w:rFonts w:hint="eastAsia" w:ascii="宋体" w:hAnsi="宋体" w:eastAsia="宋体" w:cs="宋体"/>
          <w:color w:val="auto"/>
          <w:sz w:val="24"/>
          <w:szCs w:val="24"/>
          <w:lang w:val="en-GB"/>
        </w:rPr>
        <w:t>微信【</w:t>
      </w:r>
      <w:r>
        <w:rPr>
          <w:rFonts w:hint="eastAsia" w:ascii="宋体" w:hAnsi="宋体" w:eastAsia="宋体" w:cs="宋体"/>
          <w:color w:val="auto"/>
          <w:sz w:val="24"/>
          <w:szCs w:val="24"/>
        </w:rPr>
        <w:t>18637988032</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），并告知变更后的项目置业顾问或甲方对接人信息，否则视为未变更。变更前人员或手机号确认的电子带看单仍对甲乙双方具有约束力。</w:t>
      </w:r>
    </w:p>
    <w:p w14:paraId="6A7BB577">
      <w:pPr>
        <w:pStyle w:val="16"/>
        <w:widowControl w:val="0"/>
        <w:numPr>
          <w:ilvl w:val="0"/>
          <w:numId w:val="7"/>
        </w:numPr>
        <w:kinsoku/>
        <w:snapToGrid/>
        <w:spacing w:line="360" w:lineRule="auto"/>
        <w:ind w:left="420" w:hanging="420" w:firstLineChars="0"/>
        <w:textAlignment w:val="auto"/>
        <w:rPr>
          <w:rFonts w:ascii="宋体" w:hAnsi="宋体" w:eastAsia="宋体" w:cs="宋体"/>
          <w:bCs/>
          <w:color w:val="auto"/>
          <w:sz w:val="24"/>
          <w:szCs w:val="24"/>
        </w:rPr>
      </w:pPr>
      <w:bookmarkStart w:id="5" w:name="_Hlk71653140"/>
      <w:r>
        <w:rPr>
          <w:rFonts w:hint="eastAsia" w:ascii="宋体" w:hAnsi="宋体" w:eastAsia="宋体" w:cs="宋体"/>
          <w:bCs/>
          <w:color w:val="auto"/>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5"/>
    </w:p>
    <w:p w14:paraId="7CB8E07B">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其他</w:t>
      </w:r>
    </w:p>
    <w:p w14:paraId="2DBD6836">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14:paraId="0CC3BD60">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本补充协议与主协议约定不一致的，按本补充协议约定履行；本补充协议未约定的，仍按主协议约定履行。</w:t>
      </w:r>
    </w:p>
    <w:p w14:paraId="4A1D628A">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14:paraId="6E3DEA25">
      <w:pPr>
        <w:widowControl w:val="0"/>
        <w:kinsoku/>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（以下无正文，为《电子电子带看单补充协议》盖章页）</w:t>
      </w:r>
    </w:p>
    <w:p w14:paraId="34B84962">
      <w:pPr>
        <w:pStyle w:val="2"/>
        <w:ind w:firstLine="482"/>
        <w:rPr>
          <w:rFonts w:eastAsia="宋体" w:cs="宋体"/>
          <w:b/>
          <w:color w:val="auto"/>
          <w:sz w:val="24"/>
          <w:szCs w:val="24"/>
        </w:rPr>
      </w:pPr>
    </w:p>
    <w:p w14:paraId="606B44CB">
      <w:pPr>
        <w:pStyle w:val="2"/>
        <w:ind w:firstLine="482"/>
        <w:rPr>
          <w:rFonts w:eastAsia="宋体" w:cs="宋体"/>
          <w:b/>
          <w:color w:val="auto"/>
          <w:sz w:val="24"/>
          <w:szCs w:val="24"/>
        </w:rPr>
      </w:pPr>
    </w:p>
    <w:p w14:paraId="1AD70D9E">
      <w:pPr>
        <w:spacing w:line="360" w:lineRule="auto"/>
        <w:rPr>
          <w:rFonts w:ascii="宋体" w:hAnsi="宋体" w:eastAsia="宋体" w:cs="宋体"/>
          <w:color w:val="auto"/>
          <w:lang w:val="zh-TW" w:eastAsia="zh-TW"/>
        </w:rPr>
      </w:pPr>
      <w:r>
        <w:rPr>
          <w:rFonts w:hint="eastAsia" w:ascii="宋体" w:hAnsi="宋体" w:eastAsia="宋体" w:cs="宋体"/>
          <w:b/>
          <w:color w:val="auto"/>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558E63AC">
                            <w:pPr>
                              <w:rPr>
                                <w:rFonts w:ascii="宋体" w:hAnsi="宋体" w:eastAsia="宋体" w:cs="宋体"/>
                                <w:b/>
                                <w:sz w:val="24"/>
                                <w:szCs w:val="32"/>
                              </w:rPr>
                            </w:pPr>
                            <w:r>
                              <w:rPr>
                                <w:rFonts w:hint="eastAsia" w:ascii="宋体" w:hAnsi="宋体" w:eastAsia="宋体" w:cs="宋体"/>
                                <w:b/>
                                <w:sz w:val="24"/>
                                <w:szCs w:val="32"/>
                              </w:rPr>
                              <w:t>甲方盖章：</w:t>
                            </w:r>
                          </w:p>
                          <w:p w14:paraId="7E8053F4">
                            <w:pPr>
                              <w:rPr>
                                <w:rFonts w:ascii="宋体" w:hAnsi="宋体" w:eastAsia="宋体" w:cs="宋体"/>
                                <w:b/>
                                <w:sz w:val="24"/>
                                <w:szCs w:val="32"/>
                              </w:rPr>
                            </w:pPr>
                          </w:p>
                          <w:p w14:paraId="3E010B94">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14:paraId="558E63AC">
                      <w:pPr>
                        <w:rPr>
                          <w:rFonts w:ascii="宋体" w:hAnsi="宋体" w:eastAsia="宋体" w:cs="宋体"/>
                          <w:b/>
                          <w:sz w:val="24"/>
                          <w:szCs w:val="32"/>
                        </w:rPr>
                      </w:pPr>
                      <w:r>
                        <w:rPr>
                          <w:rFonts w:hint="eastAsia" w:ascii="宋体" w:hAnsi="宋体" w:eastAsia="宋体" w:cs="宋体"/>
                          <w:b/>
                          <w:sz w:val="24"/>
                          <w:szCs w:val="32"/>
                        </w:rPr>
                        <w:t>甲方盖章：</w:t>
                      </w:r>
                    </w:p>
                    <w:p w14:paraId="7E8053F4">
                      <w:pPr>
                        <w:rPr>
                          <w:rFonts w:ascii="宋体" w:hAnsi="宋体" w:eastAsia="宋体" w:cs="宋体"/>
                          <w:b/>
                          <w:sz w:val="24"/>
                          <w:szCs w:val="32"/>
                        </w:rPr>
                      </w:pPr>
                    </w:p>
                    <w:p w14:paraId="3E010B94">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auto"/>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14:paraId="59B5B4F8">
                            <w:pPr>
                              <w:rPr>
                                <w:rFonts w:ascii="宋体" w:hAnsi="宋体" w:eastAsia="宋体" w:cs="宋体"/>
                                <w:b/>
                                <w:sz w:val="24"/>
                                <w:szCs w:val="32"/>
                              </w:rPr>
                            </w:pPr>
                            <w:r>
                              <w:rPr>
                                <w:rFonts w:hint="eastAsia" w:ascii="宋体" w:hAnsi="宋体" w:eastAsia="宋体" w:cs="宋体"/>
                                <w:b/>
                                <w:sz w:val="24"/>
                                <w:szCs w:val="32"/>
                              </w:rPr>
                              <w:t>乙方盖章：</w:t>
                            </w:r>
                          </w:p>
                          <w:p w14:paraId="2187FD4E">
                            <w:pPr>
                              <w:rPr>
                                <w:rFonts w:ascii="宋体" w:hAnsi="宋体" w:eastAsia="宋体" w:cs="宋体"/>
                                <w:b/>
                                <w:sz w:val="24"/>
                                <w:szCs w:val="32"/>
                              </w:rPr>
                            </w:pPr>
                          </w:p>
                          <w:p w14:paraId="1F896B0F">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14:paraId="59B5B4F8">
                      <w:pPr>
                        <w:rPr>
                          <w:rFonts w:ascii="宋体" w:hAnsi="宋体" w:eastAsia="宋体" w:cs="宋体"/>
                          <w:b/>
                          <w:sz w:val="24"/>
                          <w:szCs w:val="32"/>
                        </w:rPr>
                      </w:pPr>
                      <w:r>
                        <w:rPr>
                          <w:rFonts w:hint="eastAsia" w:ascii="宋体" w:hAnsi="宋体" w:eastAsia="宋体" w:cs="宋体"/>
                          <w:b/>
                          <w:sz w:val="24"/>
                          <w:szCs w:val="32"/>
                        </w:rPr>
                        <w:t>乙方盖章：</w:t>
                      </w:r>
                    </w:p>
                    <w:p w14:paraId="2187FD4E">
                      <w:pPr>
                        <w:rPr>
                          <w:rFonts w:ascii="宋体" w:hAnsi="宋体" w:eastAsia="宋体" w:cs="宋体"/>
                          <w:b/>
                          <w:sz w:val="24"/>
                          <w:szCs w:val="32"/>
                        </w:rPr>
                      </w:pPr>
                    </w:p>
                    <w:p w14:paraId="1F896B0F">
                      <w:pPr>
                        <w:rPr>
                          <w:rFonts w:ascii="宋体" w:hAnsi="宋体" w:eastAsia="宋体" w:cs="宋体"/>
                          <w:b/>
                          <w:sz w:val="24"/>
                          <w:szCs w:val="32"/>
                        </w:rPr>
                      </w:pPr>
                      <w:r>
                        <w:rPr>
                          <w:rFonts w:hint="eastAsia" w:ascii="宋体" w:hAnsi="宋体" w:eastAsia="宋体" w:cs="宋体"/>
                          <w:b/>
                          <w:sz w:val="24"/>
                          <w:szCs w:val="32"/>
                        </w:rPr>
                        <w:t>日期：</w:t>
                      </w:r>
                      <w:r>
                        <w:rPr>
                          <w:rFonts w:hint="eastAsia" w:ascii="宋体" w:hAnsi="宋体" w:eastAsia="宋体" w:cs="宋体"/>
                          <w:b/>
                          <w:sz w:val="24"/>
                          <w:szCs w:val="32"/>
                          <w:lang w:eastAsia="zh-CN"/>
                        </w:rPr>
                        <w:t>2025</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14:paraId="04F3DDA5">
      <w:pPr>
        <w:spacing w:line="300" w:lineRule="auto"/>
        <w:ind w:left="630" w:hanging="630" w:hangingChars="300"/>
        <w:rPr>
          <w:rFonts w:ascii="宋体" w:hAnsi="宋体" w:eastAsia="宋体" w:cs="宋体"/>
          <w:color w:val="auto"/>
        </w:rPr>
      </w:pPr>
    </w:p>
    <w:p w14:paraId="08FB88E7">
      <w:pPr>
        <w:spacing w:line="360" w:lineRule="auto"/>
        <w:rPr>
          <w:rFonts w:ascii="仿宋" w:hAnsi="仿宋" w:eastAsia="仿宋" w:cs="仿宋"/>
          <w:b/>
          <w:color w:val="auto"/>
        </w:rPr>
      </w:pPr>
    </w:p>
    <w:p w14:paraId="610C9C03">
      <w:pPr>
        <w:keepNext/>
        <w:widowControl w:val="0"/>
        <w:adjustRightInd/>
        <w:spacing w:before="234"/>
        <w:rPr>
          <w:rFonts w:asciiTheme="minorEastAsia" w:hAnsiTheme="minorEastAsia" w:eastAsiaTheme="minorEastAsia" w:cstheme="minorEastAsia"/>
          <w:color w:val="auto"/>
          <w:sz w:val="25"/>
          <w:szCs w:val="25"/>
        </w:rPr>
      </w:pPr>
    </w:p>
    <w:p w14:paraId="1EAD8170">
      <w:pPr>
        <w:pStyle w:val="2"/>
        <w:rPr>
          <w:rFonts w:asciiTheme="minorEastAsia" w:hAnsiTheme="minorEastAsia" w:eastAsiaTheme="minorEastAsia" w:cstheme="minorEastAsia"/>
          <w:color w:val="auto"/>
          <w:sz w:val="25"/>
          <w:szCs w:val="25"/>
        </w:rPr>
      </w:pPr>
    </w:p>
    <w:p w14:paraId="71B739F3">
      <w:pPr>
        <w:pStyle w:val="2"/>
        <w:rPr>
          <w:rFonts w:asciiTheme="minorEastAsia" w:hAnsiTheme="minorEastAsia" w:eastAsiaTheme="minorEastAsia" w:cstheme="minorEastAsia"/>
          <w:color w:val="auto"/>
          <w:sz w:val="25"/>
          <w:szCs w:val="25"/>
        </w:rPr>
      </w:pPr>
    </w:p>
    <w:p w14:paraId="15AC377B">
      <w:pPr>
        <w:pStyle w:val="2"/>
        <w:rPr>
          <w:rFonts w:asciiTheme="minorEastAsia" w:hAnsiTheme="minorEastAsia" w:eastAsiaTheme="minorEastAsia" w:cstheme="minorEastAsia"/>
          <w:color w:val="auto"/>
          <w:sz w:val="25"/>
          <w:szCs w:val="25"/>
        </w:rPr>
      </w:pPr>
    </w:p>
    <w:p w14:paraId="23510050">
      <w:pPr>
        <w:pStyle w:val="2"/>
        <w:rPr>
          <w:rFonts w:asciiTheme="minorEastAsia" w:hAnsiTheme="minorEastAsia" w:eastAsiaTheme="minorEastAsia" w:cstheme="minorEastAsia"/>
          <w:color w:val="auto"/>
          <w:sz w:val="25"/>
          <w:szCs w:val="25"/>
        </w:rPr>
      </w:pPr>
    </w:p>
    <w:p w14:paraId="15681C45">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5</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14:paraId="6B2CA540">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254210F1">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b/>
          <w:color w:val="auto"/>
          <w:szCs w:val="24"/>
          <w:lang w:val="en-US" w:eastAsia="zh-CN"/>
        </w:rPr>
        <w:t>河南浩德新澜置业有限公司</w:t>
      </w:r>
      <w:r>
        <w:rPr>
          <w:rFonts w:hint="eastAsia" w:ascii="宋体" w:hAnsi="宋体"/>
          <w:b/>
          <w:color w:val="auto"/>
          <w:szCs w:val="24"/>
        </w:rPr>
        <w:t xml:space="preserve">       </w:t>
      </w:r>
    </w:p>
    <w:p w14:paraId="38B647FD">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洛阳闹贝房地产经纪有限公司</w:t>
      </w:r>
      <w:r>
        <w:rPr>
          <w:rFonts w:hint="eastAsia" w:ascii="宋体" w:hAnsi="宋体"/>
          <w:b/>
          <w:color w:val="auto"/>
          <w:szCs w:val="24"/>
        </w:rPr>
        <w:t xml:space="preserve">  </w:t>
      </w:r>
    </w:p>
    <w:p w14:paraId="09712965">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21182134">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14:paraId="763CE1E2">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1B54C3EE">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7C805E4E">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4D2E48F3">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2066E7E7">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54CBA4BF">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3B164B1E">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14:paraId="4890831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73BD4DC8">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60A95825">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10A04314">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54D6655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0B85C43">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36757EB7">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14:paraId="7DA4DC00">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07F17EE8">
      <w:pPr>
        <w:spacing w:line="360" w:lineRule="auto"/>
        <w:ind w:firstLine="420" w:firstLineChars="200"/>
        <w:rPr>
          <w:rFonts w:ascii="宋体" w:hAnsi="宋体" w:cs="宋体"/>
          <w:color w:val="auto"/>
          <w:szCs w:val="28"/>
        </w:rPr>
      </w:pPr>
      <w:r>
        <w:rPr>
          <w:color w:val="auto"/>
        </w:rP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5C7C8913">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14:paraId="01C2A13A">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14:paraId="4B888A23">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456C95B1">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21C8531B">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2EC5B561">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667C314C">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7A0D7191">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1C672708">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4891A5D3">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7CBAA2CF">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6D9D6AA5">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15E187D8">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7E79A2A4">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52BBF3CA">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192052A">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3D8EAFCB">
      <w:pPr>
        <w:spacing w:line="360" w:lineRule="auto"/>
        <w:ind w:firstLine="420" w:firstLineChars="200"/>
        <w:rPr>
          <w:rFonts w:ascii="宋体" w:hAnsi="宋体" w:cs="宋体"/>
          <w:color w:val="auto"/>
        </w:rPr>
      </w:pPr>
      <w:r>
        <w:rPr>
          <w:rFonts w:hint="eastAsia" w:ascii="宋体" w:hAnsi="宋体" w:cs="宋体"/>
          <w:color w:val="auto"/>
        </w:rPr>
        <w:t>（以下无正文）</w:t>
      </w:r>
    </w:p>
    <w:p w14:paraId="002074F5">
      <w:pPr>
        <w:autoSpaceDN w:val="0"/>
        <w:spacing w:line="360" w:lineRule="auto"/>
        <w:ind w:firstLine="420" w:firstLineChars="200"/>
        <w:rPr>
          <w:rFonts w:hint="eastAsia" w:ascii="宋体" w:hAnsi="宋体" w:cs="宋体"/>
          <w:color w:val="auto"/>
          <w:szCs w:val="28"/>
        </w:rPr>
      </w:pPr>
    </w:p>
    <w:p w14:paraId="719B2EDC">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color w:val="auto"/>
          <w:szCs w:val="24"/>
          <w:lang w:val="en-US" w:eastAsia="zh-CN"/>
        </w:rPr>
        <w:t>河南浩德新澜置业有限公司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rPr>
        <w:t>洛阳闹贝房地产经纪有限公司</w:t>
      </w:r>
      <w:r>
        <w:rPr>
          <w:rFonts w:hint="eastAsia" w:ascii="宋体" w:hAnsi="宋体" w:eastAsia="宋体" w:cs="宋体"/>
          <w:b w:val="0"/>
          <w:color w:val="auto"/>
          <w:szCs w:val="24"/>
        </w:rPr>
        <w:t xml:space="preserve">  </w:t>
      </w:r>
    </w:p>
    <w:p w14:paraId="55B7DA5C">
      <w:pPr>
        <w:autoSpaceDN w:val="0"/>
        <w:spacing w:line="360" w:lineRule="auto"/>
        <w:ind w:firstLine="420" w:firstLineChars="200"/>
        <w:rPr>
          <w:rFonts w:hint="eastAsia" w:ascii="宋体" w:hAnsi="宋体"/>
          <w:color w:val="auto"/>
          <w:szCs w:val="24"/>
        </w:rPr>
      </w:pPr>
    </w:p>
    <w:p w14:paraId="6F0968A8">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eastAsia="宋体" w:cs="宋体"/>
          <w:bCs/>
          <w:color w:val="auto"/>
          <w:szCs w:val="24"/>
          <w:u w:val="single"/>
          <w:lang w:eastAsia="zh-CN"/>
        </w:rPr>
        <w:t>2025</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eastAsia="宋体" w:cs="宋体"/>
          <w:bCs/>
          <w:color w:val="auto"/>
          <w:szCs w:val="24"/>
          <w:u w:val="single"/>
          <w:lang w:eastAsia="zh-CN"/>
        </w:rPr>
        <w:t>2025</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eastAsia="宋体" w:cs="宋体"/>
          <w:bCs/>
          <w:color w:val="auto"/>
          <w:szCs w:val="24"/>
          <w:u w:val="single"/>
          <w:lang w:val="en-US" w:eastAsia="zh-CN"/>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14:paraId="61CD35F8">
      <w:pPr>
        <w:pStyle w:val="2"/>
        <w:rPr>
          <w:rFonts w:asciiTheme="minorEastAsia" w:hAnsiTheme="minorEastAsia" w:eastAsiaTheme="minorEastAsia" w:cstheme="minorEastAsia"/>
          <w:color w:val="auto"/>
          <w:sz w:val="25"/>
          <w:szCs w:val="25"/>
        </w:rPr>
      </w:pPr>
    </w:p>
    <w:p w14:paraId="52EFC5DC">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14:paraId="5383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7BBD36CB">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14:paraId="7111EEA4">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14:paraId="2A83C657">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14:paraId="2A37D909">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14:paraId="09E2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4A499487">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14:paraId="04F9954F">
            <w:pPr>
              <w:tabs>
                <w:tab w:val="left" w:pos="0"/>
              </w:tabs>
              <w:overflowPunct w:val="0"/>
              <w:spacing w:line="360" w:lineRule="auto"/>
              <w:jc w:val="center"/>
              <w:rPr>
                <w:rFonts w:ascii="宋体" w:hAnsi="宋体" w:eastAsia="宋体" w:cs="宋体"/>
                <w:b/>
                <w:color w:val="auto"/>
              </w:rPr>
            </w:pPr>
          </w:p>
        </w:tc>
        <w:tc>
          <w:tcPr>
            <w:tcW w:w="2493" w:type="dxa"/>
          </w:tcPr>
          <w:p w14:paraId="298A8EBF">
            <w:pPr>
              <w:tabs>
                <w:tab w:val="left" w:pos="0"/>
              </w:tabs>
              <w:overflowPunct w:val="0"/>
              <w:spacing w:line="360" w:lineRule="auto"/>
              <w:jc w:val="center"/>
              <w:rPr>
                <w:rFonts w:ascii="宋体" w:hAnsi="宋体" w:eastAsia="宋体" w:cs="宋体"/>
                <w:b/>
                <w:color w:val="auto"/>
              </w:rPr>
            </w:pPr>
          </w:p>
        </w:tc>
        <w:tc>
          <w:tcPr>
            <w:tcW w:w="3346" w:type="dxa"/>
          </w:tcPr>
          <w:p w14:paraId="1D9DC060">
            <w:pPr>
              <w:tabs>
                <w:tab w:val="left" w:pos="0"/>
              </w:tabs>
              <w:overflowPunct w:val="0"/>
              <w:spacing w:line="360" w:lineRule="auto"/>
              <w:jc w:val="center"/>
              <w:rPr>
                <w:rFonts w:ascii="宋体" w:hAnsi="宋体" w:eastAsia="宋体" w:cs="宋体"/>
                <w:b/>
                <w:color w:val="auto"/>
              </w:rPr>
            </w:pPr>
          </w:p>
        </w:tc>
      </w:tr>
      <w:tr w14:paraId="293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D1C4906">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14:paraId="5EEA0A0A">
            <w:pPr>
              <w:tabs>
                <w:tab w:val="left" w:pos="0"/>
              </w:tabs>
              <w:overflowPunct w:val="0"/>
              <w:spacing w:line="360" w:lineRule="auto"/>
              <w:jc w:val="center"/>
              <w:rPr>
                <w:rFonts w:ascii="宋体" w:hAnsi="宋体" w:eastAsia="宋体" w:cs="宋体"/>
                <w:b/>
                <w:color w:val="auto"/>
              </w:rPr>
            </w:pPr>
          </w:p>
        </w:tc>
        <w:tc>
          <w:tcPr>
            <w:tcW w:w="2493" w:type="dxa"/>
          </w:tcPr>
          <w:p w14:paraId="3AEB93E6">
            <w:pPr>
              <w:tabs>
                <w:tab w:val="left" w:pos="0"/>
              </w:tabs>
              <w:overflowPunct w:val="0"/>
              <w:spacing w:line="360" w:lineRule="auto"/>
              <w:jc w:val="center"/>
              <w:rPr>
                <w:rFonts w:ascii="宋体" w:hAnsi="宋体" w:eastAsia="宋体" w:cs="宋体"/>
                <w:b/>
                <w:color w:val="auto"/>
              </w:rPr>
            </w:pPr>
          </w:p>
        </w:tc>
        <w:tc>
          <w:tcPr>
            <w:tcW w:w="3346" w:type="dxa"/>
          </w:tcPr>
          <w:p w14:paraId="3065109D">
            <w:pPr>
              <w:tabs>
                <w:tab w:val="left" w:pos="0"/>
              </w:tabs>
              <w:overflowPunct w:val="0"/>
              <w:spacing w:line="360" w:lineRule="auto"/>
              <w:jc w:val="center"/>
              <w:rPr>
                <w:rFonts w:ascii="宋体" w:hAnsi="宋体" w:eastAsia="宋体" w:cs="宋体"/>
                <w:b/>
                <w:color w:val="auto"/>
              </w:rPr>
            </w:pPr>
          </w:p>
        </w:tc>
      </w:tr>
      <w:tr w14:paraId="272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5FD5F6E">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14:paraId="7956992D">
            <w:pPr>
              <w:tabs>
                <w:tab w:val="left" w:pos="0"/>
              </w:tabs>
              <w:overflowPunct w:val="0"/>
              <w:spacing w:line="360" w:lineRule="auto"/>
              <w:jc w:val="center"/>
              <w:rPr>
                <w:rFonts w:ascii="宋体" w:hAnsi="宋体" w:eastAsia="宋体" w:cs="宋体"/>
                <w:b/>
                <w:color w:val="auto"/>
              </w:rPr>
            </w:pPr>
          </w:p>
        </w:tc>
        <w:tc>
          <w:tcPr>
            <w:tcW w:w="2493" w:type="dxa"/>
          </w:tcPr>
          <w:p w14:paraId="3AAB0700">
            <w:pPr>
              <w:tabs>
                <w:tab w:val="left" w:pos="0"/>
              </w:tabs>
              <w:overflowPunct w:val="0"/>
              <w:spacing w:line="360" w:lineRule="auto"/>
              <w:jc w:val="center"/>
              <w:rPr>
                <w:rFonts w:ascii="宋体" w:hAnsi="宋体" w:eastAsia="宋体" w:cs="宋体"/>
                <w:b/>
                <w:color w:val="auto"/>
              </w:rPr>
            </w:pPr>
          </w:p>
        </w:tc>
        <w:tc>
          <w:tcPr>
            <w:tcW w:w="3346" w:type="dxa"/>
          </w:tcPr>
          <w:p w14:paraId="109A81C2">
            <w:pPr>
              <w:tabs>
                <w:tab w:val="left" w:pos="0"/>
              </w:tabs>
              <w:overflowPunct w:val="0"/>
              <w:spacing w:line="360" w:lineRule="auto"/>
              <w:jc w:val="center"/>
              <w:rPr>
                <w:rFonts w:ascii="宋体" w:hAnsi="宋体" w:eastAsia="宋体" w:cs="宋体"/>
                <w:b/>
                <w:color w:val="auto"/>
              </w:rPr>
            </w:pPr>
          </w:p>
        </w:tc>
      </w:tr>
      <w:tr w14:paraId="5FD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16C5F160">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14:paraId="75B38067">
            <w:pPr>
              <w:tabs>
                <w:tab w:val="left" w:pos="0"/>
              </w:tabs>
              <w:overflowPunct w:val="0"/>
              <w:spacing w:line="360" w:lineRule="auto"/>
              <w:jc w:val="center"/>
              <w:rPr>
                <w:rFonts w:ascii="宋体" w:hAnsi="宋体" w:eastAsia="宋体" w:cs="宋体"/>
                <w:b/>
                <w:color w:val="auto"/>
              </w:rPr>
            </w:pPr>
          </w:p>
        </w:tc>
        <w:tc>
          <w:tcPr>
            <w:tcW w:w="2493" w:type="dxa"/>
          </w:tcPr>
          <w:p w14:paraId="081ED2C5">
            <w:pPr>
              <w:tabs>
                <w:tab w:val="left" w:pos="0"/>
              </w:tabs>
              <w:overflowPunct w:val="0"/>
              <w:spacing w:line="360" w:lineRule="auto"/>
              <w:jc w:val="center"/>
              <w:rPr>
                <w:rFonts w:ascii="宋体" w:hAnsi="宋体" w:eastAsia="宋体" w:cs="宋体"/>
                <w:b/>
                <w:color w:val="auto"/>
              </w:rPr>
            </w:pPr>
          </w:p>
        </w:tc>
        <w:tc>
          <w:tcPr>
            <w:tcW w:w="3346" w:type="dxa"/>
          </w:tcPr>
          <w:p w14:paraId="61005A1B">
            <w:pPr>
              <w:tabs>
                <w:tab w:val="left" w:pos="0"/>
              </w:tabs>
              <w:overflowPunct w:val="0"/>
              <w:spacing w:line="360" w:lineRule="auto"/>
              <w:jc w:val="center"/>
              <w:rPr>
                <w:rFonts w:ascii="宋体" w:hAnsi="宋体" w:eastAsia="宋体" w:cs="宋体"/>
                <w:b/>
                <w:color w:val="auto"/>
              </w:rPr>
            </w:pPr>
          </w:p>
        </w:tc>
      </w:tr>
      <w:tr w14:paraId="7345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DF08EC5">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14:paraId="61CE176B">
            <w:pPr>
              <w:tabs>
                <w:tab w:val="left" w:pos="0"/>
              </w:tabs>
              <w:overflowPunct w:val="0"/>
              <w:spacing w:line="360" w:lineRule="auto"/>
              <w:jc w:val="center"/>
              <w:rPr>
                <w:rFonts w:ascii="宋体" w:hAnsi="宋体" w:eastAsia="宋体" w:cs="宋体"/>
                <w:b/>
                <w:color w:val="auto"/>
              </w:rPr>
            </w:pPr>
          </w:p>
        </w:tc>
        <w:tc>
          <w:tcPr>
            <w:tcW w:w="2493" w:type="dxa"/>
          </w:tcPr>
          <w:p w14:paraId="19894F14">
            <w:pPr>
              <w:tabs>
                <w:tab w:val="left" w:pos="0"/>
              </w:tabs>
              <w:overflowPunct w:val="0"/>
              <w:spacing w:line="360" w:lineRule="auto"/>
              <w:jc w:val="center"/>
              <w:rPr>
                <w:rFonts w:ascii="宋体" w:hAnsi="宋体" w:eastAsia="宋体" w:cs="宋体"/>
                <w:b/>
                <w:color w:val="auto"/>
              </w:rPr>
            </w:pPr>
          </w:p>
        </w:tc>
        <w:tc>
          <w:tcPr>
            <w:tcW w:w="3346" w:type="dxa"/>
          </w:tcPr>
          <w:p w14:paraId="3D80321E">
            <w:pPr>
              <w:tabs>
                <w:tab w:val="left" w:pos="0"/>
              </w:tabs>
              <w:overflowPunct w:val="0"/>
              <w:spacing w:line="360" w:lineRule="auto"/>
              <w:jc w:val="center"/>
              <w:rPr>
                <w:rFonts w:ascii="宋体" w:hAnsi="宋体" w:eastAsia="宋体" w:cs="宋体"/>
                <w:b/>
                <w:color w:val="auto"/>
              </w:rPr>
            </w:pPr>
          </w:p>
        </w:tc>
      </w:tr>
      <w:tr w14:paraId="37B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AAC181F">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14:paraId="7467DB9B">
            <w:pPr>
              <w:tabs>
                <w:tab w:val="left" w:pos="0"/>
              </w:tabs>
              <w:overflowPunct w:val="0"/>
              <w:spacing w:line="360" w:lineRule="auto"/>
              <w:jc w:val="center"/>
              <w:rPr>
                <w:rFonts w:ascii="宋体" w:hAnsi="宋体" w:eastAsia="宋体" w:cs="宋体"/>
                <w:b/>
                <w:color w:val="auto"/>
              </w:rPr>
            </w:pPr>
          </w:p>
        </w:tc>
        <w:tc>
          <w:tcPr>
            <w:tcW w:w="2493" w:type="dxa"/>
          </w:tcPr>
          <w:p w14:paraId="1B4C0099">
            <w:pPr>
              <w:tabs>
                <w:tab w:val="left" w:pos="0"/>
              </w:tabs>
              <w:overflowPunct w:val="0"/>
              <w:spacing w:line="360" w:lineRule="auto"/>
              <w:jc w:val="center"/>
              <w:rPr>
                <w:rFonts w:ascii="宋体" w:hAnsi="宋体" w:eastAsia="宋体" w:cs="宋体"/>
                <w:b/>
                <w:color w:val="auto"/>
              </w:rPr>
            </w:pPr>
          </w:p>
        </w:tc>
        <w:tc>
          <w:tcPr>
            <w:tcW w:w="3346" w:type="dxa"/>
          </w:tcPr>
          <w:p w14:paraId="4F73FB60">
            <w:pPr>
              <w:tabs>
                <w:tab w:val="left" w:pos="0"/>
              </w:tabs>
              <w:overflowPunct w:val="0"/>
              <w:spacing w:line="360" w:lineRule="auto"/>
              <w:jc w:val="center"/>
              <w:rPr>
                <w:rFonts w:ascii="宋体" w:hAnsi="宋体" w:eastAsia="宋体" w:cs="宋体"/>
                <w:b/>
                <w:color w:val="auto"/>
              </w:rPr>
            </w:pPr>
          </w:p>
        </w:tc>
      </w:tr>
    </w:tbl>
    <w:p w14:paraId="762DAC09">
      <w:pPr>
        <w:keepNext/>
        <w:widowControl w:val="0"/>
        <w:adjustRightInd/>
        <w:spacing w:before="272"/>
        <w:ind w:left="84"/>
        <w:rPr>
          <w:rFonts w:asciiTheme="minorEastAsia" w:hAnsiTheme="minorEastAsia" w:eastAsiaTheme="minorEastAsia" w:cstheme="minorEastAsia"/>
          <w:color w:val="auto"/>
          <w:spacing w:val="-10"/>
          <w:sz w:val="25"/>
          <w:szCs w:val="25"/>
        </w:rPr>
      </w:pPr>
    </w:p>
    <w:p w14:paraId="6F3FEDED">
      <w:pPr>
        <w:pStyle w:val="2"/>
        <w:rPr>
          <w:color w:val="auto"/>
        </w:rPr>
      </w:pPr>
    </w:p>
    <w:p w14:paraId="17003974">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14:paraId="77C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4B997D53">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项目名称</w:t>
            </w:r>
          </w:p>
        </w:tc>
        <w:tc>
          <w:tcPr>
            <w:tcW w:w="6051" w:type="dxa"/>
            <w:gridSpan w:val="3"/>
          </w:tcPr>
          <w:p w14:paraId="319A6467">
            <w:pPr>
              <w:tabs>
                <w:tab w:val="left" w:pos="0"/>
              </w:tabs>
              <w:overflowPunct w:val="0"/>
              <w:spacing w:line="360" w:lineRule="auto"/>
              <w:rPr>
                <w:rFonts w:ascii="宋体" w:hAnsi="宋体" w:eastAsia="宋体" w:cs="宋体"/>
                <w:b/>
                <w:color w:val="auto"/>
              </w:rPr>
            </w:pPr>
          </w:p>
        </w:tc>
      </w:tr>
      <w:tr w14:paraId="7F0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2CFEBDE">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报备时间</w:t>
            </w:r>
          </w:p>
        </w:tc>
        <w:tc>
          <w:tcPr>
            <w:tcW w:w="1804" w:type="dxa"/>
          </w:tcPr>
          <w:p w14:paraId="1163254B">
            <w:pPr>
              <w:tabs>
                <w:tab w:val="left" w:pos="0"/>
              </w:tabs>
              <w:overflowPunct w:val="0"/>
              <w:spacing w:line="360" w:lineRule="auto"/>
              <w:rPr>
                <w:rFonts w:ascii="宋体" w:hAnsi="宋体" w:eastAsia="宋体" w:cs="宋体"/>
                <w:b/>
                <w:color w:val="auto"/>
              </w:rPr>
            </w:pPr>
          </w:p>
        </w:tc>
        <w:tc>
          <w:tcPr>
            <w:tcW w:w="2124" w:type="dxa"/>
          </w:tcPr>
          <w:p w14:paraId="5DE63F5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到访时间</w:t>
            </w:r>
          </w:p>
        </w:tc>
        <w:tc>
          <w:tcPr>
            <w:tcW w:w="2123" w:type="dxa"/>
          </w:tcPr>
          <w:p w14:paraId="3DD8F27B">
            <w:pPr>
              <w:tabs>
                <w:tab w:val="left" w:pos="0"/>
              </w:tabs>
              <w:overflowPunct w:val="0"/>
              <w:spacing w:line="360" w:lineRule="auto"/>
              <w:rPr>
                <w:rFonts w:ascii="宋体" w:hAnsi="宋体" w:eastAsia="宋体" w:cs="宋体"/>
                <w:b/>
                <w:color w:val="auto"/>
              </w:rPr>
            </w:pPr>
          </w:p>
        </w:tc>
      </w:tr>
      <w:tr w14:paraId="5590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3D5DA6CA">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客户姓名</w:t>
            </w:r>
          </w:p>
        </w:tc>
        <w:tc>
          <w:tcPr>
            <w:tcW w:w="1804" w:type="dxa"/>
          </w:tcPr>
          <w:p w14:paraId="6A56F02B">
            <w:pPr>
              <w:tabs>
                <w:tab w:val="left" w:pos="0"/>
              </w:tabs>
              <w:overflowPunct w:val="0"/>
              <w:spacing w:line="360" w:lineRule="auto"/>
              <w:rPr>
                <w:rFonts w:ascii="宋体" w:hAnsi="宋体" w:eastAsia="宋体" w:cs="宋体"/>
                <w:b/>
                <w:color w:val="auto"/>
              </w:rPr>
            </w:pPr>
          </w:p>
        </w:tc>
        <w:tc>
          <w:tcPr>
            <w:tcW w:w="2124" w:type="dxa"/>
          </w:tcPr>
          <w:p w14:paraId="40E84A05">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客户手机</w:t>
            </w:r>
          </w:p>
        </w:tc>
        <w:tc>
          <w:tcPr>
            <w:tcW w:w="2123" w:type="dxa"/>
          </w:tcPr>
          <w:p w14:paraId="3F37DFB7">
            <w:pPr>
              <w:tabs>
                <w:tab w:val="left" w:pos="0"/>
              </w:tabs>
              <w:overflowPunct w:val="0"/>
              <w:spacing w:line="360" w:lineRule="auto"/>
              <w:rPr>
                <w:rFonts w:ascii="宋体" w:hAnsi="宋体" w:eastAsia="宋体" w:cs="宋体"/>
                <w:b/>
                <w:color w:val="auto"/>
              </w:rPr>
            </w:pPr>
          </w:p>
        </w:tc>
      </w:tr>
      <w:tr w14:paraId="385A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6AB89CF1">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推荐人姓名</w:t>
            </w:r>
          </w:p>
        </w:tc>
        <w:tc>
          <w:tcPr>
            <w:tcW w:w="1804" w:type="dxa"/>
          </w:tcPr>
          <w:p w14:paraId="545B4B5F">
            <w:pPr>
              <w:tabs>
                <w:tab w:val="left" w:pos="0"/>
              </w:tabs>
              <w:overflowPunct w:val="0"/>
              <w:spacing w:line="360" w:lineRule="auto"/>
              <w:rPr>
                <w:rFonts w:ascii="宋体" w:hAnsi="宋体" w:eastAsia="宋体" w:cs="宋体"/>
                <w:b/>
                <w:color w:val="auto"/>
              </w:rPr>
            </w:pPr>
          </w:p>
        </w:tc>
        <w:tc>
          <w:tcPr>
            <w:tcW w:w="2124" w:type="dxa"/>
          </w:tcPr>
          <w:p w14:paraId="74EF679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推荐人手机</w:t>
            </w:r>
          </w:p>
        </w:tc>
        <w:tc>
          <w:tcPr>
            <w:tcW w:w="2123" w:type="dxa"/>
          </w:tcPr>
          <w:p w14:paraId="0AAD456A">
            <w:pPr>
              <w:tabs>
                <w:tab w:val="left" w:pos="0"/>
              </w:tabs>
              <w:overflowPunct w:val="0"/>
              <w:spacing w:line="360" w:lineRule="auto"/>
              <w:rPr>
                <w:rFonts w:ascii="宋体" w:hAnsi="宋体" w:eastAsia="宋体" w:cs="宋体"/>
                <w:b/>
                <w:color w:val="auto"/>
              </w:rPr>
            </w:pPr>
          </w:p>
        </w:tc>
      </w:tr>
      <w:tr w14:paraId="0AA2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1264EE6D">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置业顾问姓名</w:t>
            </w:r>
          </w:p>
        </w:tc>
        <w:tc>
          <w:tcPr>
            <w:tcW w:w="1804" w:type="dxa"/>
          </w:tcPr>
          <w:p w14:paraId="3D80B565">
            <w:pPr>
              <w:tabs>
                <w:tab w:val="left" w:pos="0"/>
              </w:tabs>
              <w:overflowPunct w:val="0"/>
              <w:spacing w:line="360" w:lineRule="auto"/>
              <w:rPr>
                <w:rFonts w:ascii="宋体" w:hAnsi="宋体" w:eastAsia="宋体" w:cs="宋体"/>
                <w:b/>
                <w:color w:val="auto"/>
              </w:rPr>
            </w:pPr>
          </w:p>
        </w:tc>
        <w:tc>
          <w:tcPr>
            <w:tcW w:w="2124" w:type="dxa"/>
          </w:tcPr>
          <w:p w14:paraId="4C82EBE4">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推荐人门店</w:t>
            </w:r>
          </w:p>
        </w:tc>
        <w:tc>
          <w:tcPr>
            <w:tcW w:w="2123" w:type="dxa"/>
          </w:tcPr>
          <w:p w14:paraId="36D53AE0">
            <w:pPr>
              <w:tabs>
                <w:tab w:val="left" w:pos="0"/>
              </w:tabs>
              <w:overflowPunct w:val="0"/>
              <w:spacing w:line="360" w:lineRule="auto"/>
              <w:rPr>
                <w:rFonts w:ascii="宋体" w:hAnsi="宋体" w:eastAsia="宋体" w:cs="宋体"/>
                <w:b/>
                <w:color w:val="auto"/>
              </w:rPr>
            </w:pPr>
          </w:p>
        </w:tc>
      </w:tr>
      <w:tr w14:paraId="32C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14:paraId="7A06674E">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置业顾问手机</w:t>
            </w:r>
          </w:p>
        </w:tc>
        <w:tc>
          <w:tcPr>
            <w:tcW w:w="1804" w:type="dxa"/>
          </w:tcPr>
          <w:p w14:paraId="5A54B0DE">
            <w:pPr>
              <w:tabs>
                <w:tab w:val="left" w:pos="0"/>
              </w:tabs>
              <w:overflowPunct w:val="0"/>
              <w:spacing w:line="360" w:lineRule="auto"/>
              <w:rPr>
                <w:rFonts w:ascii="宋体" w:hAnsi="宋体" w:eastAsia="宋体" w:cs="宋体"/>
                <w:b/>
                <w:color w:val="auto"/>
              </w:rPr>
            </w:pPr>
          </w:p>
        </w:tc>
        <w:tc>
          <w:tcPr>
            <w:tcW w:w="2124" w:type="dxa"/>
          </w:tcPr>
          <w:p w14:paraId="40140492">
            <w:pPr>
              <w:tabs>
                <w:tab w:val="left" w:pos="0"/>
              </w:tabs>
              <w:overflowPunct w:val="0"/>
              <w:spacing w:line="360" w:lineRule="auto"/>
              <w:rPr>
                <w:rFonts w:ascii="宋体" w:hAnsi="宋体" w:eastAsia="宋体" w:cs="宋体"/>
                <w:b/>
                <w:color w:val="auto"/>
              </w:rPr>
            </w:pPr>
          </w:p>
        </w:tc>
        <w:tc>
          <w:tcPr>
            <w:tcW w:w="2123" w:type="dxa"/>
          </w:tcPr>
          <w:p w14:paraId="73F31DCE">
            <w:pPr>
              <w:tabs>
                <w:tab w:val="left" w:pos="0"/>
              </w:tabs>
              <w:overflowPunct w:val="0"/>
              <w:spacing w:line="360" w:lineRule="auto"/>
              <w:rPr>
                <w:rFonts w:ascii="宋体" w:hAnsi="宋体" w:eastAsia="宋体" w:cs="宋体"/>
                <w:b/>
                <w:color w:val="auto"/>
              </w:rPr>
            </w:pPr>
          </w:p>
        </w:tc>
      </w:tr>
      <w:tr w14:paraId="76FD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14:paraId="032826D2">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备注：</w:t>
            </w:r>
          </w:p>
          <w:p w14:paraId="2898ED06">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本登记单为贝壳渠道带看确认单，如客户到访，请确认所填信息的准确性。本确认单为线上签字，具有法律效力。</w:t>
            </w:r>
          </w:p>
        </w:tc>
      </w:tr>
    </w:tbl>
    <w:p w14:paraId="476BBFDF">
      <w:pPr>
        <w:tabs>
          <w:tab w:val="left" w:pos="0"/>
        </w:tabs>
        <w:overflowPunct w:val="0"/>
        <w:spacing w:line="360" w:lineRule="auto"/>
        <w:ind w:firstLine="422" w:firstLineChars="200"/>
        <w:rPr>
          <w:rFonts w:ascii="宋体" w:hAnsi="宋体" w:eastAsia="宋体" w:cs="宋体"/>
          <w:b/>
          <w:color w:val="auto"/>
        </w:rPr>
      </w:pPr>
    </w:p>
    <w:p w14:paraId="6A0A906A">
      <w:pPr>
        <w:pStyle w:val="2"/>
        <w:spacing w:line="360" w:lineRule="auto"/>
        <w:ind w:left="0" w:leftChars="0"/>
        <w:rPr>
          <w:color w:val="auto"/>
        </w:rPr>
      </w:pPr>
    </w:p>
    <w:p w14:paraId="3D952C18">
      <w:pPr>
        <w:tabs>
          <w:tab w:val="left" w:pos="0"/>
        </w:tabs>
        <w:overflowPunct w:val="0"/>
        <w:spacing w:line="360" w:lineRule="auto"/>
        <w:ind w:firstLine="422" w:firstLineChars="200"/>
        <w:rPr>
          <w:rFonts w:ascii="宋体" w:hAnsi="宋体" w:eastAsia="宋体" w:cs="宋体"/>
          <w:b/>
          <w:color w:val="auto"/>
        </w:rPr>
      </w:pPr>
      <w:r>
        <w:rPr>
          <w:rFonts w:hint="eastAsia" w:ascii="宋体" w:hAnsi="宋体" w:eastAsia="宋体" w:cs="宋体"/>
          <w:b/>
          <w:color w:val="auto"/>
        </w:rPr>
        <w:t>置业顾问：                        授权代表签字：</w:t>
      </w:r>
    </w:p>
    <w:p w14:paraId="0D4D8011">
      <w:pPr>
        <w:pStyle w:val="2"/>
        <w:ind w:left="0" w:leftChars="0" w:firstLine="0" w:firstLineChars="0"/>
        <w:rPr>
          <w:rFonts w:ascii="宋体" w:hAnsi="宋体" w:eastAsia="宋体" w:cs="宋体"/>
          <w:b/>
          <w:color w:val="auto"/>
        </w:rPr>
      </w:pPr>
    </w:p>
    <w:p w14:paraId="1D9D48AA">
      <w:pPr>
        <w:pStyle w:val="5"/>
        <w:rPr>
          <w:color w:val="auto"/>
        </w:rPr>
      </w:pPr>
    </w:p>
    <w:p w14:paraId="5FBA9381">
      <w:pPr>
        <w:keepNext/>
        <w:widowControl w:val="0"/>
        <w:adjustRightInd/>
        <w:rPr>
          <w:rFonts w:asciiTheme="minorEastAsia" w:hAnsiTheme="minorEastAsia" w:eastAsiaTheme="minorEastAsia" w:cstheme="minorEastAsia"/>
          <w:color w:val="auto"/>
          <w:spacing w:val="-9"/>
          <w:sz w:val="25"/>
          <w:szCs w:val="25"/>
        </w:rPr>
        <w:sectPr>
          <w:footerReference r:id="rId5" w:type="default"/>
          <w:pgSz w:w="11900" w:h="16830"/>
          <w:pgMar w:top="1417" w:right="1417" w:bottom="1417" w:left="1417" w:header="0" w:footer="814" w:gutter="0"/>
          <w:cols w:space="720" w:num="1"/>
        </w:sectPr>
      </w:pPr>
    </w:p>
    <w:p w14:paraId="0C3A9F5C">
      <w:pPr>
        <w:keepNext/>
        <w:widowControl w:val="0"/>
        <w:adjustRightInd/>
        <w:spacing w:before="42"/>
        <w:rPr>
          <w:rFonts w:asciiTheme="minorEastAsia" w:hAnsiTheme="minorEastAsia" w:eastAsiaTheme="minorEastAsia" w:cstheme="minorEastAsia"/>
          <w:color w:val="auto"/>
          <w:sz w:val="25"/>
          <w:szCs w:val="25"/>
        </w:rPr>
      </w:pPr>
    </w:p>
    <w:sectPr>
      <w:footerReference r:id="rId6" w:type="default"/>
      <w:type w:val="continuous"/>
      <w:pgSz w:w="11900" w:h="16830"/>
      <w:pgMar w:top="1417" w:right="1417" w:bottom="1417" w:left="1417" w:header="0" w:footer="829" w:gutter="0"/>
      <w:cols w:equalWidth="0" w:num="2">
        <w:col w:w="4126" w:space="100"/>
        <w:col w:w="484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大圆子" w:date="2024-12-26T09:30:53Z" w:initials="">
    <w:p w14:paraId="1C354BCE">
      <w:pPr>
        <w:pStyle w:val="4"/>
        <w:rPr>
          <w:rFonts w:hint="default" w:eastAsia="宋体"/>
          <w:lang w:val="en-US" w:eastAsia="zh-CN"/>
        </w:rPr>
      </w:pPr>
      <w:r>
        <w:rPr>
          <w:rFonts w:hint="eastAsia" w:eastAsia="宋体"/>
          <w:lang w:val="en-US" w:eastAsia="zh-CN"/>
        </w:rPr>
        <w:t>到访保护期上下约定不一致，上面条款约定的30日。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354B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E95FE">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D30CB">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7D0D30CB">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3040">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9760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02B9760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2Y2Q5Y2MwYTUzOWExZWRkYjY1YmQxZWIxZjM1ODg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373DFF"/>
    <w:rsid w:val="07B216D8"/>
    <w:rsid w:val="091B541D"/>
    <w:rsid w:val="09B82EE0"/>
    <w:rsid w:val="09F1168A"/>
    <w:rsid w:val="0A14667A"/>
    <w:rsid w:val="0A9B28F7"/>
    <w:rsid w:val="0B0B3924"/>
    <w:rsid w:val="0D196BD7"/>
    <w:rsid w:val="0E84127D"/>
    <w:rsid w:val="10816CDF"/>
    <w:rsid w:val="10AA3894"/>
    <w:rsid w:val="10C02B10"/>
    <w:rsid w:val="10E634CA"/>
    <w:rsid w:val="113A6F91"/>
    <w:rsid w:val="11C3747E"/>
    <w:rsid w:val="123E21E9"/>
    <w:rsid w:val="12483364"/>
    <w:rsid w:val="13274D28"/>
    <w:rsid w:val="13857B7F"/>
    <w:rsid w:val="145A5CF4"/>
    <w:rsid w:val="14DE3B0C"/>
    <w:rsid w:val="153656F6"/>
    <w:rsid w:val="15BC5DBF"/>
    <w:rsid w:val="16113A6D"/>
    <w:rsid w:val="182757CA"/>
    <w:rsid w:val="19353F17"/>
    <w:rsid w:val="19770D9E"/>
    <w:rsid w:val="1A275E1A"/>
    <w:rsid w:val="1A283D75"/>
    <w:rsid w:val="1A7607A9"/>
    <w:rsid w:val="1B831F6C"/>
    <w:rsid w:val="1E443ABD"/>
    <w:rsid w:val="21EF675B"/>
    <w:rsid w:val="239301B8"/>
    <w:rsid w:val="24F5112A"/>
    <w:rsid w:val="2536789D"/>
    <w:rsid w:val="261F3E40"/>
    <w:rsid w:val="263B7010"/>
    <w:rsid w:val="282E2A25"/>
    <w:rsid w:val="28493F0C"/>
    <w:rsid w:val="289B1FE8"/>
    <w:rsid w:val="29064F88"/>
    <w:rsid w:val="29DE3D0C"/>
    <w:rsid w:val="2A4144C9"/>
    <w:rsid w:val="2A93613F"/>
    <w:rsid w:val="2B1256CB"/>
    <w:rsid w:val="2B65423D"/>
    <w:rsid w:val="2C363DD6"/>
    <w:rsid w:val="2C996BA3"/>
    <w:rsid w:val="2D8F684C"/>
    <w:rsid w:val="2DBB2943"/>
    <w:rsid w:val="30297EDA"/>
    <w:rsid w:val="318A7266"/>
    <w:rsid w:val="31D2634F"/>
    <w:rsid w:val="342F1837"/>
    <w:rsid w:val="346A4072"/>
    <w:rsid w:val="34C87A62"/>
    <w:rsid w:val="358F6C5C"/>
    <w:rsid w:val="35D73F34"/>
    <w:rsid w:val="35F5709E"/>
    <w:rsid w:val="36E96615"/>
    <w:rsid w:val="36F823B4"/>
    <w:rsid w:val="39AD02F7"/>
    <w:rsid w:val="39FC36FD"/>
    <w:rsid w:val="3B1B0D67"/>
    <w:rsid w:val="3B9D352A"/>
    <w:rsid w:val="3BF46B89"/>
    <w:rsid w:val="3C5B6581"/>
    <w:rsid w:val="3C681D8A"/>
    <w:rsid w:val="3CD4741F"/>
    <w:rsid w:val="3DE07282"/>
    <w:rsid w:val="3ED71A43"/>
    <w:rsid w:val="41DE7D72"/>
    <w:rsid w:val="43122A4F"/>
    <w:rsid w:val="44B43D2B"/>
    <w:rsid w:val="44E67CEF"/>
    <w:rsid w:val="45D54DF6"/>
    <w:rsid w:val="463E3B5B"/>
    <w:rsid w:val="46603AD2"/>
    <w:rsid w:val="4732546E"/>
    <w:rsid w:val="4918033A"/>
    <w:rsid w:val="4A190B67"/>
    <w:rsid w:val="4A995804"/>
    <w:rsid w:val="4B533C05"/>
    <w:rsid w:val="4C607508"/>
    <w:rsid w:val="4D80577B"/>
    <w:rsid w:val="4D9250EC"/>
    <w:rsid w:val="4D9C5D37"/>
    <w:rsid w:val="4DA1466C"/>
    <w:rsid w:val="4E0D0AE6"/>
    <w:rsid w:val="4E7D1E1F"/>
    <w:rsid w:val="4E7F5AB0"/>
    <w:rsid w:val="4E8F13F8"/>
    <w:rsid w:val="4F2D052D"/>
    <w:rsid w:val="4F5B17E3"/>
    <w:rsid w:val="50245B70"/>
    <w:rsid w:val="50A53155"/>
    <w:rsid w:val="51026B2E"/>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AFA1E1F"/>
    <w:rsid w:val="5BB10BFF"/>
    <w:rsid w:val="5D28618E"/>
    <w:rsid w:val="5DCA7D57"/>
    <w:rsid w:val="5E1C0BD4"/>
    <w:rsid w:val="5F987C2B"/>
    <w:rsid w:val="60032B9C"/>
    <w:rsid w:val="60151F74"/>
    <w:rsid w:val="60396BAB"/>
    <w:rsid w:val="605F0EDC"/>
    <w:rsid w:val="609306C5"/>
    <w:rsid w:val="618943CD"/>
    <w:rsid w:val="62444633"/>
    <w:rsid w:val="631F0609"/>
    <w:rsid w:val="63615DDE"/>
    <w:rsid w:val="65A3559F"/>
    <w:rsid w:val="660B3A10"/>
    <w:rsid w:val="6613365E"/>
    <w:rsid w:val="668A4AAB"/>
    <w:rsid w:val="669F3A29"/>
    <w:rsid w:val="69EA352F"/>
    <w:rsid w:val="6AB73438"/>
    <w:rsid w:val="6D0D5EB2"/>
    <w:rsid w:val="6D301BA0"/>
    <w:rsid w:val="6D745F31"/>
    <w:rsid w:val="6D905AB8"/>
    <w:rsid w:val="6DDA1CB2"/>
    <w:rsid w:val="6E2F4EA0"/>
    <w:rsid w:val="6E7D2BC3"/>
    <w:rsid w:val="6F5C0A2B"/>
    <w:rsid w:val="70E76A1A"/>
    <w:rsid w:val="71E35433"/>
    <w:rsid w:val="73CF1035"/>
    <w:rsid w:val="752B3379"/>
    <w:rsid w:val="75B94E29"/>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10566</Words>
  <Characters>11039</Characters>
  <Lines>103</Lines>
  <Paragraphs>29</Paragraphs>
  <TotalTime>24</TotalTime>
  <ScaleCrop>false</ScaleCrop>
  <LinksUpToDate>false</LinksUpToDate>
  <CharactersWithSpaces>11186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费晨光</cp:lastModifiedBy>
  <cp:lastPrinted>2023-09-22T01:28:00Z</cp:lastPrinted>
  <dcterms:modified xsi:type="dcterms:W3CDTF">2024-12-28T01:21:47Z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2052-12.1.0.19302</vt:lpwstr>
  </property>
  <property fmtid="{D5CDD505-2E9C-101B-9397-08002B2CF9AE}" pid="6" name="ICV">
    <vt:lpwstr>5FA808A5C191435792ED18E0706CDDA8_13</vt:lpwstr>
  </property>
  <property fmtid="{D5CDD505-2E9C-101B-9397-08002B2CF9AE}" pid="7" name="KSOTemplateDocerSaveRecord">
    <vt:lpwstr>eyJoZGlkIjoiNWI1OWIzMzA4YmExNGE2YTIwYzVhYzQzMGM4YjQ1OWYiLCJ1c2VySWQiOiIzMTczNDM5NDAifQ==</vt:lpwstr>
  </property>
</Properties>
</file>