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F054">
      <w:pPr>
        <w:pStyle w:val="4"/>
        <w:widowControl/>
        <w:spacing w:line="360" w:lineRule="auto"/>
        <w:ind w:firstLine="0" w:firstLineChars="0"/>
        <w:jc w:val="both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bookmarkStart w:id="0" w:name="_GoBack"/>
      <w:bookmarkEnd w:id="0"/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《浩德伊河湾项目渠道服务合同》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202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5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年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1-2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乙方：【洛阳闹贝房地产经纪有限公司】</w:t>
      </w:r>
    </w:p>
    <w:p w14:paraId="4108F00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日签订了《浩德伊河湾项目渠道服务合同》（以下简称“原合同”），原合同委托期限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二、将原合同第七条佣金标准变更为：</w:t>
      </w:r>
    </w:p>
    <w:p w14:paraId="7D3F7665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2025年2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4"/>
        </w:rPr>
        <w:t>日期间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均含当日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，乙方推介成交的房源佣金按如下标准执行：</w:t>
      </w:r>
      <w:r>
        <w:rPr>
          <w:rFonts w:ascii="宋体" w:hAnsi="宋体" w:eastAsia="宋体" w:cs="宋体"/>
          <w:sz w:val="24"/>
          <w:szCs w:val="24"/>
        </w:rPr>
        <w:t>认购房源 1-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0000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认购房源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</w:t>
      </w:r>
      <w:r>
        <w:rPr>
          <w:rFonts w:ascii="宋体" w:hAnsi="宋体" w:eastAsia="宋体" w:cs="宋体"/>
          <w:sz w:val="24"/>
          <w:szCs w:val="24"/>
        </w:rPr>
        <w:t>0000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通提不跨月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4FC0EB01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如发生客户退房，双方按照退房后的成交套数重新核算佣金。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如乙方客户网签后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内发生退房事宜，在客户退房手续办理完成，且双方确认金额后，甲方有权从后期应付给乙方的佣金款项中直接扣除该笔费用。若甲方后续无应付乙方款项，则甲方向乙方出具红字发票申请，配合乙方重新开具发票手续完成后15个工作日内将该客户签约产生的佣金退还给甲方，否则每逾期一日乙方需向甲方支付欠付款项万分之三的违约金。客户网签后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日或因为甲方原因退房的，乙方无需退还佣金，甲方未支付的仍应支付。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1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1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1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472AB"/>
    <w:multiLevelType w:val="singleLevel"/>
    <w:tmpl w:val="349472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4952</Words>
  <Characters>5176</Characters>
  <Lines>5</Lines>
  <Paragraphs>1</Paragraphs>
  <TotalTime>17</TotalTime>
  <ScaleCrop>false</ScaleCrop>
  <LinksUpToDate>false</LinksUpToDate>
  <CharactersWithSpaces>5365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珊珊</cp:lastModifiedBy>
  <cp:lastPrinted>2024-04-07T08:24:00Z</cp:lastPrinted>
  <dcterms:modified xsi:type="dcterms:W3CDTF">2025-01-04T03:17:56Z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eyJoZGlkIjoiN2YzNjBkOTgyNWQ1YTMxYzM3MzMwNWFiODNmOWIzYWMiLCJ1c2VySWQiOiI5NjczMTYyOTQifQ==</vt:lpwstr>
  </property>
</Properties>
</file>