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cstheme="minorBidi"/>
          <w:b w:val="0"/>
          <w:bCs w:val="0"/>
          <w:sz w:val="32"/>
          <w:szCs w:val="24"/>
          <w:lang w:val="en-US" w:eastAsia="zh-CN"/>
        </w:rPr>
        <w:t>1-2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>认购房源 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通提不跨月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年月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734</Characters>
  <Lines>5</Lines>
  <Paragraphs>1</Paragraphs>
  <TotalTime>0</TotalTime>
  <ScaleCrop>false</ScaleCrop>
  <LinksUpToDate>false</LinksUpToDate>
  <CharactersWithSpaces>795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2025-02-04T03:20:12Z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