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13AC6">
      <w:pPr>
        <w:spacing w:line="360" w:lineRule="auto"/>
        <w:ind w:firstLine="480" w:firstLineChars="200"/>
        <w:rPr>
          <w:rFonts w:ascii="宋体" w:hAnsi="宋体" w:eastAsia="宋体" w:cs="宋体"/>
          <w:sz w:val="24"/>
          <w:szCs w:val="24"/>
          <w:u w:val="single"/>
        </w:rPr>
      </w:pPr>
    </w:p>
    <w:p w14:paraId="05A6C37E">
      <w:pPr>
        <w:spacing w:line="360" w:lineRule="auto"/>
        <w:ind w:firstLine="480" w:firstLineChars="200"/>
        <w:rPr>
          <w:rFonts w:ascii="宋体" w:hAnsi="宋体" w:eastAsia="宋体" w:cs="宋体"/>
          <w:sz w:val="24"/>
          <w:szCs w:val="24"/>
          <w:u w:val="single"/>
        </w:rPr>
      </w:pPr>
    </w:p>
    <w:p w14:paraId="483327EA">
      <w:pPr>
        <w:spacing w:line="360" w:lineRule="auto"/>
        <w:ind w:firstLine="480" w:firstLineChars="200"/>
        <w:rPr>
          <w:rFonts w:ascii="宋体" w:hAnsi="宋体" w:eastAsia="宋体" w:cs="宋体"/>
          <w:sz w:val="24"/>
          <w:szCs w:val="24"/>
          <w:u w:val="single"/>
        </w:rPr>
      </w:pPr>
    </w:p>
    <w:p w14:paraId="5E222F45">
      <w:pPr>
        <w:spacing w:line="360" w:lineRule="auto"/>
        <w:jc w:val="center"/>
        <w:rPr>
          <w:rFonts w:ascii="宋体" w:hAnsi="宋体" w:eastAsia="宋体" w:cs="宋体"/>
          <w:sz w:val="36"/>
          <w:szCs w:val="36"/>
        </w:rPr>
      </w:pPr>
      <w:r>
        <w:rPr>
          <w:rFonts w:hint="eastAsia" w:ascii="宋体" w:hAnsi="宋体" w:eastAsia="宋体" w:cs="宋体"/>
          <w:sz w:val="36"/>
          <w:szCs w:val="36"/>
        </w:rPr>
        <w:t>开元壹号天逸项目水土保持监测报告及水土保持设施验收</w:t>
      </w:r>
    </w:p>
    <w:p w14:paraId="0C266E66">
      <w:pPr>
        <w:spacing w:line="360" w:lineRule="auto"/>
        <w:jc w:val="center"/>
        <w:rPr>
          <w:rFonts w:ascii="宋体" w:hAnsi="宋体" w:eastAsia="宋体" w:cs="宋体"/>
          <w:sz w:val="28"/>
          <w:szCs w:val="28"/>
        </w:rPr>
      </w:pPr>
      <w:r>
        <w:rPr>
          <w:rFonts w:hint="eastAsia" w:ascii="宋体" w:hAnsi="宋体" w:eastAsia="宋体" w:cs="宋体"/>
          <w:sz w:val="36"/>
          <w:szCs w:val="36"/>
        </w:rPr>
        <w:t>报告编制技术服务合同</w:t>
      </w:r>
    </w:p>
    <w:p w14:paraId="19DCD648">
      <w:pPr>
        <w:spacing w:line="360" w:lineRule="auto"/>
        <w:ind w:firstLine="480" w:firstLineChars="200"/>
        <w:rPr>
          <w:rFonts w:ascii="宋体" w:hAnsi="宋体" w:eastAsia="宋体" w:cs="宋体"/>
          <w:sz w:val="24"/>
          <w:szCs w:val="24"/>
        </w:rPr>
      </w:pPr>
    </w:p>
    <w:p w14:paraId="13C6F4A5">
      <w:pPr>
        <w:spacing w:line="360" w:lineRule="auto"/>
        <w:ind w:firstLine="480" w:firstLineChars="200"/>
        <w:rPr>
          <w:rFonts w:ascii="宋体" w:hAnsi="宋体" w:eastAsia="宋体" w:cs="宋体"/>
          <w:sz w:val="24"/>
          <w:szCs w:val="24"/>
        </w:rPr>
      </w:pPr>
    </w:p>
    <w:p w14:paraId="5BC9DCA0">
      <w:pPr>
        <w:spacing w:line="360" w:lineRule="auto"/>
        <w:ind w:firstLine="480" w:firstLineChars="200"/>
        <w:rPr>
          <w:rFonts w:ascii="宋体" w:hAnsi="宋体" w:eastAsia="宋体" w:cs="宋体"/>
          <w:sz w:val="24"/>
          <w:szCs w:val="24"/>
        </w:rPr>
      </w:pPr>
    </w:p>
    <w:p w14:paraId="71933724">
      <w:pPr>
        <w:spacing w:line="360" w:lineRule="auto"/>
        <w:ind w:firstLine="480" w:firstLineChars="200"/>
        <w:rPr>
          <w:rFonts w:ascii="宋体" w:hAnsi="宋体" w:eastAsia="宋体" w:cs="宋体"/>
          <w:sz w:val="24"/>
          <w:szCs w:val="24"/>
        </w:rPr>
      </w:pPr>
    </w:p>
    <w:p w14:paraId="56F0BC1C">
      <w:pPr>
        <w:spacing w:line="360" w:lineRule="auto"/>
        <w:ind w:firstLine="480" w:firstLineChars="200"/>
        <w:rPr>
          <w:rFonts w:ascii="宋体" w:hAnsi="宋体" w:eastAsia="宋体" w:cs="宋体"/>
          <w:sz w:val="24"/>
          <w:szCs w:val="24"/>
        </w:rPr>
      </w:pPr>
    </w:p>
    <w:p w14:paraId="0255738E">
      <w:pPr>
        <w:spacing w:line="360" w:lineRule="auto"/>
        <w:ind w:firstLine="480" w:firstLineChars="200"/>
        <w:rPr>
          <w:rFonts w:ascii="宋体" w:hAnsi="宋体" w:eastAsia="宋体" w:cs="宋体"/>
          <w:sz w:val="24"/>
          <w:szCs w:val="24"/>
        </w:rPr>
      </w:pPr>
    </w:p>
    <w:p w14:paraId="58C5AE31">
      <w:pPr>
        <w:pStyle w:val="9"/>
        <w:rPr>
          <w:rFonts w:ascii="宋体" w:hAnsi="宋体" w:eastAsia="宋体" w:cs="宋体"/>
          <w:szCs w:val="24"/>
        </w:rPr>
      </w:pPr>
    </w:p>
    <w:p w14:paraId="080489CB">
      <w:pPr>
        <w:pStyle w:val="10"/>
        <w:rPr>
          <w:rFonts w:hAnsi="宋体"/>
        </w:rPr>
      </w:pPr>
    </w:p>
    <w:p w14:paraId="16515EDA">
      <w:pPr>
        <w:pStyle w:val="11"/>
        <w:rPr>
          <w:rFonts w:ascii="宋体" w:hAnsi="宋体" w:eastAsia="宋体" w:cs="宋体"/>
          <w:sz w:val="24"/>
        </w:rPr>
      </w:pPr>
    </w:p>
    <w:p w14:paraId="0319C55B">
      <w:pPr>
        <w:pStyle w:val="12"/>
        <w:rPr>
          <w:rFonts w:eastAsia="宋体" w:cs="宋体"/>
          <w:sz w:val="24"/>
          <w:szCs w:val="24"/>
        </w:rPr>
      </w:pPr>
    </w:p>
    <w:p w14:paraId="365255A4">
      <w:pPr>
        <w:pStyle w:val="9"/>
        <w:rPr>
          <w:rFonts w:ascii="宋体" w:hAnsi="宋体" w:eastAsia="宋体" w:cs="宋体"/>
          <w:szCs w:val="24"/>
        </w:rPr>
      </w:pPr>
    </w:p>
    <w:p w14:paraId="12547BFA">
      <w:pPr>
        <w:pStyle w:val="10"/>
        <w:rPr>
          <w:rFonts w:hAnsi="宋体"/>
        </w:rPr>
      </w:pPr>
    </w:p>
    <w:p w14:paraId="30030449">
      <w:pPr>
        <w:pStyle w:val="11"/>
      </w:pPr>
    </w:p>
    <w:p w14:paraId="69A2AE4B">
      <w:pPr>
        <w:spacing w:line="360" w:lineRule="auto"/>
        <w:ind w:firstLine="480" w:firstLineChars="200"/>
        <w:rPr>
          <w:rFonts w:ascii="宋体" w:hAnsi="宋体" w:eastAsia="宋体" w:cs="宋体"/>
          <w:sz w:val="24"/>
          <w:szCs w:val="24"/>
        </w:rPr>
      </w:pPr>
    </w:p>
    <w:p w14:paraId="250F75DB">
      <w:pPr>
        <w:spacing w:line="360" w:lineRule="auto"/>
        <w:ind w:firstLine="480" w:firstLineChars="200"/>
        <w:rPr>
          <w:rFonts w:ascii="宋体" w:hAnsi="宋体" w:eastAsia="宋体" w:cs="宋体"/>
          <w:sz w:val="24"/>
          <w:szCs w:val="24"/>
        </w:rPr>
      </w:pPr>
    </w:p>
    <w:p w14:paraId="27808C28">
      <w:pPr>
        <w:spacing w:line="360" w:lineRule="auto"/>
        <w:ind w:firstLine="3120" w:firstLineChars="1300"/>
        <w:rPr>
          <w:rFonts w:ascii="宋体" w:hAnsi="宋体" w:eastAsia="宋体" w:cs="宋体"/>
          <w:sz w:val="24"/>
          <w:szCs w:val="24"/>
        </w:rPr>
      </w:pPr>
      <w:r>
        <w:rPr>
          <w:rFonts w:hint="eastAsia" w:ascii="宋体" w:hAnsi="宋体" w:eastAsia="宋体" w:cs="宋体"/>
          <w:sz w:val="24"/>
          <w:szCs w:val="24"/>
        </w:rPr>
        <w:t>成本编号：2.5.8</w:t>
      </w:r>
    </w:p>
    <w:p w14:paraId="6A41A926">
      <w:pPr>
        <w:spacing w:line="360" w:lineRule="auto"/>
        <w:ind w:firstLine="3120" w:firstLineChars="1300"/>
        <w:rPr>
          <w:rFonts w:ascii="宋体" w:hAnsi="宋体" w:eastAsia="宋体" w:cs="宋体"/>
          <w:sz w:val="24"/>
          <w:szCs w:val="24"/>
        </w:rPr>
      </w:pPr>
      <w:r>
        <w:rPr>
          <w:rFonts w:hint="eastAsia" w:ascii="宋体" w:hAnsi="宋体" w:eastAsia="宋体" w:cs="宋体"/>
          <w:sz w:val="24"/>
          <w:szCs w:val="24"/>
        </w:rPr>
        <w:t>合同编号：KYYH.66-QQ-025</w:t>
      </w:r>
    </w:p>
    <w:p w14:paraId="70C604F4">
      <w:pPr>
        <w:spacing w:line="360" w:lineRule="auto"/>
        <w:ind w:firstLine="480" w:firstLineChars="200"/>
        <w:rPr>
          <w:rFonts w:ascii="宋体" w:hAnsi="宋体" w:eastAsia="宋体" w:cs="宋体"/>
          <w:sz w:val="24"/>
          <w:szCs w:val="24"/>
        </w:rPr>
      </w:pPr>
    </w:p>
    <w:p w14:paraId="3DBB19B9">
      <w:pPr>
        <w:spacing w:line="360" w:lineRule="auto"/>
        <w:rPr>
          <w:rFonts w:ascii="宋体" w:hAnsi="宋体" w:eastAsia="宋体" w:cs="宋体"/>
          <w:sz w:val="28"/>
          <w:szCs w:val="28"/>
        </w:rPr>
      </w:pPr>
    </w:p>
    <w:p w14:paraId="4A5E12B1">
      <w:pPr>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 xml:space="preserve">委托方（甲方）： </w:t>
      </w:r>
      <w:r>
        <w:rPr>
          <w:rFonts w:hint="eastAsia" w:ascii="宋体" w:hAnsi="宋体" w:eastAsia="宋体" w:cs="宋体"/>
          <w:sz w:val="28"/>
          <w:szCs w:val="28"/>
          <w:u w:val="single"/>
        </w:rPr>
        <w:t xml:space="preserve"> 洛阳浩德鑫置地有限公司</w:t>
      </w:r>
    </w:p>
    <w:p w14:paraId="47BAB165">
      <w:pPr>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 xml:space="preserve">受托方（乙方）： </w:t>
      </w:r>
      <w:r>
        <w:rPr>
          <w:rFonts w:hint="eastAsia" w:ascii="宋体" w:hAnsi="宋体" w:eastAsia="宋体" w:cs="宋体"/>
          <w:sz w:val="28"/>
          <w:szCs w:val="28"/>
          <w:u w:val="single"/>
        </w:rPr>
        <w:t xml:space="preserve"> 河南尚宏工程咨询有限公司</w:t>
      </w: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p>
    <w:p w14:paraId="509C976B">
      <w:pPr>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签订时间：</w:t>
      </w:r>
      <w:r>
        <w:rPr>
          <w:rFonts w:hint="eastAsia" w:ascii="宋体" w:hAnsi="宋体" w:eastAsia="宋体" w:cs="宋体"/>
          <w:sz w:val="28"/>
          <w:szCs w:val="28"/>
          <w:u w:val="single"/>
        </w:rPr>
        <w:t>202</w:t>
      </w: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日</w:t>
      </w:r>
    </w:p>
    <w:p w14:paraId="0A9458FA">
      <w:pPr>
        <w:spacing w:line="360" w:lineRule="auto"/>
        <w:ind w:firstLine="480" w:firstLineChars="200"/>
        <w:rPr>
          <w:rFonts w:ascii="宋体" w:hAnsi="宋体" w:eastAsia="宋体" w:cs="宋体"/>
          <w:sz w:val="24"/>
          <w:szCs w:val="24"/>
        </w:rPr>
      </w:pPr>
    </w:p>
    <w:p w14:paraId="00022D76">
      <w:pPr>
        <w:spacing w:line="360" w:lineRule="auto"/>
        <w:rPr>
          <w:rFonts w:ascii="宋体" w:hAnsi="宋体" w:eastAsia="宋体" w:cs="宋体"/>
          <w:sz w:val="24"/>
          <w:szCs w:val="24"/>
        </w:rPr>
      </w:pPr>
    </w:p>
    <w:p w14:paraId="30855B8C">
      <w:pPr>
        <w:spacing w:line="360" w:lineRule="auto"/>
        <w:jc w:val="center"/>
        <w:rPr>
          <w:rFonts w:ascii="宋体" w:hAnsi="宋体" w:eastAsia="宋体" w:cs="宋体"/>
          <w:sz w:val="28"/>
          <w:szCs w:val="28"/>
        </w:rPr>
      </w:pPr>
      <w:r>
        <w:rPr>
          <w:rFonts w:hint="eastAsia" w:ascii="宋体" w:hAnsi="宋体" w:eastAsia="宋体" w:cs="宋体"/>
          <w:b/>
          <w:bCs/>
          <w:sz w:val="28"/>
          <w:szCs w:val="28"/>
        </w:rPr>
        <w:t>开元壹号天逸项目水土保持监测报告及水土保持设施验收报告编制</w:t>
      </w:r>
    </w:p>
    <w:p w14:paraId="7948447E">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技术服务合同</w:t>
      </w:r>
    </w:p>
    <w:p w14:paraId="24CE7FD7">
      <w:pPr>
        <w:spacing w:line="360" w:lineRule="auto"/>
        <w:rPr>
          <w:rFonts w:ascii="宋体" w:hAnsi="宋体" w:eastAsia="宋体" w:cs="宋体"/>
          <w:sz w:val="24"/>
          <w:szCs w:val="24"/>
          <w:u w:val="single"/>
        </w:rPr>
      </w:pPr>
      <w:r>
        <w:rPr>
          <w:rFonts w:hint="eastAsia" w:ascii="宋体" w:hAnsi="宋体" w:eastAsia="宋体" w:cs="宋体"/>
          <w:sz w:val="24"/>
          <w:szCs w:val="24"/>
        </w:rPr>
        <w:t>委托方（甲方）：</w:t>
      </w:r>
      <w:r>
        <w:rPr>
          <w:rFonts w:hint="eastAsia" w:ascii="宋体" w:hAnsi="宋体" w:eastAsia="宋体" w:cs="宋体"/>
          <w:sz w:val="24"/>
          <w:szCs w:val="24"/>
          <w:u w:val="single"/>
        </w:rPr>
        <w:t>洛阳浩德鑫置地有限公司</w:t>
      </w:r>
    </w:p>
    <w:p w14:paraId="024C3855">
      <w:pPr>
        <w:spacing w:line="360" w:lineRule="auto"/>
        <w:rPr>
          <w:rFonts w:ascii="宋体" w:hAnsi="宋体" w:eastAsia="宋体" w:cs="宋体"/>
          <w:sz w:val="24"/>
          <w:szCs w:val="24"/>
          <w:u w:val="single"/>
        </w:rPr>
      </w:pPr>
      <w:r>
        <w:rPr>
          <w:rFonts w:hint="eastAsia" w:ascii="宋体" w:hAnsi="宋体" w:cs="宋体"/>
          <w:b/>
          <w:bCs/>
          <w:sz w:val="24"/>
        </w:rPr>
        <w:t>统一社会信用代码：</w:t>
      </w:r>
      <w:r>
        <w:rPr>
          <w:rFonts w:hint="eastAsia" w:ascii="宋体" w:hAnsi="宋体"/>
          <w:sz w:val="24"/>
        </w:rPr>
        <w:t>914103005542480325</w:t>
      </w:r>
    </w:p>
    <w:p w14:paraId="2E2DAD89">
      <w:pPr>
        <w:spacing w:line="360" w:lineRule="auto"/>
        <w:rPr>
          <w:rFonts w:ascii="宋体" w:hAnsi="宋体" w:eastAsia="宋体" w:cs="宋体"/>
          <w:sz w:val="24"/>
          <w:szCs w:val="24"/>
          <w:u w:val="single"/>
        </w:rPr>
      </w:pPr>
      <w:r>
        <w:rPr>
          <w:rFonts w:hint="eastAsia" w:ascii="宋体" w:hAnsi="宋体" w:eastAsia="宋体" w:cs="宋体"/>
          <w:sz w:val="24"/>
          <w:szCs w:val="24"/>
        </w:rPr>
        <w:t>受托方（乙方）：</w:t>
      </w:r>
      <w:r>
        <w:rPr>
          <w:rFonts w:hint="eastAsia" w:ascii="宋体" w:hAnsi="宋体" w:eastAsia="宋体" w:cs="宋体"/>
          <w:sz w:val="24"/>
          <w:szCs w:val="24"/>
          <w:u w:val="single"/>
        </w:rPr>
        <w:t>河南尚宏工程咨询有限公司</w:t>
      </w:r>
    </w:p>
    <w:p w14:paraId="12B0F708">
      <w:pPr>
        <w:pStyle w:val="2"/>
        <w:ind w:firstLine="0"/>
      </w:pPr>
      <w:r>
        <w:rPr>
          <w:rFonts w:hint="eastAsia" w:hAnsi="宋体" w:cs="宋体"/>
          <w:b/>
          <w:bCs/>
        </w:rPr>
        <w:t>统一社会信用代码：</w:t>
      </w:r>
      <w:r>
        <w:rPr>
          <w:rFonts w:hint="eastAsia" w:hAnsi="宋体" w:cs="宋体"/>
          <w:bCs/>
          <w:u w:val="single"/>
        </w:rPr>
        <w:t xml:space="preserve"> 91410394MA9NHBG410</w:t>
      </w:r>
    </w:p>
    <w:p w14:paraId="371E8182">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甲方委托乙方就</w:t>
      </w:r>
      <w:r>
        <w:rPr>
          <w:rFonts w:hint="eastAsia" w:ascii="宋体" w:hAnsi="宋体" w:eastAsia="宋体" w:cs="宋体"/>
          <w:sz w:val="24"/>
          <w:szCs w:val="24"/>
          <w:u w:val="single"/>
        </w:rPr>
        <w:t xml:space="preserve"> 开元壹号天逸项目水土保持监测、水土保持设施验收</w:t>
      </w:r>
      <w:r>
        <w:rPr>
          <w:rFonts w:hint="eastAsia" w:ascii="宋体" w:hAnsi="宋体" w:eastAsia="宋体" w:cs="宋体"/>
          <w:sz w:val="24"/>
          <w:szCs w:val="24"/>
        </w:rPr>
        <w:t>工作进行技术服务，并支付相应的技术服务报酬。双方经过平等协商，在真实、充分表达各自意愿的基础上，根据《中华人民共和国民法典》的规定，达成如下协议，并由双方共同恪守，经协商一致，签订本合同。</w:t>
      </w:r>
    </w:p>
    <w:p w14:paraId="6856FFB8">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第一条  服务的内容形式和要求</w:t>
      </w:r>
    </w:p>
    <w:p w14:paraId="0448C0D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根据开发建设项目水土保持工作的有关要求，对</w:t>
      </w:r>
      <w:r>
        <w:rPr>
          <w:rFonts w:hint="eastAsia" w:ascii="宋体" w:hAnsi="宋体" w:eastAsia="宋体" w:cs="宋体"/>
          <w:sz w:val="24"/>
          <w:szCs w:val="24"/>
          <w:u w:val="single"/>
        </w:rPr>
        <w:t>开元壹号天逸项目</w:t>
      </w:r>
      <w:r>
        <w:rPr>
          <w:rFonts w:hint="eastAsia" w:ascii="宋体" w:hAnsi="宋体" w:eastAsia="宋体" w:cs="宋体"/>
          <w:bCs/>
          <w:sz w:val="24"/>
          <w:szCs w:val="24"/>
        </w:rPr>
        <w:t>开展</w:t>
      </w:r>
      <w:r>
        <w:rPr>
          <w:rFonts w:hint="eastAsia" w:ascii="宋体" w:hAnsi="宋体" w:eastAsia="宋体" w:cs="宋体"/>
          <w:sz w:val="24"/>
          <w:szCs w:val="24"/>
        </w:rPr>
        <w:t>水土保持监测、水土保持设施验收工作，主要工作内容如下：</w:t>
      </w:r>
    </w:p>
    <w:p w14:paraId="3C301F1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（一）水土保持监测</w:t>
      </w:r>
    </w:p>
    <w:p w14:paraId="214AB0C8">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依据《中华人民共和国水土保持法》、《开发建设项目水土保持设施验收管理办法》、《水土保持监测技术规程》及《水土保持方案报告书》（报批稿）等相关的法律法规、规范和技术报告。</w:t>
      </w:r>
    </w:p>
    <w:p w14:paraId="4DB3C2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通过技术手段开展水土保持监测工作，研究确定合理的监测技术路线，及时完成对项目建设区水土流失情况的调查工作，同时依据主体工程的布局，对各水土流失防治责任分区进行实地调查，明确监测内容，并制定行之有效的监测方法，为全面分析项目建设区土壤流失背景，有效控制项目在生产建设过程中引起的新增水土流失，改善区域生态环境，为项目水土保持</w:t>
      </w:r>
      <w:r>
        <w:rPr>
          <w:rFonts w:hint="eastAsia" w:ascii="宋体" w:hAnsi="宋体" w:eastAsia="宋体" w:cs="宋体"/>
          <w:sz w:val="24"/>
          <w:szCs w:val="24"/>
          <w:lang w:eastAsia="zh-CN"/>
        </w:rPr>
        <w:t>、</w:t>
      </w:r>
      <w:r>
        <w:rPr>
          <w:rFonts w:hint="eastAsia" w:ascii="宋体" w:hAnsi="宋体" w:eastAsia="宋体" w:cs="宋体"/>
          <w:sz w:val="24"/>
          <w:szCs w:val="24"/>
        </w:rPr>
        <w:t>项目自主验收提供依据。</w:t>
      </w:r>
    </w:p>
    <w:p w14:paraId="5B8D837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1．监测范围：水土保持方案确定的水土流失防治责任范围。</w:t>
      </w:r>
    </w:p>
    <w:p w14:paraId="729ACED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2．监测内容：水土流失因子监测、水土流失状况监测、水土保持防治效果监测等。</w:t>
      </w:r>
    </w:p>
    <w:p w14:paraId="448EC86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3．乙方及时向甲方通报监测情况。</w:t>
      </w:r>
    </w:p>
    <w:p w14:paraId="66AC001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监测人员应在本合同约定的监测范围内全面科学开展监测工作，采集有关数据，全面反映本项目水土保持工程实施情况，防治效益以及项目建设过程中的水土流失状况。乙方应在监测期内，及时整理监测数据，编制监测报告，提交甲方和水行政主管部门。</w:t>
      </w:r>
    </w:p>
    <w:p w14:paraId="346D00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成果形式：提交《水土保持监测实施方案》、《水土保持监测季度报告》及《水土保持监测总结报告》。</w:t>
      </w:r>
    </w:p>
    <w:p w14:paraId="7C67F3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（二）、水土保持设施验收</w:t>
      </w:r>
    </w:p>
    <w:p w14:paraId="7C2122E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根据《开发建设项目水土保持设施验收管理办法》（水利部令第16号）的有关要求，主要工作内容：</w:t>
      </w:r>
    </w:p>
    <w:p w14:paraId="546011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1．抽样调查建成的水土保持设施的数量；</w:t>
      </w:r>
    </w:p>
    <w:p w14:paraId="4E1F094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2．通过现场查勘，结合查阅施工、监理和分部工程验收的有关资料或走访有关公众，评估水土保持工程的质量，并对“三同时”的落实情况做出评价；</w:t>
      </w:r>
    </w:p>
    <w:p w14:paraId="7B91CFE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3．对照批复的水土保持方案和水土保持设施初步设计，依据水土保持法律、法规和有关标准及指标体系，对水土保持工作进行评估，提出评估意见；</w:t>
      </w:r>
    </w:p>
    <w:p w14:paraId="167E575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4．对本工程水土保持存在的不足和问题及竣工验收准备工作存在的不足和问题提出完善意见。</w:t>
      </w:r>
    </w:p>
    <w:p w14:paraId="57F49C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成果形式：评估工作成果提交《水土保持设施验收报告》、《水土保持设施验收鉴定书》。</w:t>
      </w:r>
    </w:p>
    <w:p w14:paraId="6812012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（三）、其他</w:t>
      </w:r>
    </w:p>
    <w:p w14:paraId="2E5953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甲方应向乙方提供与工程有关的资料，包括：水土保持方案报告书、水土保持工程实施计划、相关设计图纸、施工、监理资料等技术文件。</w:t>
      </w:r>
    </w:p>
    <w:p w14:paraId="118AFF2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在主体工程建设过程中，乙方应成立专业的水土保持监测工作组，进行水土保持监测工作，提供水土保持监测报告；并负责组织水土保持设施验收评估组对完成的水土保持设施进行评估，取得验收报备文件。</w:t>
      </w:r>
    </w:p>
    <w:p w14:paraId="05B09784">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第二条  履行期限</w:t>
      </w:r>
    </w:p>
    <w:p w14:paraId="459366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自合同签订之日起至取得水行政主管部门验收</w:t>
      </w:r>
      <w:r>
        <w:rPr>
          <w:rFonts w:hint="eastAsia" w:ascii="宋体" w:hAnsi="宋体" w:eastAsia="宋体" w:cs="宋体"/>
          <w:sz w:val="24"/>
          <w:szCs w:val="24"/>
          <w:lang w:val="en-US" w:eastAsia="zh-CN"/>
        </w:rPr>
        <w:t>许可</w:t>
      </w:r>
      <w:r>
        <w:rPr>
          <w:rFonts w:hint="eastAsia" w:ascii="宋体" w:hAnsi="宋体" w:eastAsia="宋体" w:cs="宋体"/>
          <w:sz w:val="24"/>
          <w:szCs w:val="24"/>
        </w:rPr>
        <w:t>文件。</w:t>
      </w:r>
    </w:p>
    <w:p w14:paraId="690AB93B">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第三条  技术情报和资料的保密</w:t>
      </w:r>
    </w:p>
    <w:p w14:paraId="2142D2A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查阅及了解的技术资料仅用于本项目工作，不得挪作他用。</w:t>
      </w:r>
    </w:p>
    <w:p w14:paraId="2EE5765C">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第四条  报酬及支付方式</w:t>
      </w:r>
    </w:p>
    <w:p w14:paraId="32D7D0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（一）本项目水土保持监测及验收费：本合同采用固定总价包干形式，合同固定总价</w:t>
      </w:r>
      <w:r>
        <w:rPr>
          <w:rFonts w:hint="eastAsia" w:ascii="宋体" w:hAnsi="宋体" w:eastAsia="宋体" w:cs="宋体"/>
          <w:sz w:val="24"/>
          <w:szCs w:val="24"/>
          <w:u w:val="single"/>
        </w:rPr>
        <w:t>¥85000.00</w:t>
      </w:r>
      <w:r>
        <w:rPr>
          <w:rFonts w:hint="eastAsia" w:ascii="宋体" w:hAnsi="宋体" w:eastAsia="宋体" w:cs="宋体"/>
          <w:sz w:val="24"/>
          <w:szCs w:val="24"/>
        </w:rPr>
        <w:t>元，大写：人民币</w:t>
      </w:r>
      <w:r>
        <w:rPr>
          <w:rFonts w:hint="eastAsia" w:ascii="宋体" w:hAnsi="宋体" w:eastAsia="宋体" w:cs="宋体"/>
          <w:sz w:val="24"/>
          <w:szCs w:val="24"/>
          <w:u w:val="single"/>
        </w:rPr>
        <w:t>捌万伍仟元整</w:t>
      </w:r>
      <w:r>
        <w:rPr>
          <w:rFonts w:hint="eastAsia" w:ascii="宋体" w:hAnsi="宋体" w:eastAsia="宋体" w:cs="宋体"/>
          <w:sz w:val="24"/>
          <w:szCs w:val="24"/>
        </w:rPr>
        <w:t>。其中：</w:t>
      </w:r>
    </w:p>
    <w:p w14:paraId="1EB5F1E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（1）水土保持监测费：若水土保持监测服务在水土保持方案中约定的竣工日期（2</w:t>
      </w:r>
      <w:r>
        <w:rPr>
          <w:rFonts w:ascii="宋体" w:hAnsi="宋体" w:eastAsia="宋体" w:cs="宋体"/>
          <w:sz w:val="24"/>
          <w:szCs w:val="24"/>
          <w:highlight w:val="none"/>
        </w:rPr>
        <w:t>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日）前结束，监测费用固定总价¥</w:t>
      </w:r>
      <w:r>
        <w:rPr>
          <w:rFonts w:hint="eastAsia" w:ascii="宋体" w:hAnsi="宋体" w:eastAsia="宋体" w:cs="宋体"/>
          <w:sz w:val="24"/>
          <w:szCs w:val="24"/>
          <w:highlight w:val="none"/>
          <w:u w:val="single"/>
        </w:rPr>
        <w:t>53000.00</w:t>
      </w:r>
      <w:r>
        <w:rPr>
          <w:rFonts w:hint="eastAsia" w:ascii="宋体" w:hAnsi="宋体" w:eastAsia="宋体" w:cs="宋体"/>
          <w:sz w:val="24"/>
          <w:szCs w:val="24"/>
          <w:highlight w:val="none"/>
        </w:rPr>
        <w:t>元，大写：人民币伍万叁仟圆整，其中不含税价款为</w:t>
      </w:r>
      <w:r>
        <w:rPr>
          <w:rFonts w:hint="eastAsia" w:ascii="宋体" w:hAnsi="宋体" w:eastAsia="宋体" w:cs="宋体"/>
          <w:sz w:val="24"/>
          <w:szCs w:val="24"/>
          <w:highlight w:val="none"/>
          <w:u w:val="single"/>
        </w:rPr>
        <w:t>¥5247</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元，税金为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525</w:t>
      </w:r>
      <w:r>
        <w:rPr>
          <w:rFonts w:hint="eastAsia" w:ascii="宋体" w:hAnsi="宋体" w:eastAsia="宋体" w:cs="宋体"/>
          <w:sz w:val="24"/>
          <w:szCs w:val="24"/>
          <w:highlight w:val="none"/>
        </w:rPr>
        <w:t>元，税率为1%。水土保持监测服务超过2025年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日但超出时间在两个季度内的不增加任何费用；超出时间达两个季度以上时（即202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日以后的检测期限另行收费）另行收费，按4000元/季度增加费用，不足一个季度按一个季度收费。该费用包含工期内的水土保持监测所有费用</w:t>
      </w:r>
      <w:r>
        <w:rPr>
          <w:rFonts w:hint="eastAsia" w:ascii="宋体" w:hAnsi="宋体" w:eastAsia="宋体" w:cs="宋体"/>
          <w:sz w:val="24"/>
          <w:szCs w:val="24"/>
          <w:highlight w:val="none"/>
          <w:lang w:eastAsia="zh-CN"/>
        </w:rPr>
        <w:t>。</w:t>
      </w:r>
    </w:p>
    <w:p w14:paraId="1E3F054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（2）水土保持竣工验收报告费：固定总价</w:t>
      </w:r>
      <w:r>
        <w:rPr>
          <w:rFonts w:hint="eastAsia" w:ascii="宋体" w:hAnsi="宋体" w:eastAsia="宋体" w:cs="宋体"/>
          <w:sz w:val="24"/>
          <w:szCs w:val="24"/>
          <w:highlight w:val="none"/>
          <w:u w:val="single"/>
        </w:rPr>
        <w:t>¥32000.00</w:t>
      </w:r>
      <w:r>
        <w:rPr>
          <w:rFonts w:hint="eastAsia" w:ascii="宋体" w:hAnsi="宋体" w:eastAsia="宋体" w:cs="宋体"/>
          <w:sz w:val="24"/>
          <w:szCs w:val="24"/>
          <w:highlight w:val="none"/>
        </w:rPr>
        <w:t>元，大写：人民币</w:t>
      </w:r>
      <w:r>
        <w:rPr>
          <w:rFonts w:hint="eastAsia" w:ascii="宋体" w:hAnsi="宋体" w:eastAsia="宋体" w:cs="宋体"/>
          <w:sz w:val="24"/>
          <w:szCs w:val="24"/>
          <w:highlight w:val="none"/>
          <w:u w:val="single"/>
        </w:rPr>
        <w:t>叁万贰仟圆整</w:t>
      </w:r>
      <w:r>
        <w:rPr>
          <w:rFonts w:hint="eastAsia" w:ascii="宋体" w:hAnsi="宋体" w:eastAsia="宋体" w:cs="宋体"/>
          <w:sz w:val="24"/>
          <w:szCs w:val="24"/>
          <w:highlight w:val="none"/>
        </w:rPr>
        <w:t>，其中不含税价款为</w:t>
      </w:r>
      <w:r>
        <w:rPr>
          <w:rFonts w:hint="eastAsia" w:ascii="宋体" w:hAnsi="宋体" w:eastAsia="宋体" w:cs="宋体"/>
          <w:sz w:val="24"/>
          <w:szCs w:val="24"/>
          <w:highlight w:val="none"/>
          <w:u w:val="single"/>
        </w:rPr>
        <w:t>¥3168</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rPr>
        <w:t>元，税金为</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u w:val="single"/>
          <w:lang w:val="en-US" w:eastAsia="zh-CN"/>
        </w:rPr>
        <w:t>17</w:t>
      </w:r>
      <w:r>
        <w:rPr>
          <w:rFonts w:hint="eastAsia" w:ascii="宋体" w:hAnsi="宋体" w:eastAsia="宋体" w:cs="宋体"/>
          <w:sz w:val="24"/>
          <w:szCs w:val="24"/>
          <w:highlight w:val="none"/>
        </w:rPr>
        <w:t>元，税率为</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。该费用包含水土保持验收所有费用。</w:t>
      </w:r>
      <w:bookmarkStart w:id="0" w:name="_GoBack"/>
      <w:bookmarkEnd w:id="0"/>
    </w:p>
    <w:p w14:paraId="66E18B79">
      <w:pPr>
        <w:pStyle w:val="27"/>
        <w:spacing w:line="360" w:lineRule="auto"/>
        <w:ind w:firstLine="480"/>
        <w:rPr>
          <w:rFonts w:ascii="宋体" w:hAnsi="宋体" w:eastAsia="宋体" w:cs="宋体"/>
          <w:sz w:val="24"/>
          <w:szCs w:val="24"/>
        </w:rPr>
      </w:pPr>
      <w:r>
        <w:rPr>
          <w:rFonts w:hint="eastAsia" w:ascii="宋体" w:hAnsi="宋体" w:eastAsia="宋体" w:cs="宋体"/>
          <w:sz w:val="24"/>
          <w:szCs w:val="24"/>
        </w:rPr>
        <w:t>（二）费用支付方式：</w:t>
      </w:r>
    </w:p>
    <w:p w14:paraId="1C947ABF">
      <w:pPr>
        <w:pStyle w:val="27"/>
        <w:spacing w:line="360" w:lineRule="auto"/>
        <w:ind w:firstLine="48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bCs/>
          <w:color w:val="000000" w:themeColor="text1"/>
          <w:sz w:val="24"/>
          <w:szCs w:val="24"/>
          <w14:textFill>
            <w14:solidFill>
              <w14:schemeClr w14:val="tx1"/>
            </w14:solidFill>
          </w14:textFill>
        </w:rPr>
        <w:t>合同签订后支付合同固定总价的30%</w:t>
      </w:r>
      <w:r>
        <w:rPr>
          <w:rFonts w:hint="eastAsia" w:ascii="宋体" w:hAnsi="宋体" w:eastAsia="宋体" w:cs="宋体"/>
          <w:bCs/>
          <w:color w:val="000000" w:themeColor="text1"/>
          <w:sz w:val="24"/>
          <w:szCs w:val="24"/>
          <w:highlight w:val="none"/>
          <w14:textFill>
            <w14:solidFill>
              <w14:schemeClr w14:val="tx1"/>
            </w14:solidFill>
          </w14:textFill>
        </w:rPr>
        <w:t>，为人民币25500元。</w:t>
      </w:r>
    </w:p>
    <w:p w14:paraId="49E0C193">
      <w:pPr>
        <w:pStyle w:val="27"/>
        <w:spacing w:line="360" w:lineRule="auto"/>
        <w:ind w:firstLine="480"/>
        <w:rPr>
          <w:rFonts w:ascii="宋体" w:hAnsi="宋体" w:eastAsia="宋体" w:cs="宋体"/>
          <w:bCs/>
          <w:color w:val="000000" w:themeColor="text1"/>
          <w:sz w:val="24"/>
          <w:szCs w:val="24"/>
          <w:highlight w:val="none"/>
          <w14:textFill>
            <w14:solidFill>
              <w14:schemeClr w14:val="tx1"/>
            </w14:solidFill>
          </w14:textFill>
        </w:rPr>
      </w:pPr>
      <w:r>
        <w:rPr>
          <w:rFonts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w:t>
      </w:r>
      <w:r>
        <w:rPr>
          <w:rFonts w:ascii="宋体" w:hAnsi="宋体" w:eastAsia="宋体" w:cs="宋体"/>
          <w:bCs/>
          <w:color w:val="000000" w:themeColor="text1"/>
          <w:sz w:val="24"/>
          <w:szCs w:val="24"/>
          <w:highlight w:val="none"/>
          <w14:textFill>
            <w14:solidFill>
              <w14:schemeClr w14:val="tx1"/>
            </w14:solidFill>
          </w14:textFill>
        </w:rPr>
        <w:t>202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年</w:t>
      </w:r>
      <w:r>
        <w:rPr>
          <w:rFonts w:ascii="宋体" w:hAnsi="宋体" w:eastAsia="宋体" w:cs="宋体"/>
          <w:bCs/>
          <w:color w:val="000000" w:themeColor="text1"/>
          <w:sz w:val="24"/>
          <w:szCs w:val="24"/>
          <w:highlight w:val="none"/>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月</w:t>
      </w:r>
      <w:r>
        <w:rPr>
          <w:rFonts w:ascii="宋体" w:hAnsi="宋体" w:eastAsia="宋体" w:cs="宋体"/>
          <w:bCs/>
          <w:color w:val="000000" w:themeColor="text1"/>
          <w:sz w:val="24"/>
          <w:szCs w:val="24"/>
          <w:highlight w:val="none"/>
          <w14:textFill>
            <w14:solidFill>
              <w14:schemeClr w14:val="tx1"/>
            </w14:solidFill>
          </w14:textFill>
        </w:rPr>
        <w:t>31</w:t>
      </w:r>
      <w:r>
        <w:rPr>
          <w:rFonts w:hint="eastAsia" w:ascii="宋体" w:hAnsi="宋体" w:eastAsia="宋体" w:cs="宋体"/>
          <w:bCs/>
          <w:color w:val="000000" w:themeColor="text1"/>
          <w:sz w:val="24"/>
          <w:szCs w:val="24"/>
          <w:highlight w:val="none"/>
          <w14:textFill>
            <w14:solidFill>
              <w14:schemeClr w14:val="tx1"/>
            </w14:solidFill>
          </w14:textFill>
        </w:rPr>
        <w:t>日支付水土保持监测费的</w:t>
      </w:r>
      <w:r>
        <w:rPr>
          <w:rFonts w:ascii="宋体" w:hAnsi="宋体" w:eastAsia="宋体" w:cs="宋体"/>
          <w:bCs/>
          <w:color w:val="000000" w:themeColor="text1"/>
          <w:sz w:val="24"/>
          <w:szCs w:val="24"/>
          <w:highlight w:val="none"/>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，为人民币15900元。</w:t>
      </w:r>
    </w:p>
    <w:p w14:paraId="75364D13">
      <w:pPr>
        <w:pStyle w:val="27"/>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3、待乙方提供全部监测报告及最终竣工验收报告、取得政府相关部门行政许可批复，且配合甲方办理完结算手续（双方签订结算协议）后支付剩余全部费用。</w:t>
      </w:r>
    </w:p>
    <w:p w14:paraId="75CD369D">
      <w:pPr>
        <w:pStyle w:val="27"/>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（三）水土保持监测报告至少包含监测季报（每满一季度7日内提交该季度监测报告，纸质版，一式三份）、监测年报（每满一年度 </w:t>
      </w:r>
      <w:r>
        <w:rPr>
          <w:rFonts w:hint="eastAsia" w:ascii="宋体" w:hAnsi="宋体" w:eastAsia="宋体" w:cs="宋体"/>
          <w:bCs/>
          <w:color w:val="000000" w:themeColor="text1"/>
          <w:sz w:val="24"/>
          <w:szCs w:val="24"/>
          <w:lang w:val="en-US" w:eastAsia="zh-CN"/>
          <w14:textFill>
            <w14:solidFill>
              <w14:schemeClr w14:val="tx1"/>
            </w14:solidFill>
          </w14:textFill>
        </w:rPr>
        <w:t>15</w:t>
      </w:r>
      <w:r>
        <w:rPr>
          <w:rFonts w:hint="eastAsia" w:ascii="宋体" w:hAnsi="宋体" w:eastAsia="宋体" w:cs="宋体"/>
          <w:bCs/>
          <w:color w:val="000000" w:themeColor="text1"/>
          <w:sz w:val="24"/>
          <w:szCs w:val="24"/>
          <w14:textFill>
            <w14:solidFill>
              <w14:schemeClr w14:val="tx1"/>
            </w14:solidFill>
          </w14:textFill>
        </w:rPr>
        <w:t>日内提交该年度监测报告，纸质版，一式</w:t>
      </w:r>
      <w:r>
        <w:rPr>
          <w:rFonts w:hint="eastAsia" w:ascii="宋体" w:hAnsi="宋体" w:eastAsia="宋体" w:cs="宋体"/>
          <w:bCs/>
          <w:color w:val="000000" w:themeColor="text1"/>
          <w:sz w:val="24"/>
          <w:szCs w:val="24"/>
          <w:lang w:val="en-US" w:eastAsia="zh-CN"/>
          <w14:textFill>
            <w14:solidFill>
              <w14:schemeClr w14:val="tx1"/>
            </w14:solidFill>
          </w14:textFill>
        </w:rPr>
        <w:t>四</w:t>
      </w:r>
      <w:r>
        <w:rPr>
          <w:rFonts w:hint="eastAsia" w:ascii="宋体" w:hAnsi="宋体" w:eastAsia="宋体" w:cs="宋体"/>
          <w:bCs/>
          <w:color w:val="000000" w:themeColor="text1"/>
          <w:sz w:val="24"/>
          <w:szCs w:val="24"/>
          <w14:textFill>
            <w14:solidFill>
              <w14:schemeClr w14:val="tx1"/>
            </w14:solidFill>
          </w14:textFill>
        </w:rPr>
        <w:t>份）。</w:t>
      </w:r>
    </w:p>
    <w:p w14:paraId="29C1F1A4">
      <w:pPr>
        <w:pStyle w:val="27"/>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（四）水土保持竣工验收报告所需专家评审相关费用包含在合同固定总价中。</w:t>
      </w:r>
    </w:p>
    <w:p w14:paraId="7957ACF0">
      <w:pPr>
        <w:pStyle w:val="27"/>
        <w:spacing w:line="360" w:lineRule="auto"/>
        <w:ind w:firstLine="480"/>
        <w:rPr>
          <w:rFonts w:ascii="宋体" w:hAnsi="宋体" w:eastAsia="宋体" w:cs="宋体"/>
          <w:sz w:val="24"/>
          <w:szCs w:val="24"/>
        </w:rPr>
      </w:pPr>
      <w:r>
        <w:rPr>
          <w:rFonts w:hint="eastAsia" w:ascii="宋体" w:hAnsi="宋体" w:eastAsia="宋体" w:cs="宋体"/>
          <w:bCs/>
          <w:color w:val="000000" w:themeColor="text1"/>
          <w:sz w:val="24"/>
          <w:szCs w:val="24"/>
          <w14:textFill>
            <w14:solidFill>
              <w14:schemeClr w14:val="tx1"/>
            </w14:solidFill>
          </w14:textFill>
        </w:rPr>
        <w:t>（五）结算方式=固定总价+</w:t>
      </w:r>
      <w:r>
        <w:rPr>
          <w:rFonts w:hint="eastAsia" w:ascii="宋体" w:hAnsi="宋体" w:eastAsia="宋体" w:cs="宋体"/>
          <w:sz w:val="24"/>
          <w:szCs w:val="24"/>
        </w:rPr>
        <w:t>水土保持监测延长监测费用4000元/季（服务期超过2026年6月30日，若有）-应扣费用</w:t>
      </w:r>
    </w:p>
    <w:p w14:paraId="736CD165">
      <w:pPr>
        <w:snapToGrid w:val="0"/>
        <w:spacing w:line="360" w:lineRule="auto"/>
        <w:ind w:firstLine="470" w:firstLineChars="196"/>
        <w:jc w:val="left"/>
        <w:rPr>
          <w:rFonts w:ascii="宋体" w:hAnsi="宋体" w:eastAsia="宋体" w:cs="宋体"/>
          <w:sz w:val="24"/>
          <w:szCs w:val="24"/>
        </w:rPr>
      </w:pPr>
      <w:r>
        <w:rPr>
          <w:rFonts w:hint="eastAsia" w:ascii="宋体" w:hAnsi="宋体"/>
          <w:kern w:val="0"/>
          <w:sz w:val="24"/>
          <w:szCs w:val="24"/>
        </w:rPr>
        <w:t>（六）乙方报送结算书应诚实准确，若最终审减额（报送金额—结算金额）超过结算金额的5%，则需要乙方向甲方支付超出5%部分的费用的3%作为违约金，且违约金在结算金额中一次性扣除。</w:t>
      </w:r>
    </w:p>
    <w:p w14:paraId="0E3A3FE4">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val="zh-CN"/>
        </w:rPr>
        <w:t>第五条</w:t>
      </w:r>
      <w:r>
        <w:rPr>
          <w:rFonts w:hint="eastAsia" w:ascii="宋体" w:hAnsi="宋体" w:eastAsia="宋体" w:cs="宋体"/>
          <w:b/>
          <w:sz w:val="24"/>
          <w:szCs w:val="24"/>
        </w:rPr>
        <w:t xml:space="preserve">  </w:t>
      </w:r>
      <w:r>
        <w:rPr>
          <w:rFonts w:hint="eastAsia" w:ascii="宋体" w:hAnsi="宋体" w:eastAsia="宋体" w:cs="宋体"/>
          <w:b/>
          <w:sz w:val="24"/>
          <w:szCs w:val="24"/>
          <w:lang w:val="zh-CN"/>
        </w:rPr>
        <w:t>甲方权利与义务</w:t>
      </w:r>
    </w:p>
    <w:p w14:paraId="178E95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．甲方委托乙方承担本项目工作，并根据本合同有关条款规定支付合同款。</w:t>
      </w:r>
    </w:p>
    <w:p w14:paraId="77F4CC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．为保证项目的顺利开展，甲方应协助乙方进行如下工作：</w:t>
      </w:r>
    </w:p>
    <w:p w14:paraId="73E1DC9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2.1提供与本项目相关的已有工作成果。</w:t>
      </w:r>
    </w:p>
    <w:p w14:paraId="0666D999">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2.2乙方在进行勘测或收集资料时，进行相关的协调协助工作。</w:t>
      </w:r>
    </w:p>
    <w:p w14:paraId="047A37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．甲方对乙方工作的要求是：对项目进行水土保持监测并提供对应的“季报”及</w:t>
      </w:r>
      <w:r>
        <w:rPr>
          <w:rFonts w:hint="eastAsia" w:ascii="宋体" w:hAnsi="宋体" w:eastAsia="宋体" w:cs="宋体"/>
          <w:sz w:val="24"/>
          <w:szCs w:val="24"/>
        </w:rPr>
        <w:t xml:space="preserve"> “年报”，</w:t>
      </w:r>
      <w:r>
        <w:rPr>
          <w:rFonts w:hint="eastAsia" w:ascii="宋体" w:hAnsi="宋体" w:eastAsia="宋体" w:cs="宋体"/>
          <w:sz w:val="24"/>
          <w:szCs w:val="24"/>
          <w:lang w:val="zh-CN"/>
        </w:rPr>
        <w:t>编制完成</w:t>
      </w:r>
      <w:r>
        <w:rPr>
          <w:rFonts w:hint="eastAsia" w:ascii="宋体" w:hAnsi="宋体" w:eastAsia="宋体" w:cs="宋体"/>
          <w:sz w:val="24"/>
          <w:szCs w:val="24"/>
        </w:rPr>
        <w:t>《水土保持设施验收报告》、《水土保持设施验收鉴定书》</w:t>
      </w:r>
      <w:r>
        <w:rPr>
          <w:rFonts w:hint="eastAsia" w:ascii="宋体" w:hAnsi="宋体" w:eastAsia="宋体" w:cs="宋体"/>
          <w:sz w:val="24"/>
          <w:szCs w:val="24"/>
          <w:lang w:val="zh-CN"/>
        </w:rPr>
        <w:t>；并取得项目水土保持行政许可文件。</w:t>
      </w:r>
    </w:p>
    <w:p w14:paraId="06C3C609">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val="zh-CN"/>
        </w:rPr>
        <w:t>第六条</w:t>
      </w:r>
      <w:r>
        <w:rPr>
          <w:rFonts w:hint="eastAsia" w:ascii="宋体" w:hAnsi="宋体" w:eastAsia="宋体" w:cs="宋体"/>
          <w:b/>
          <w:sz w:val="24"/>
          <w:szCs w:val="24"/>
        </w:rPr>
        <w:t xml:space="preserve">  </w:t>
      </w:r>
      <w:r>
        <w:rPr>
          <w:rFonts w:hint="eastAsia" w:ascii="宋体" w:hAnsi="宋体" w:eastAsia="宋体" w:cs="宋体"/>
          <w:b/>
          <w:sz w:val="24"/>
          <w:szCs w:val="24"/>
          <w:lang w:val="zh-CN"/>
        </w:rPr>
        <w:t>乙方权利与义务</w:t>
      </w:r>
    </w:p>
    <w:p w14:paraId="16484B88">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．乙方接受甲方委托，承担项目技术服务工作；负责按期完成该项目的水土保持报告书编制工作，并取得项目水土保持行政许可文件。</w:t>
      </w:r>
    </w:p>
    <w:p w14:paraId="6B7E2658">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．乙方有义务对甲方提供的项目技术资料和委托服务内容予以保密，并承担因泄密给甲方造成的经济损失。</w:t>
      </w:r>
    </w:p>
    <w:p w14:paraId="52AF48D9">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乙方应按国家法律法规和行业技术规范、标准进行技术服务，及时向甲方交付成果，并对提交的成果材料的质量负责，对成果中因自身原因产生的遗漏或错误负责补充、修改和完善。</w:t>
      </w:r>
    </w:p>
    <w:p w14:paraId="1E029CA9">
      <w:pPr>
        <w:spacing w:line="360" w:lineRule="auto"/>
        <w:ind w:firstLine="480" w:firstLineChars="200"/>
        <w:rPr>
          <w:rFonts w:ascii="宋体" w:hAnsi="宋体" w:eastAsia="宋体" w:cs="宋体"/>
          <w:sz w:val="24"/>
          <w:szCs w:val="24"/>
          <w:highlight w:val="yellow"/>
        </w:rPr>
      </w:pPr>
      <w:r>
        <w:rPr>
          <w:rFonts w:hint="eastAsia" w:ascii="宋体" w:hAnsi="宋体" w:eastAsia="宋体" w:cs="宋体"/>
          <w:sz w:val="24"/>
          <w:szCs w:val="24"/>
        </w:rPr>
        <w:t>4.</w:t>
      </w:r>
      <w:r>
        <w:rPr>
          <w:rFonts w:hint="eastAsia" w:ascii="宋体" w:hAnsi="宋体" w:eastAsia="宋体" w:cs="宋体"/>
          <w:sz w:val="24"/>
          <w:szCs w:val="24"/>
          <w:lang w:val="zh-CN"/>
        </w:rPr>
        <w:t>报告编制完成后，乙方须按规定参加审查并根据审查结论做必要的解释说明和调整补充，调整补充已包含在合同工作内容中，不再计付费用。</w:t>
      </w:r>
    </w:p>
    <w:p w14:paraId="0F94B77C">
      <w:pPr>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第七条  发票开具要求及责任</w:t>
      </w:r>
    </w:p>
    <w:p w14:paraId="36BC3DF7">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1.对发票不合规的约定：</w:t>
      </w:r>
    </w:p>
    <w:p w14:paraId="300EE942">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1.1乙方提供的发票为增值税专用发票的，因乙方迟延送达、开具错误等原因导致其提供的增值税专用发票没有通过税务部门认证，造成甲方不能抵扣的，甲方有权拒绝接收。</w:t>
      </w:r>
    </w:p>
    <w:p w14:paraId="332A2BA0">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6CB89107">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14:paraId="69CC0421">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2.其它税务风险的合同约定</w:t>
      </w:r>
    </w:p>
    <w:p w14:paraId="7209FF53">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2.1如果甲方丢失增值税专用发票联和抵扣联，乙方应向甲方提供专用发票记账联复印件，并加盖乙方发票专用章。</w:t>
      </w:r>
    </w:p>
    <w:p w14:paraId="78F320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2.2如果获得开具的汇总专用发票，则乙方应提供其防伪税控系统开具的《销售货物或者提供应税劳务清单》，并加盖发票专用章。</w:t>
      </w:r>
    </w:p>
    <w:p w14:paraId="13016385">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第八条  违约责任</w:t>
      </w:r>
    </w:p>
    <w:p w14:paraId="3AB5CA4A">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在合同履行期间，甲方有权终止或解除合同，乙方未开始委托工作的，不退还甲方已付的定金（如有）；已开始委托工作的，甲方应根据乙方已进行的实际工作量，经双方协商支付乙方相应费用，除此之外，甲方不承担其他任何责任及费用。</w:t>
      </w:r>
    </w:p>
    <w:p w14:paraId="6A057179">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．甲方变更委托项目、规模、条件，以致造成乙方返工时，双方应另行协商签订补充协议（或另订合同）、重新明确有关条款。</w:t>
      </w:r>
    </w:p>
    <w:p w14:paraId="598A8F1C">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 xml:space="preserve">3. </w:t>
      </w:r>
      <w:r>
        <w:rPr>
          <w:rFonts w:hint="eastAsia" w:ascii="宋体" w:hAnsi="宋体" w:eastAsia="宋体" w:cs="宋体"/>
          <w:sz w:val="24"/>
          <w:szCs w:val="24"/>
          <w:lang w:val="zh-CN"/>
        </w:rPr>
        <w:t xml:space="preserve">乙方提交的编制成果不符合合同约定标准的或水管理部门要求的，乙方应无偿修改至通过专家组评审，经两次修改仍不符合约定标准的，甲方有权单方解除本合同，且自解除通知到达乙方之日起 </w:t>
      </w:r>
      <w:r>
        <w:rPr>
          <w:rFonts w:hint="eastAsia" w:ascii="宋体" w:hAnsi="宋体" w:eastAsia="宋体" w:cs="宋体"/>
          <w:sz w:val="24"/>
          <w:szCs w:val="24"/>
        </w:rPr>
        <w:t>7</w:t>
      </w:r>
      <w:r>
        <w:rPr>
          <w:rFonts w:ascii="宋体" w:hAnsi="宋体" w:eastAsia="宋体" w:cs="宋体"/>
          <w:sz w:val="24"/>
          <w:szCs w:val="24"/>
          <w:lang w:val="zh-CN"/>
        </w:rPr>
        <w:t xml:space="preserve"> </w:t>
      </w:r>
      <w:r>
        <w:rPr>
          <w:rFonts w:hint="eastAsia" w:ascii="宋体" w:hAnsi="宋体" w:eastAsia="宋体" w:cs="宋体"/>
          <w:sz w:val="24"/>
          <w:szCs w:val="24"/>
          <w:lang w:val="zh-CN"/>
        </w:rPr>
        <w:t>日内日返还甲方已付的所有款项，与此同时，乙方还应按照合同固定总价的2</w:t>
      </w:r>
      <w:r>
        <w:rPr>
          <w:rFonts w:ascii="宋体" w:hAnsi="宋体" w:eastAsia="宋体" w:cs="宋体"/>
          <w:sz w:val="24"/>
          <w:szCs w:val="24"/>
          <w:lang w:val="zh-CN"/>
        </w:rPr>
        <w:t>0%</w:t>
      </w:r>
      <w:r>
        <w:rPr>
          <w:rFonts w:hint="eastAsia" w:ascii="宋体" w:hAnsi="宋体" w:eastAsia="宋体" w:cs="宋体"/>
          <w:sz w:val="24"/>
          <w:szCs w:val="24"/>
          <w:lang w:val="zh-CN"/>
        </w:rPr>
        <w:t>向甲方支付违约金。</w:t>
      </w:r>
    </w:p>
    <w:p w14:paraId="712A37E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4.乙方未按合同约定提交成果文件或取得行政许可的，每逾期一天，应按合同固定总价的的千分之</w:t>
      </w:r>
      <w:r>
        <w:rPr>
          <w:rFonts w:hint="eastAsia" w:ascii="宋体" w:hAnsi="宋体" w:eastAsia="宋体" w:cs="宋体"/>
          <w:sz w:val="24"/>
          <w:szCs w:val="24"/>
          <w:lang w:val="en-US" w:eastAsia="zh-CN"/>
        </w:rPr>
        <w:t>六</w:t>
      </w:r>
      <w:r>
        <w:rPr>
          <w:rFonts w:hint="eastAsia" w:ascii="宋体" w:hAnsi="宋体" w:eastAsia="宋体" w:cs="宋体"/>
          <w:sz w:val="24"/>
          <w:szCs w:val="24"/>
        </w:rPr>
        <w:t>向甲方支付违约金。逾期超过10日的，甲方有权解除本合同，乙方应</w:t>
      </w:r>
      <w:r>
        <w:rPr>
          <w:rFonts w:hint="eastAsia" w:ascii="宋体" w:hAnsi="宋体" w:eastAsia="宋体" w:cs="宋体"/>
          <w:sz w:val="24"/>
          <w:szCs w:val="24"/>
          <w:lang w:val="zh-CN"/>
        </w:rPr>
        <w:t xml:space="preserve">自解除通知到达之日起 </w:t>
      </w:r>
      <w:r>
        <w:rPr>
          <w:rFonts w:hint="eastAsia" w:ascii="宋体" w:hAnsi="宋体" w:eastAsia="宋体" w:cs="宋体"/>
          <w:sz w:val="24"/>
          <w:szCs w:val="24"/>
        </w:rPr>
        <w:t>7</w:t>
      </w:r>
      <w:r>
        <w:rPr>
          <w:rFonts w:hint="eastAsia" w:ascii="宋体" w:hAnsi="宋体" w:eastAsia="宋体" w:cs="宋体"/>
          <w:sz w:val="24"/>
          <w:szCs w:val="24"/>
          <w:lang w:val="zh-CN"/>
        </w:rPr>
        <w:t>日内日返还甲方已付的所有款项，与此同时，乙方还应按照合同固定总价的2</w:t>
      </w:r>
      <w:r>
        <w:rPr>
          <w:rFonts w:ascii="宋体" w:hAnsi="宋体" w:eastAsia="宋体" w:cs="宋体"/>
          <w:sz w:val="24"/>
          <w:szCs w:val="24"/>
          <w:lang w:val="zh-CN"/>
        </w:rPr>
        <w:t>0%</w:t>
      </w:r>
      <w:r>
        <w:rPr>
          <w:rFonts w:hint="eastAsia" w:ascii="宋体" w:hAnsi="宋体" w:eastAsia="宋体" w:cs="宋体"/>
          <w:sz w:val="24"/>
          <w:szCs w:val="24"/>
          <w:lang w:val="zh-CN"/>
        </w:rPr>
        <w:t>向甲方支付违约金</w:t>
      </w:r>
      <w:r>
        <w:rPr>
          <w:rFonts w:hint="eastAsia" w:ascii="宋体" w:hAnsi="宋体" w:eastAsia="宋体" w:cs="宋体"/>
          <w:sz w:val="24"/>
          <w:szCs w:val="24"/>
        </w:rPr>
        <w:t>。</w:t>
      </w:r>
    </w:p>
    <w:p w14:paraId="1D200E2D">
      <w:pPr>
        <w:pStyle w:val="9"/>
        <w:rPr>
          <w:rFonts w:ascii="宋体" w:hAnsi="宋体" w:eastAsia="宋体" w:cs="宋体"/>
          <w:szCs w:val="24"/>
        </w:rPr>
      </w:pPr>
      <w:r>
        <w:rPr>
          <w:rFonts w:hint="eastAsia"/>
        </w:rPr>
        <w:t xml:space="preserve"> </w:t>
      </w:r>
      <w:r>
        <w:t xml:space="preserve">   5.</w:t>
      </w:r>
      <w:r>
        <w:rPr>
          <w:rFonts w:hint="eastAsia"/>
        </w:rPr>
        <w:t>乙方存在其他违反合同约定的行为的，每发生一次或延误一天，应按500元/次（或日）向甲方支付违约金；同类违约行为累计达</w:t>
      </w:r>
      <w:r>
        <w:rPr>
          <w:rFonts w:hint="eastAsia"/>
          <w:lang w:val="en-US" w:eastAsia="zh-CN"/>
        </w:rPr>
        <w:t>4</w:t>
      </w:r>
      <w:r>
        <w:rPr>
          <w:rFonts w:hint="eastAsia"/>
        </w:rPr>
        <w:t>次或延期累计达30日的，</w:t>
      </w:r>
      <w:r>
        <w:rPr>
          <w:rFonts w:hint="eastAsia" w:ascii="宋体" w:hAnsi="宋体" w:eastAsia="宋体" w:cs="宋体"/>
          <w:szCs w:val="24"/>
        </w:rPr>
        <w:t>甲方有权解除本合同，乙方应</w:t>
      </w:r>
      <w:r>
        <w:rPr>
          <w:rFonts w:hint="eastAsia" w:ascii="宋体" w:hAnsi="宋体" w:eastAsia="宋体" w:cs="宋体"/>
          <w:szCs w:val="24"/>
          <w:lang w:val="zh-CN"/>
        </w:rPr>
        <w:t xml:space="preserve">自解除通知到达之日起 </w:t>
      </w:r>
      <w:r>
        <w:rPr>
          <w:rFonts w:hint="eastAsia" w:ascii="宋体" w:hAnsi="宋体" w:eastAsia="宋体" w:cs="宋体"/>
          <w:szCs w:val="24"/>
        </w:rPr>
        <w:t>7</w:t>
      </w:r>
      <w:r>
        <w:rPr>
          <w:rFonts w:hint="eastAsia" w:ascii="宋体" w:hAnsi="宋体" w:eastAsia="宋体" w:cs="宋体"/>
          <w:szCs w:val="24"/>
          <w:lang w:val="zh-CN"/>
        </w:rPr>
        <w:t>日内日返还甲方已付的所有款项，与此同时，乙方还应按照合同固定总价的2</w:t>
      </w:r>
      <w:r>
        <w:rPr>
          <w:rFonts w:ascii="宋体" w:hAnsi="宋体" w:eastAsia="宋体" w:cs="宋体"/>
          <w:szCs w:val="24"/>
          <w:lang w:val="zh-CN"/>
        </w:rPr>
        <w:t>0%</w:t>
      </w:r>
      <w:r>
        <w:rPr>
          <w:rFonts w:hint="eastAsia" w:ascii="宋体" w:hAnsi="宋体" w:eastAsia="宋体" w:cs="宋体"/>
          <w:szCs w:val="24"/>
          <w:lang w:val="zh-CN"/>
        </w:rPr>
        <w:t>向甲方支付违约金。</w:t>
      </w:r>
    </w:p>
    <w:p w14:paraId="6072E9B5">
      <w:pPr>
        <w:spacing w:line="360" w:lineRule="auto"/>
        <w:ind w:firstLine="480" w:firstLineChars="200"/>
        <w:rPr>
          <w:rFonts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w:t>
      </w:r>
      <w:r>
        <w:rPr>
          <w:rFonts w:hint="eastAsia" w:ascii="宋体" w:hAnsi="宋体" w:eastAsia="宋体" w:cs="宋体"/>
          <w:sz w:val="24"/>
          <w:szCs w:val="24"/>
          <w:lang w:val="zh-CN"/>
        </w:rPr>
        <w:t>由于乙方技术服务错误造成工程质量事故损失，乙方负责采取补救措施并根据损失程度向甲方支付赔偿金。</w:t>
      </w:r>
    </w:p>
    <w:p w14:paraId="2F7C9A6C">
      <w:pPr>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第九条  送达条款</w:t>
      </w:r>
    </w:p>
    <w:p w14:paraId="62931466">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甲乙双方明确送达信息如下：</w:t>
      </w:r>
    </w:p>
    <w:p w14:paraId="0F14D36B">
      <w:pPr>
        <w:tabs>
          <w:tab w:val="left" w:pos="600"/>
        </w:tabs>
        <w:spacing w:line="360" w:lineRule="auto"/>
        <w:ind w:firstLine="480" w:firstLineChars="200"/>
        <w:rPr>
          <w:rFonts w:ascii="宋体" w:hAnsi="宋体" w:eastAsia="宋体" w:cs="宋体"/>
          <w:sz w:val="24"/>
          <w:szCs w:val="24"/>
          <w:highlight w:val="yellow"/>
          <w:lang w:val="zh-CN"/>
        </w:rPr>
      </w:pPr>
      <w:r>
        <w:rPr>
          <w:rFonts w:hint="eastAsia" w:ascii="宋体" w:hAnsi="宋体" w:eastAsia="宋体" w:cs="宋体"/>
          <w:sz w:val="24"/>
          <w:szCs w:val="24"/>
          <w:lang w:val="zh-CN"/>
        </w:rPr>
        <w:t>甲方确认的送达信息为：</w:t>
      </w:r>
    </w:p>
    <w:p w14:paraId="54E2715A">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送达地址：</w:t>
      </w:r>
      <w:r>
        <w:rPr>
          <w:rFonts w:hint="eastAsia" w:ascii="宋体"/>
          <w:sz w:val="24"/>
          <w:szCs w:val="24"/>
        </w:rPr>
        <w:t>河南省洛阳市关林路与宇文恺街交叉口浩德控股集团</w:t>
      </w:r>
      <w:r>
        <w:rPr>
          <w:rFonts w:hint="eastAsia" w:ascii="宋体" w:hAnsi="宋体" w:eastAsia="宋体" w:cs="宋体"/>
          <w:sz w:val="24"/>
          <w:szCs w:val="24"/>
          <w:lang w:val="zh-CN"/>
        </w:rPr>
        <w:t xml:space="preserve">                                                  </w:t>
      </w:r>
    </w:p>
    <w:p w14:paraId="3FBF3AB9">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联系人及联系方式：招采合约部，0379-60198086                 </w:t>
      </w:r>
    </w:p>
    <w:p w14:paraId="41A748A5">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乙方确认的送达信息为：</w:t>
      </w:r>
    </w:p>
    <w:p w14:paraId="66D7A8D8">
      <w:pPr>
        <w:tabs>
          <w:tab w:val="left" w:pos="60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送达地址：</w:t>
      </w:r>
      <w:r>
        <w:rPr>
          <w:rFonts w:hint="eastAsia" w:ascii="宋体" w:hAnsi="宋体" w:eastAsia="宋体" w:cs="宋体"/>
          <w:sz w:val="24"/>
          <w:szCs w:val="24"/>
        </w:rPr>
        <w:t>河南省洛阳市炎黄科技园B4栋503室</w:t>
      </w:r>
    </w:p>
    <w:p w14:paraId="615BAA7E">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联系人及联系方式：</w:t>
      </w:r>
      <w:r>
        <w:rPr>
          <w:rFonts w:hint="eastAsia" w:ascii="宋体" w:hAnsi="宋体" w:eastAsia="宋体" w:cs="宋体"/>
          <w:sz w:val="24"/>
          <w:szCs w:val="24"/>
        </w:rPr>
        <w:t>卫小丹，13698865050</w:t>
      </w:r>
      <w:r>
        <w:rPr>
          <w:rFonts w:hint="eastAsia" w:ascii="宋体" w:hAnsi="宋体" w:eastAsia="宋体" w:cs="宋体"/>
          <w:sz w:val="24"/>
          <w:szCs w:val="24"/>
          <w:lang w:val="zh-CN"/>
        </w:rPr>
        <w:t xml:space="preserve">                                   </w:t>
      </w:r>
    </w:p>
    <w:p w14:paraId="6E2746B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双方在此共同确认，上述送达信息将作为双方在合同项下邮寄往来通知、函件等任何文件资料</w:t>
      </w:r>
      <w:r>
        <w:rPr>
          <w:rFonts w:hint="eastAsia" w:ascii="宋体" w:hAnsi="宋体" w:eastAsia="宋体" w:cs="宋体"/>
          <w:sz w:val="24"/>
          <w:szCs w:val="24"/>
          <w:lang w:val="en-US" w:eastAsia="zh-CN"/>
        </w:rPr>
        <w:t>及法院寄送法律文书</w:t>
      </w:r>
      <w:r>
        <w:rPr>
          <w:rFonts w:hint="eastAsia" w:ascii="宋体" w:hAnsi="宋体" w:eastAsia="宋体" w:cs="宋体"/>
          <w:sz w:val="24"/>
          <w:szCs w:val="24"/>
          <w:lang w:val="zh-CN"/>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8A15C6E">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第十条  解决纠纷的方式</w:t>
      </w:r>
    </w:p>
    <w:p w14:paraId="1C141B1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本合同发生纠纷，可在甲方工程所在地法院诉讼。诉讼期间，除与诉讼有关的部分外，双方应该履行合同规定的各自的义务。</w:t>
      </w:r>
    </w:p>
    <w:p w14:paraId="380E7937">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合同生效及其他</w:t>
      </w:r>
    </w:p>
    <w:p w14:paraId="6521E9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1．本合同一式</w:t>
      </w:r>
      <w:r>
        <w:rPr>
          <w:rFonts w:hint="eastAsia" w:ascii="宋体" w:hAnsi="宋体" w:eastAsia="宋体" w:cs="宋体"/>
          <w:sz w:val="24"/>
          <w:szCs w:val="24"/>
          <w:u w:val="single"/>
        </w:rPr>
        <w:t xml:space="preserve"> 柒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伍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w:t>
      </w:r>
    </w:p>
    <w:p w14:paraId="28E7E36C">
      <w:pPr>
        <w:pStyle w:val="27"/>
        <w:spacing w:line="360" w:lineRule="auto"/>
        <w:ind w:firstLine="480"/>
        <w:rPr>
          <w:rFonts w:ascii="宋体" w:hAnsi="宋体" w:eastAsia="宋体" w:cs="宋体"/>
          <w:sz w:val="24"/>
          <w:szCs w:val="24"/>
        </w:rPr>
      </w:pPr>
      <w:r>
        <w:rPr>
          <w:rFonts w:hint="eastAsia" w:ascii="宋体" w:hAnsi="宋体" w:eastAsia="宋体" w:cs="宋体"/>
          <w:sz w:val="24"/>
          <w:szCs w:val="24"/>
        </w:rPr>
        <w:t>2．本合同自双方盖章之日起正式生效。</w:t>
      </w:r>
    </w:p>
    <w:p w14:paraId="61D20BA2">
      <w:pPr>
        <w:pStyle w:val="27"/>
        <w:spacing w:line="360" w:lineRule="auto"/>
        <w:ind w:firstLine="480"/>
        <w:rPr>
          <w:rFonts w:ascii="宋体" w:hAnsi="宋体" w:eastAsia="宋体" w:cs="宋体"/>
          <w:sz w:val="24"/>
          <w:szCs w:val="24"/>
        </w:rPr>
      </w:pPr>
      <w:r>
        <w:rPr>
          <w:rFonts w:hint="eastAsia" w:ascii="宋体" w:hAnsi="宋体" w:eastAsia="宋体" w:cs="宋体"/>
          <w:sz w:val="24"/>
          <w:szCs w:val="24"/>
        </w:rPr>
        <w:t>3．合同项目完成，合同款支付完毕后，合同终止。</w:t>
      </w:r>
    </w:p>
    <w:p w14:paraId="1EF3F4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4．本合同未尽事宜，由双方协商解决。</w:t>
      </w:r>
    </w:p>
    <w:p w14:paraId="5AE3967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（以下无正文）</w:t>
      </w:r>
    </w:p>
    <w:p w14:paraId="330168C7">
      <w:pPr>
        <w:spacing w:line="360" w:lineRule="auto"/>
        <w:rPr>
          <w:rFonts w:ascii="宋体" w:hAnsi="宋体" w:eastAsia="宋体" w:cs="宋体"/>
          <w:sz w:val="24"/>
          <w:szCs w:val="24"/>
        </w:rPr>
      </w:pPr>
      <w:r>
        <w:rPr>
          <w:rFonts w:hint="eastAsia" w:ascii="宋体" w:hAnsi="宋体" w:eastAsia="宋体" w:cs="宋体"/>
          <w:sz w:val="24"/>
          <w:szCs w:val="24"/>
        </w:rPr>
        <w:t xml:space="preserve">甲方：洛阳浩德鑫置地有限公司       乙方：河南尚宏工程咨询有限公司 </w:t>
      </w:r>
    </w:p>
    <w:p w14:paraId="10BCFCFF">
      <w:pPr>
        <w:spacing w:line="360" w:lineRule="auto"/>
        <w:rPr>
          <w:rFonts w:ascii="宋体" w:hAnsi="宋体" w:eastAsia="宋体" w:cs="宋体"/>
          <w:sz w:val="24"/>
          <w:szCs w:val="24"/>
        </w:rPr>
      </w:pPr>
      <w:r>
        <w:rPr>
          <w:rFonts w:hint="eastAsia" w:ascii="宋体" w:hAnsi="宋体" w:eastAsia="宋体" w:cs="宋体"/>
          <w:sz w:val="24"/>
          <w:szCs w:val="24"/>
        </w:rPr>
        <w:t>法定代表人：                       法定代表人：</w:t>
      </w:r>
    </w:p>
    <w:p w14:paraId="4F6ED69A">
      <w:pPr>
        <w:spacing w:line="360" w:lineRule="auto"/>
        <w:rPr>
          <w:rFonts w:ascii="宋体" w:hAnsi="宋体" w:eastAsia="宋体" w:cs="宋体"/>
          <w:sz w:val="24"/>
          <w:szCs w:val="24"/>
        </w:rPr>
      </w:pPr>
      <w:r>
        <w:rPr>
          <w:rFonts w:hint="eastAsia" w:ascii="宋体" w:hAnsi="宋体" w:eastAsia="宋体" w:cs="宋体"/>
          <w:sz w:val="24"/>
          <w:szCs w:val="24"/>
        </w:rPr>
        <w:t>委托代理人：                       委托代理人：</w:t>
      </w:r>
    </w:p>
    <w:p w14:paraId="4B4D1EEC">
      <w:pPr>
        <w:spacing w:line="360" w:lineRule="auto"/>
        <w:rPr>
          <w:rFonts w:ascii="宋体" w:hAnsi="宋体" w:eastAsia="宋体" w:cs="宋体"/>
          <w:sz w:val="24"/>
          <w:szCs w:val="24"/>
          <w:highlight w:val="yellow"/>
        </w:rPr>
      </w:pPr>
      <w:r>
        <w:rPr>
          <w:rFonts w:hint="eastAsia" w:ascii="宋体" w:hAnsi="宋体" w:eastAsia="宋体" w:cs="宋体"/>
          <w:sz w:val="24"/>
          <w:szCs w:val="24"/>
        </w:rPr>
        <w:t>开户行：</w:t>
      </w:r>
      <w:r>
        <w:rPr>
          <w:rFonts w:hint="eastAsia" w:ascii="宋体" w:hAnsi="宋体" w:eastAsia="宋体" w:cs="宋体"/>
          <w:kern w:val="2"/>
          <w:sz w:val="24"/>
          <w:szCs w:val="24"/>
        </w:rPr>
        <w:t>交行洛阳分行西苑支行</w:t>
      </w:r>
      <w:r>
        <w:rPr>
          <w:rFonts w:hint="eastAsia" w:ascii="宋体" w:hAnsi="宋体" w:eastAsia="宋体" w:cs="宋体"/>
          <w:bCs w:val="0"/>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24"/>
          <w:szCs w:val="24"/>
        </w:rPr>
        <w:t>开户行：中国建设银行股份有限公司洛阳蓝郡支行</w:t>
      </w:r>
    </w:p>
    <w:p w14:paraId="4A161D9E">
      <w:pPr>
        <w:pStyle w:val="2"/>
        <w:autoSpaceDE/>
        <w:autoSpaceDN/>
        <w:adjustRightInd/>
        <w:spacing w:line="360" w:lineRule="auto"/>
        <w:ind w:firstLine="0"/>
        <w:jc w:val="both"/>
        <w:textAlignment w:val="auto"/>
        <w:rPr>
          <w:rFonts w:hAnsi="宋体" w:eastAsia="宋体" w:cs="宋体"/>
          <w:szCs w:val="24"/>
          <w:highlight w:val="yellow"/>
        </w:rPr>
      </w:pPr>
      <w:r>
        <w:rPr>
          <w:rFonts w:hint="eastAsia" w:hAnsi="宋体" w:eastAsia="宋体" w:cs="宋体"/>
          <w:szCs w:val="24"/>
        </w:rPr>
        <w:t>账号：</w:t>
      </w:r>
      <w:r>
        <w:rPr>
          <w:rFonts w:hint="eastAsia" w:ascii="宋体" w:hAnsi="宋体" w:cs="宋体"/>
          <w:bCs/>
          <w:sz w:val="24"/>
          <w:szCs w:val="24"/>
        </w:rPr>
        <w:t>413062200018170292470</w:t>
      </w:r>
      <w:r>
        <w:rPr>
          <w:rFonts w:hint="eastAsia" w:hAnsi="宋体" w:eastAsia="宋体" w:cs="宋体"/>
          <w:szCs w:val="24"/>
        </w:rPr>
        <w:t xml:space="preserve">     </w:t>
      </w:r>
      <w:r>
        <w:rPr>
          <w:rFonts w:hint="eastAsia" w:hAnsi="宋体" w:eastAsia="宋体" w:cs="宋体"/>
          <w:szCs w:val="24"/>
          <w:lang w:val="en-US" w:eastAsia="zh-CN"/>
        </w:rPr>
        <w:t xml:space="preserve">  </w:t>
      </w:r>
      <w:r>
        <w:rPr>
          <w:rFonts w:hint="eastAsia" w:hAnsi="宋体" w:eastAsia="宋体" w:cs="宋体"/>
          <w:kern w:val="2"/>
          <w:szCs w:val="24"/>
        </w:rPr>
        <w:t>账号：41050110256400000774</w:t>
      </w:r>
    </w:p>
    <w:p w14:paraId="2D23B140">
      <w:pPr>
        <w:spacing w:line="360" w:lineRule="auto"/>
        <w:rPr>
          <w:rFonts w:ascii="宋体" w:hAnsi="宋体" w:eastAsia="宋体" w:cs="宋体"/>
          <w:sz w:val="24"/>
          <w:szCs w:val="24"/>
        </w:rPr>
      </w:pPr>
      <w:r>
        <w:rPr>
          <w:rFonts w:hint="eastAsia" w:ascii="宋体" w:hAnsi="宋体" w:eastAsia="宋体" w:cs="宋体"/>
          <w:sz w:val="24"/>
          <w:szCs w:val="24"/>
        </w:rPr>
        <w:t>税号：</w:t>
      </w:r>
      <w:r>
        <w:rPr>
          <w:rFonts w:hint="eastAsia" w:ascii="宋体" w:hAnsi="宋体" w:cs="宋体"/>
          <w:bCs/>
          <w:sz w:val="24"/>
          <w:szCs w:val="24"/>
          <w:lang w:eastAsia="zh-CN"/>
        </w:rPr>
        <w:t>914103005542480325</w:t>
      </w:r>
      <w:r>
        <w:rPr>
          <w:rFonts w:hint="eastAsia" w:ascii="宋体" w:hAnsi="宋体" w:eastAsia="宋体" w:cs="宋体"/>
          <w:sz w:val="24"/>
          <w:szCs w:val="24"/>
        </w:rPr>
        <w:t xml:space="preserve">          </w:t>
      </w:r>
      <w:r>
        <w:rPr>
          <w:rFonts w:hint="eastAsia" w:ascii="宋体" w:hAnsi="宋体" w:eastAsia="宋体" w:cs="宋体"/>
          <w:sz w:val="24"/>
          <w:szCs w:val="24"/>
          <w:highlight w:val="none"/>
        </w:rPr>
        <w:t>税号：9</w:t>
      </w:r>
      <w:r>
        <w:rPr>
          <w:rFonts w:hint="eastAsia" w:ascii="宋体" w:hAnsi="宋体" w:eastAsia="宋体" w:cs="宋体"/>
          <w:sz w:val="24"/>
          <w:szCs w:val="24"/>
        </w:rPr>
        <w:t>1410394MA9NHBG410</w:t>
      </w:r>
    </w:p>
    <w:p w14:paraId="16B8F64B">
      <w:pPr>
        <w:spacing w:line="360" w:lineRule="auto"/>
        <w:rPr>
          <w:rFonts w:ascii="宋体" w:hAnsi="宋体" w:eastAsia="宋体" w:cs="宋体"/>
          <w:sz w:val="24"/>
          <w:szCs w:val="24"/>
        </w:rPr>
      </w:pPr>
      <w:r>
        <w:rPr>
          <w:rFonts w:hint="eastAsia" w:ascii="宋体" w:hAnsi="宋体" w:eastAsia="宋体" w:cs="宋体"/>
          <w:sz w:val="24"/>
          <w:szCs w:val="24"/>
        </w:rPr>
        <w:t>日期：202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            日期：202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E143781">
      <w:pPr>
        <w:spacing w:line="360" w:lineRule="auto"/>
        <w:jc w:val="center"/>
        <w:rPr>
          <w:rFonts w:ascii="宋体" w:hAnsi="宋体" w:eastAsia="宋体" w:cs="宋体"/>
          <w:b/>
          <w:bCs/>
          <w:sz w:val="24"/>
          <w:szCs w:val="24"/>
        </w:rPr>
      </w:pPr>
    </w:p>
    <w:p w14:paraId="6969B780">
      <w:pPr>
        <w:pStyle w:val="9"/>
      </w:pPr>
    </w:p>
    <w:p w14:paraId="4E5AF2AF">
      <w:pPr>
        <w:spacing w:line="360" w:lineRule="auto"/>
        <w:jc w:val="center"/>
        <w:rPr>
          <w:rFonts w:ascii="宋体" w:hAnsi="宋体" w:eastAsia="宋体" w:cs="宋体"/>
          <w:b/>
          <w:bCs/>
          <w:sz w:val="24"/>
          <w:szCs w:val="24"/>
        </w:rPr>
      </w:pPr>
    </w:p>
    <w:p w14:paraId="7460E646">
      <w:pPr>
        <w:spacing w:line="360" w:lineRule="auto"/>
        <w:jc w:val="center"/>
        <w:rPr>
          <w:rFonts w:ascii="宋体" w:hAnsi="宋体" w:eastAsia="宋体" w:cs="宋体"/>
          <w:b/>
          <w:bCs/>
          <w:sz w:val="24"/>
          <w:szCs w:val="24"/>
        </w:rPr>
      </w:pPr>
    </w:p>
    <w:p w14:paraId="1BA81F9A">
      <w:pPr>
        <w:pStyle w:val="9"/>
        <w:rPr>
          <w:rFonts w:ascii="宋体" w:hAnsi="宋体" w:eastAsia="宋体" w:cs="宋体"/>
          <w:b/>
          <w:bCs/>
          <w:szCs w:val="24"/>
        </w:rPr>
      </w:pPr>
    </w:p>
    <w:p w14:paraId="27D05DF1">
      <w:pPr>
        <w:pStyle w:val="10"/>
        <w:rPr>
          <w:rFonts w:hAnsi="宋体"/>
          <w:b/>
          <w:bCs/>
        </w:rPr>
      </w:pPr>
    </w:p>
    <w:p w14:paraId="20F9A5D6">
      <w:pPr>
        <w:pStyle w:val="11"/>
        <w:rPr>
          <w:rFonts w:ascii="宋体" w:hAnsi="宋体" w:eastAsia="宋体" w:cs="宋体"/>
          <w:bCs/>
          <w:sz w:val="24"/>
        </w:rPr>
      </w:pPr>
    </w:p>
    <w:p w14:paraId="4C2778FE">
      <w:pPr>
        <w:pStyle w:val="12"/>
        <w:rPr>
          <w:rFonts w:eastAsia="宋体" w:cs="宋体"/>
          <w:b/>
          <w:bCs/>
          <w:sz w:val="24"/>
          <w:szCs w:val="24"/>
        </w:rPr>
      </w:pPr>
    </w:p>
    <w:p w14:paraId="3D9D5FF6">
      <w:pPr>
        <w:pStyle w:val="9"/>
        <w:rPr>
          <w:rFonts w:ascii="宋体" w:hAnsi="宋体" w:eastAsia="宋体" w:cs="宋体"/>
          <w:b/>
          <w:bCs/>
          <w:szCs w:val="24"/>
        </w:rPr>
      </w:pPr>
    </w:p>
    <w:p w14:paraId="231B00F5">
      <w:pPr>
        <w:pStyle w:val="10"/>
        <w:rPr>
          <w:rFonts w:hAnsi="宋体"/>
          <w:b/>
          <w:bCs/>
        </w:rPr>
      </w:pPr>
    </w:p>
    <w:p w14:paraId="20F4FBF7">
      <w:pPr>
        <w:pStyle w:val="11"/>
        <w:rPr>
          <w:rFonts w:ascii="宋体" w:hAnsi="宋体" w:eastAsia="宋体" w:cs="宋体"/>
          <w:bCs/>
          <w:sz w:val="24"/>
        </w:rPr>
      </w:pPr>
    </w:p>
    <w:p w14:paraId="7AF8B1EB">
      <w:pPr>
        <w:pStyle w:val="12"/>
        <w:rPr>
          <w:rFonts w:eastAsia="宋体" w:cs="宋体"/>
          <w:b/>
          <w:bCs/>
          <w:sz w:val="24"/>
          <w:szCs w:val="24"/>
        </w:rPr>
      </w:pPr>
    </w:p>
    <w:p w14:paraId="4236BDE0">
      <w:pPr>
        <w:pStyle w:val="9"/>
        <w:rPr>
          <w:rFonts w:ascii="宋体" w:hAnsi="宋体" w:eastAsia="宋体" w:cs="宋体"/>
          <w:b/>
          <w:bCs/>
          <w:szCs w:val="24"/>
        </w:rPr>
      </w:pPr>
    </w:p>
    <w:p w14:paraId="273FF547">
      <w:pPr>
        <w:pStyle w:val="10"/>
        <w:rPr>
          <w:rFonts w:hAnsi="宋体"/>
          <w:b/>
          <w:bCs/>
        </w:rPr>
      </w:pPr>
    </w:p>
    <w:p w14:paraId="7DB31144">
      <w:pPr>
        <w:pStyle w:val="11"/>
        <w:rPr>
          <w:rFonts w:ascii="宋体" w:hAnsi="宋体" w:eastAsia="宋体" w:cs="宋体"/>
          <w:bCs/>
          <w:sz w:val="24"/>
        </w:rPr>
      </w:pPr>
    </w:p>
    <w:p w14:paraId="11478D0A">
      <w:pPr>
        <w:pStyle w:val="12"/>
        <w:rPr>
          <w:rFonts w:eastAsia="宋体" w:cs="宋体"/>
          <w:b/>
          <w:bCs/>
          <w:sz w:val="24"/>
          <w:szCs w:val="24"/>
        </w:rPr>
      </w:pPr>
    </w:p>
    <w:p w14:paraId="5DA9438F">
      <w:pPr>
        <w:pStyle w:val="9"/>
        <w:rPr>
          <w:rFonts w:ascii="宋体" w:hAnsi="宋体" w:eastAsia="宋体" w:cs="宋体"/>
          <w:b/>
          <w:bCs/>
          <w:szCs w:val="24"/>
        </w:rPr>
      </w:pPr>
    </w:p>
    <w:p w14:paraId="11C39FF2">
      <w:pPr>
        <w:spacing w:line="360" w:lineRule="auto"/>
        <w:jc w:val="center"/>
        <w:rPr>
          <w:rFonts w:ascii="宋体" w:hAnsi="宋体" w:eastAsia="宋体" w:cs="宋体"/>
          <w:sz w:val="24"/>
          <w:szCs w:val="24"/>
        </w:rPr>
      </w:pPr>
      <w:r>
        <w:rPr>
          <w:rFonts w:hint="eastAsia" w:ascii="宋体" w:hAnsi="宋体" w:eastAsia="宋体" w:cs="宋体"/>
          <w:b/>
          <w:bCs/>
          <w:sz w:val="24"/>
          <w:szCs w:val="24"/>
        </w:rPr>
        <w:t>廉政合作协议</w:t>
      </w:r>
    </w:p>
    <w:p w14:paraId="3E8DBE93">
      <w:pPr>
        <w:spacing w:line="360" w:lineRule="auto"/>
        <w:rPr>
          <w:rFonts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lang w:bidi="ar"/>
        </w:rPr>
        <w:t>洛阳浩德鑫置地有限公司</w:t>
      </w:r>
      <w:r>
        <w:rPr>
          <w:rFonts w:hint="eastAsia" w:ascii="宋体" w:hAnsi="宋体" w:eastAsia="宋体" w:cs="宋体"/>
          <w:sz w:val="24"/>
          <w:szCs w:val="24"/>
        </w:rPr>
        <w:t xml:space="preserve">  </w:t>
      </w:r>
    </w:p>
    <w:p w14:paraId="31717EAF">
      <w:pPr>
        <w:spacing w:line="360" w:lineRule="auto"/>
        <w:rPr>
          <w:rFonts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kern w:val="0"/>
          <w:sz w:val="24"/>
          <w:szCs w:val="24"/>
        </w:rPr>
        <w:t>河南尚宏工程咨询有限公司</w:t>
      </w:r>
    </w:p>
    <w:p w14:paraId="6414EA4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14:paraId="3307C9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一、甲方责任</w:t>
      </w:r>
    </w:p>
    <w:p w14:paraId="2DC2D2C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14:paraId="2A01AA7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2．甲方有责任对本单位项目管理人员进行廉政教育。</w:t>
      </w:r>
    </w:p>
    <w:p w14:paraId="28D5E3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14:paraId="36DF59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14:paraId="078650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14:paraId="432DE51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14:paraId="18B3348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二、乙方责任</w:t>
      </w:r>
    </w:p>
    <w:p w14:paraId="2A5A1CA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14:paraId="3F3EBBC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14:paraId="5554BDD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14:paraId="3855B31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14:paraId="519486C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200D5C3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14:paraId="52A0615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三、为维护甲乙双方的合法利益，营造良好的商务环境，甲方建立多种举报渠道（如下）。甲方审计监察部人员将恪守职业道德，严格履行保密义务！</w:t>
      </w:r>
    </w:p>
    <w:p w14:paraId="0D40858B">
      <w:pPr>
        <w:spacing w:line="360" w:lineRule="auto"/>
        <w:ind w:firstLine="42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14:paraId="3336ED71">
      <w:pPr>
        <w:spacing w:line="360" w:lineRule="auto"/>
        <w:ind w:firstLine="42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8890" b="889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5"/>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14:paraId="7E744DDA">
      <w:pPr>
        <w:spacing w:line="360" w:lineRule="auto"/>
        <w:ind w:firstLine="420" w:firstLineChars="200"/>
        <w:rPr>
          <w:rFonts w:ascii="宋体" w:hAnsi="宋体" w:cs="宋体"/>
          <w:szCs w:val="28"/>
        </w:rPr>
      </w:pPr>
      <w:r>
        <w:rPr>
          <w:rFonts w:hint="eastAsia" w:ascii="宋体" w:hAnsi="宋体" w:cs="宋体"/>
          <w:szCs w:val="28"/>
        </w:rPr>
        <w:t>（3）电话：风控总监毛政辉：13693798532</w:t>
      </w:r>
    </w:p>
    <w:p w14:paraId="438EFB1B">
      <w:pPr>
        <w:spacing w:line="360" w:lineRule="auto"/>
        <w:ind w:firstLine="420" w:firstLineChars="200"/>
        <w:rPr>
          <w:rFonts w:ascii="宋体" w:hAnsi="宋体" w:cs="宋体"/>
          <w:szCs w:val="28"/>
        </w:rPr>
      </w:pPr>
      <w:r>
        <w:rPr>
          <w:rFonts w:hint="eastAsia" w:ascii="宋体" w:hAnsi="宋体" w:cs="宋体"/>
          <w:szCs w:val="28"/>
        </w:rPr>
        <w:t>（4）电话：审计监察副总监齐全中：18137710188</w:t>
      </w:r>
    </w:p>
    <w:p w14:paraId="2ABAE0C0">
      <w:pPr>
        <w:spacing w:line="360" w:lineRule="auto"/>
        <w:ind w:firstLine="420" w:firstLineChars="200"/>
        <w:rPr>
          <w:rFonts w:ascii="宋体" w:hAnsi="宋体" w:eastAsia="宋体" w:cs="宋体"/>
          <w:szCs w:val="28"/>
        </w:rPr>
      </w:pPr>
      <w:r>
        <w:rPr>
          <w:rFonts w:hint="eastAsia" w:ascii="宋体" w:hAnsi="宋体" w:eastAsia="宋体" w:cs="宋体"/>
          <w:szCs w:val="28"/>
        </w:rPr>
        <w:t>（5）</w:t>
      </w:r>
      <w:r>
        <w:rPr>
          <w:rFonts w:hint="eastAsia" w:ascii="宋体" w:hAnsi="宋体" w:cs="宋体"/>
          <w:szCs w:val="28"/>
        </w:rPr>
        <w:t>电话：审计监察高级经理苏文倩：18839528225</w:t>
      </w:r>
    </w:p>
    <w:p w14:paraId="7C75B7D8">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（6）信件举报邮寄地址：洛阳市洛龙区关林西路8号中浩德控股集团有限公司审计监察部（收）。</w:t>
      </w:r>
    </w:p>
    <w:p w14:paraId="336DE6A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四、甲乙双方发现对方工作人员有下列行为之一的，可通过第三条约定的渠道进行举报：</w:t>
      </w:r>
    </w:p>
    <w:p w14:paraId="539619F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14:paraId="2B5C823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14:paraId="46875E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3.贪污、受贿、盗窃、欺上瞒下等违法乱纪行为。</w:t>
      </w:r>
    </w:p>
    <w:p w14:paraId="59701C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4.出卖、泄露公司商业机密等危害公司行为。</w:t>
      </w:r>
    </w:p>
    <w:p w14:paraId="4E938D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14:paraId="3F5BB7F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14:paraId="5C7BFB3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14:paraId="0670841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14:paraId="703733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14:paraId="4491347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14:paraId="02E245D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11.其它违反法律或者招标人公司相关制度的行为。</w:t>
      </w:r>
    </w:p>
    <w:p w14:paraId="233936D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（以下无正文）</w:t>
      </w:r>
    </w:p>
    <w:p w14:paraId="178233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bidi="ar"/>
        </w:rPr>
        <w:t>洛阳浩德鑫置地有限公司</w:t>
      </w:r>
      <w:r>
        <w:rPr>
          <w:rFonts w:hint="eastAsia" w:ascii="宋体" w:hAnsi="宋体" w:eastAsia="宋体" w:cs="宋体"/>
          <w:sz w:val="24"/>
          <w:szCs w:val="24"/>
        </w:rPr>
        <w:t xml:space="preserve">        乙方：</w:t>
      </w:r>
      <w:r>
        <w:rPr>
          <w:rFonts w:hint="eastAsia" w:ascii="宋体" w:hAnsi="宋体" w:eastAsia="宋体" w:cs="宋体"/>
          <w:kern w:val="0"/>
          <w:sz w:val="24"/>
          <w:szCs w:val="24"/>
        </w:rPr>
        <w:t>河南尚宏工程咨询有限公司</w:t>
      </w:r>
    </w:p>
    <w:p w14:paraId="26D59D9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签署日期：202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               签署日期：202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p>
    <w:sectPr>
      <w:footerReference r:id="rId3" w:type="default"/>
      <w:type w:val="continuous"/>
      <w:pgSz w:w="11906" w:h="16838"/>
      <w:pgMar w:top="1304" w:right="1304" w:bottom="1304" w:left="1304"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88DC6">
    <w:pPr>
      <w:pStyle w:val="15"/>
      <w:jc w:val="center"/>
      <w:rPr>
        <w:rFonts w:ascii="Times New Roman" w:hAnsi="Times New Roman" w:cs="Times New Roman"/>
        <w:sz w:val="21"/>
        <w:szCs w:val="21"/>
      </w:rPr>
    </w:pPr>
    <w:r>
      <w:rPr>
        <w:rFonts w:ascii="Times New Roman" w:hAnsi="Times New Roman" w:cs="Times New Roman"/>
        <w:sz w:val="21"/>
        <w:szCs w:val="21"/>
      </w:rPr>
      <w:t>第</w:t>
    </w:r>
    <w:sdt>
      <w:sdtPr>
        <w:rPr>
          <w:rFonts w:ascii="Times New Roman" w:hAnsi="Times New Roman" w:cs="Times New Roman"/>
          <w:sz w:val="21"/>
          <w:szCs w:val="21"/>
        </w:rPr>
        <w:id w:val="-2111732961"/>
      </w:sdtPr>
      <w:sdtEndPr>
        <w:rPr>
          <w:rFonts w:ascii="Times New Roman" w:hAnsi="Times New Roman" w:cs="Times New Roman"/>
          <w:sz w:val="21"/>
          <w:szCs w:val="21"/>
        </w:rPr>
      </w:sdtEndPr>
      <w:sdtContent>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r>
          <w:rPr>
            <w:rFonts w:ascii="Times New Roman" w:hAnsi="Times New Roman" w:cs="Times New Roman"/>
            <w:sz w:val="21"/>
            <w:szCs w:val="21"/>
          </w:rPr>
          <w:t>页，共</w:t>
        </w:r>
        <w:r>
          <w:rPr>
            <w:rFonts w:hint="eastAsia" w:ascii="Times New Roman" w:hAnsi="Times New Roman" w:cs="Times New Roman"/>
            <w:sz w:val="21"/>
            <w:szCs w:val="21"/>
          </w:rPr>
          <w:t>10</w:t>
        </w:r>
        <w:r>
          <w:rPr>
            <w:rFonts w:ascii="Times New Roman" w:hAnsi="Times New Roman" w:cs="Times New Roman"/>
            <w:sz w:val="21"/>
            <w:szCs w:val="21"/>
          </w:rPr>
          <w:t>页</w:t>
        </w:r>
      </w:sdtContent>
    </w:sdt>
  </w:p>
  <w:p w14:paraId="14CCAFD3">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OTEwZjBkZWQ4M2IxZWZlYjA1MDVmNzAzYTU1MWQifQ=="/>
  </w:docVars>
  <w:rsids>
    <w:rsidRoot w:val="00973F67"/>
    <w:rsid w:val="0002117F"/>
    <w:rsid w:val="00037B24"/>
    <w:rsid w:val="00046AE9"/>
    <w:rsid w:val="00052E25"/>
    <w:rsid w:val="00056B35"/>
    <w:rsid w:val="000579F4"/>
    <w:rsid w:val="00067C51"/>
    <w:rsid w:val="000730E8"/>
    <w:rsid w:val="00095FC2"/>
    <w:rsid w:val="00096BC0"/>
    <w:rsid w:val="000A54DF"/>
    <w:rsid w:val="000C6D54"/>
    <w:rsid w:val="000D3FB8"/>
    <w:rsid w:val="00105412"/>
    <w:rsid w:val="00133D8C"/>
    <w:rsid w:val="00137D72"/>
    <w:rsid w:val="00177954"/>
    <w:rsid w:val="00185404"/>
    <w:rsid w:val="001B602B"/>
    <w:rsid w:val="001C2E10"/>
    <w:rsid w:val="001D670D"/>
    <w:rsid w:val="001E7987"/>
    <w:rsid w:val="002223A9"/>
    <w:rsid w:val="00222CCB"/>
    <w:rsid w:val="002708B0"/>
    <w:rsid w:val="00283152"/>
    <w:rsid w:val="002C3970"/>
    <w:rsid w:val="002C6223"/>
    <w:rsid w:val="002E62D6"/>
    <w:rsid w:val="002E7E74"/>
    <w:rsid w:val="002F0306"/>
    <w:rsid w:val="002F25FE"/>
    <w:rsid w:val="002F78C8"/>
    <w:rsid w:val="0033732F"/>
    <w:rsid w:val="00390B7C"/>
    <w:rsid w:val="003A3845"/>
    <w:rsid w:val="003A5766"/>
    <w:rsid w:val="003B3D0C"/>
    <w:rsid w:val="003C14E0"/>
    <w:rsid w:val="003C649C"/>
    <w:rsid w:val="003E25D2"/>
    <w:rsid w:val="004054F9"/>
    <w:rsid w:val="00440687"/>
    <w:rsid w:val="004445D7"/>
    <w:rsid w:val="00460FF8"/>
    <w:rsid w:val="0046765C"/>
    <w:rsid w:val="004A3F49"/>
    <w:rsid w:val="004A54DB"/>
    <w:rsid w:val="004A5612"/>
    <w:rsid w:val="004C6A68"/>
    <w:rsid w:val="004F487C"/>
    <w:rsid w:val="004F5ADC"/>
    <w:rsid w:val="005067EE"/>
    <w:rsid w:val="0052600A"/>
    <w:rsid w:val="00534ECC"/>
    <w:rsid w:val="00546298"/>
    <w:rsid w:val="0057028E"/>
    <w:rsid w:val="00597513"/>
    <w:rsid w:val="005B25D0"/>
    <w:rsid w:val="005C3A44"/>
    <w:rsid w:val="005D68E1"/>
    <w:rsid w:val="00600B8C"/>
    <w:rsid w:val="00665130"/>
    <w:rsid w:val="006740FB"/>
    <w:rsid w:val="006E321C"/>
    <w:rsid w:val="00716172"/>
    <w:rsid w:val="0072464A"/>
    <w:rsid w:val="00734C79"/>
    <w:rsid w:val="007449CC"/>
    <w:rsid w:val="007477C2"/>
    <w:rsid w:val="00784968"/>
    <w:rsid w:val="007B53FB"/>
    <w:rsid w:val="007D25C3"/>
    <w:rsid w:val="007D41E8"/>
    <w:rsid w:val="007F261F"/>
    <w:rsid w:val="007F408B"/>
    <w:rsid w:val="00814BDB"/>
    <w:rsid w:val="00832828"/>
    <w:rsid w:val="00851E9F"/>
    <w:rsid w:val="008834A3"/>
    <w:rsid w:val="00891023"/>
    <w:rsid w:val="008922A0"/>
    <w:rsid w:val="008A0CE8"/>
    <w:rsid w:val="008E4C8E"/>
    <w:rsid w:val="008F4A30"/>
    <w:rsid w:val="00913302"/>
    <w:rsid w:val="009373BC"/>
    <w:rsid w:val="0094401C"/>
    <w:rsid w:val="009623C6"/>
    <w:rsid w:val="00973F67"/>
    <w:rsid w:val="0098323D"/>
    <w:rsid w:val="00995017"/>
    <w:rsid w:val="009A7486"/>
    <w:rsid w:val="009B0CDC"/>
    <w:rsid w:val="009C42B0"/>
    <w:rsid w:val="009E47B9"/>
    <w:rsid w:val="009F0FEA"/>
    <w:rsid w:val="00A43809"/>
    <w:rsid w:val="00A61B70"/>
    <w:rsid w:val="00A63ADB"/>
    <w:rsid w:val="00A63D0B"/>
    <w:rsid w:val="00A721E6"/>
    <w:rsid w:val="00AC3D56"/>
    <w:rsid w:val="00AD655A"/>
    <w:rsid w:val="00AE19C0"/>
    <w:rsid w:val="00B11FD3"/>
    <w:rsid w:val="00B33BCF"/>
    <w:rsid w:val="00B36E88"/>
    <w:rsid w:val="00B37782"/>
    <w:rsid w:val="00B67960"/>
    <w:rsid w:val="00B70CFA"/>
    <w:rsid w:val="00BA5CAB"/>
    <w:rsid w:val="00BB3A7B"/>
    <w:rsid w:val="00BB5541"/>
    <w:rsid w:val="00BE4A38"/>
    <w:rsid w:val="00C02A42"/>
    <w:rsid w:val="00C15798"/>
    <w:rsid w:val="00C267D2"/>
    <w:rsid w:val="00C30FA8"/>
    <w:rsid w:val="00C352AB"/>
    <w:rsid w:val="00C565CF"/>
    <w:rsid w:val="00C76C14"/>
    <w:rsid w:val="00C90112"/>
    <w:rsid w:val="00CA34F3"/>
    <w:rsid w:val="00CA4DE9"/>
    <w:rsid w:val="00CC04A2"/>
    <w:rsid w:val="00CD1133"/>
    <w:rsid w:val="00CE59BC"/>
    <w:rsid w:val="00CF63BF"/>
    <w:rsid w:val="00CF689A"/>
    <w:rsid w:val="00D40A2B"/>
    <w:rsid w:val="00D41168"/>
    <w:rsid w:val="00D501D0"/>
    <w:rsid w:val="00D858F8"/>
    <w:rsid w:val="00DA59EC"/>
    <w:rsid w:val="00DE5B63"/>
    <w:rsid w:val="00DF2B75"/>
    <w:rsid w:val="00E233A1"/>
    <w:rsid w:val="00E362F6"/>
    <w:rsid w:val="00E3709C"/>
    <w:rsid w:val="00E74C04"/>
    <w:rsid w:val="00E91128"/>
    <w:rsid w:val="00E94F06"/>
    <w:rsid w:val="00EC4C05"/>
    <w:rsid w:val="00EC4DEE"/>
    <w:rsid w:val="00EE5339"/>
    <w:rsid w:val="00F12F2F"/>
    <w:rsid w:val="00F2386C"/>
    <w:rsid w:val="00F45CDD"/>
    <w:rsid w:val="00F634D8"/>
    <w:rsid w:val="00F63590"/>
    <w:rsid w:val="00F66E27"/>
    <w:rsid w:val="00F84FD5"/>
    <w:rsid w:val="00F94E7D"/>
    <w:rsid w:val="00FC163C"/>
    <w:rsid w:val="00FD03F5"/>
    <w:rsid w:val="00FE093B"/>
    <w:rsid w:val="00FE1CF2"/>
    <w:rsid w:val="00FE44D2"/>
    <w:rsid w:val="00FF0233"/>
    <w:rsid w:val="057334C3"/>
    <w:rsid w:val="06AD4860"/>
    <w:rsid w:val="0D17795A"/>
    <w:rsid w:val="113E5345"/>
    <w:rsid w:val="1185708E"/>
    <w:rsid w:val="12FE6DC6"/>
    <w:rsid w:val="14996472"/>
    <w:rsid w:val="1871270B"/>
    <w:rsid w:val="222B7F73"/>
    <w:rsid w:val="284C498C"/>
    <w:rsid w:val="29F50E2E"/>
    <w:rsid w:val="31B81BE5"/>
    <w:rsid w:val="31DF1F0D"/>
    <w:rsid w:val="31E61025"/>
    <w:rsid w:val="34951FE2"/>
    <w:rsid w:val="37170461"/>
    <w:rsid w:val="3A7132A1"/>
    <w:rsid w:val="3BD17B81"/>
    <w:rsid w:val="3F6F2033"/>
    <w:rsid w:val="3F9C0C04"/>
    <w:rsid w:val="51AD1F9F"/>
    <w:rsid w:val="53C0732F"/>
    <w:rsid w:val="58BA3515"/>
    <w:rsid w:val="5C241BC6"/>
    <w:rsid w:val="5DB332B9"/>
    <w:rsid w:val="618E553F"/>
    <w:rsid w:val="67871073"/>
    <w:rsid w:val="6C2B2056"/>
    <w:rsid w:val="6F2720D2"/>
    <w:rsid w:val="765D1C32"/>
    <w:rsid w:val="76DB32D7"/>
    <w:rsid w:val="7A173ECC"/>
    <w:rsid w:val="7B0342F3"/>
    <w:rsid w:val="7B470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customStyle="1" w:styleId="2">
    <w:name w:val="正文1"/>
    <w:basedOn w:val="1"/>
    <w:qFormat/>
    <w:uiPriority w:val="0"/>
    <w:pPr>
      <w:autoSpaceDE w:val="0"/>
      <w:autoSpaceDN w:val="0"/>
      <w:adjustRightInd w:val="0"/>
      <w:spacing w:line="288" w:lineRule="auto"/>
      <w:ind w:firstLine="480"/>
      <w:jc w:val="left"/>
      <w:textAlignment w:val="baseline"/>
    </w:pPr>
    <w:rPr>
      <w:rFonts w:ascii="宋体" w:hAnsi="Calibri"/>
      <w:kern w:val="0"/>
      <w:sz w:val="24"/>
      <w:szCs w:val="20"/>
    </w:rPr>
  </w:style>
  <w:style w:type="paragraph" w:styleId="7">
    <w:name w:val="Document Map"/>
    <w:basedOn w:val="1"/>
    <w:link w:val="29"/>
    <w:semiHidden/>
    <w:unhideWhenUsed/>
    <w:qFormat/>
    <w:uiPriority w:val="99"/>
    <w:rPr>
      <w:rFonts w:ascii="宋体" w:eastAsia="宋体"/>
      <w:sz w:val="18"/>
      <w:szCs w:val="18"/>
    </w:rPr>
  </w:style>
  <w:style w:type="paragraph" w:styleId="8">
    <w:name w:val="annotation text"/>
    <w:basedOn w:val="1"/>
    <w:link w:val="31"/>
    <w:semiHidden/>
    <w:unhideWhenUsed/>
    <w:qFormat/>
    <w:uiPriority w:val="99"/>
    <w:pPr>
      <w:jc w:val="left"/>
    </w:pPr>
  </w:style>
  <w:style w:type="paragraph" w:styleId="9">
    <w:name w:val="Body Text"/>
    <w:basedOn w:val="1"/>
    <w:next w:val="10"/>
    <w:qFormat/>
    <w:uiPriority w:val="0"/>
    <w:pPr>
      <w:spacing w:line="360" w:lineRule="auto"/>
    </w:pPr>
    <w:rPr>
      <w:rFonts w:cs="Times New Roman"/>
      <w:kern w:val="1"/>
      <w:sz w:val="24"/>
      <w:szCs w:val="20"/>
    </w:rPr>
  </w:style>
  <w:style w:type="paragraph" w:customStyle="1" w:styleId="10">
    <w:name w:val="Default"/>
    <w:next w:val="1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大标题"/>
    <w:basedOn w:val="1"/>
    <w:next w:val="12"/>
    <w:qFormat/>
    <w:uiPriority w:val="0"/>
    <w:pPr>
      <w:jc w:val="center"/>
    </w:pPr>
    <w:rPr>
      <w:rFonts w:ascii="Arial" w:hAnsi="Arial"/>
      <w:b/>
      <w:sz w:val="28"/>
      <w:szCs w:val="24"/>
    </w:rPr>
  </w:style>
  <w:style w:type="paragraph" w:styleId="12">
    <w:name w:val="Body Text First Indent 2"/>
    <w:basedOn w:val="13"/>
    <w:next w:val="9"/>
    <w:qFormat/>
    <w:uiPriority w:val="0"/>
    <w:pPr>
      <w:ind w:firstLine="0"/>
    </w:pPr>
  </w:style>
  <w:style w:type="paragraph" w:styleId="13">
    <w:name w:val="Body Text Indent"/>
    <w:basedOn w:val="1"/>
    <w:next w:val="9"/>
    <w:qFormat/>
    <w:uiPriority w:val="6"/>
    <w:pPr>
      <w:ind w:firstLine="645"/>
    </w:pPr>
    <w:rPr>
      <w:rFonts w:ascii="宋体" w:hAnsi="宋体"/>
      <w:kern w:val="1"/>
      <w:sz w:val="32"/>
      <w:szCs w:val="20"/>
    </w:rPr>
  </w:style>
  <w:style w:type="paragraph" w:styleId="14">
    <w:name w:val="Balloon Text"/>
    <w:basedOn w:val="1"/>
    <w:link w:val="28"/>
    <w:semiHidden/>
    <w:unhideWhenUsed/>
    <w:qFormat/>
    <w:uiPriority w:val="99"/>
    <w:rPr>
      <w:sz w:val="18"/>
      <w:szCs w:val="18"/>
    </w:rPr>
  </w:style>
  <w:style w:type="paragraph" w:styleId="15">
    <w:name w:val="footer"/>
    <w:basedOn w:val="1"/>
    <w:link w:val="22"/>
    <w:unhideWhenUsed/>
    <w:qFormat/>
    <w:uiPriority w:val="99"/>
    <w:pPr>
      <w:tabs>
        <w:tab w:val="center" w:pos="4153"/>
        <w:tab w:val="right" w:pos="8306"/>
      </w:tabs>
      <w:snapToGrid w:val="0"/>
      <w:jc w:val="left"/>
    </w:pPr>
    <w:rPr>
      <w:sz w:val="18"/>
      <w:szCs w:val="18"/>
    </w:rPr>
  </w:style>
  <w:style w:type="paragraph" w:styleId="1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annotation subject"/>
    <w:basedOn w:val="8"/>
    <w:next w:val="8"/>
    <w:link w:val="32"/>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页眉 字符"/>
    <w:basedOn w:val="19"/>
    <w:link w:val="16"/>
    <w:qFormat/>
    <w:uiPriority w:val="99"/>
    <w:rPr>
      <w:sz w:val="18"/>
      <w:szCs w:val="18"/>
    </w:rPr>
  </w:style>
  <w:style w:type="character" w:customStyle="1" w:styleId="22">
    <w:name w:val="页脚 字符"/>
    <w:basedOn w:val="19"/>
    <w:link w:val="15"/>
    <w:qFormat/>
    <w:uiPriority w:val="99"/>
    <w:rPr>
      <w:sz w:val="18"/>
      <w:szCs w:val="18"/>
    </w:rPr>
  </w:style>
  <w:style w:type="character" w:customStyle="1" w:styleId="23">
    <w:name w:val="标题 1 字符"/>
    <w:basedOn w:val="19"/>
    <w:link w:val="3"/>
    <w:qFormat/>
    <w:uiPriority w:val="9"/>
    <w:rPr>
      <w:b/>
      <w:bCs/>
      <w:kern w:val="44"/>
      <w:sz w:val="44"/>
      <w:szCs w:val="44"/>
    </w:rPr>
  </w:style>
  <w:style w:type="character" w:customStyle="1" w:styleId="24">
    <w:name w:val="标题 2 字符"/>
    <w:basedOn w:val="19"/>
    <w:link w:val="4"/>
    <w:qFormat/>
    <w:uiPriority w:val="9"/>
    <w:rPr>
      <w:rFonts w:asciiTheme="majorHAnsi" w:hAnsiTheme="majorHAnsi" w:eastAsiaTheme="majorEastAsia" w:cstheme="majorBidi"/>
      <w:b/>
      <w:bCs/>
      <w:sz w:val="32"/>
      <w:szCs w:val="32"/>
    </w:rPr>
  </w:style>
  <w:style w:type="character" w:customStyle="1" w:styleId="25">
    <w:name w:val="标题 3 字符"/>
    <w:basedOn w:val="19"/>
    <w:link w:val="5"/>
    <w:qFormat/>
    <w:uiPriority w:val="9"/>
    <w:rPr>
      <w:b/>
      <w:bCs/>
      <w:sz w:val="32"/>
      <w:szCs w:val="32"/>
    </w:rPr>
  </w:style>
  <w:style w:type="character" w:customStyle="1" w:styleId="26">
    <w:name w:val="标题 4 字符"/>
    <w:basedOn w:val="19"/>
    <w:link w:val="6"/>
    <w:qFormat/>
    <w:uiPriority w:val="9"/>
    <w:rPr>
      <w:rFonts w:asciiTheme="majorHAnsi" w:hAnsiTheme="majorHAnsi" w:eastAsiaTheme="majorEastAsia" w:cstheme="majorBidi"/>
      <w:b/>
      <w:bCs/>
      <w:sz w:val="28"/>
      <w:szCs w:val="28"/>
    </w:rPr>
  </w:style>
  <w:style w:type="paragraph" w:styleId="27">
    <w:name w:val="List Paragraph"/>
    <w:basedOn w:val="1"/>
    <w:qFormat/>
    <w:uiPriority w:val="34"/>
    <w:pPr>
      <w:ind w:firstLine="420" w:firstLineChars="200"/>
    </w:pPr>
  </w:style>
  <w:style w:type="character" w:customStyle="1" w:styleId="28">
    <w:name w:val="批注框文本 字符"/>
    <w:basedOn w:val="19"/>
    <w:link w:val="14"/>
    <w:semiHidden/>
    <w:qFormat/>
    <w:uiPriority w:val="99"/>
    <w:rPr>
      <w:sz w:val="18"/>
      <w:szCs w:val="18"/>
    </w:rPr>
  </w:style>
  <w:style w:type="character" w:customStyle="1" w:styleId="29">
    <w:name w:val="文档结构图 字符"/>
    <w:basedOn w:val="19"/>
    <w:link w:val="7"/>
    <w:semiHidden/>
    <w:qFormat/>
    <w:uiPriority w:val="99"/>
    <w:rPr>
      <w:rFonts w:ascii="宋体" w:eastAsia="宋体"/>
      <w:sz w:val="18"/>
      <w:szCs w:val="18"/>
    </w:rPr>
  </w:style>
  <w:style w:type="paragraph" w:customStyle="1" w:styleId="3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
    <w:name w:val="批注文字 字符"/>
    <w:basedOn w:val="19"/>
    <w:link w:val="8"/>
    <w:semiHidden/>
    <w:qFormat/>
    <w:uiPriority w:val="99"/>
    <w:rPr>
      <w:kern w:val="2"/>
      <w:sz w:val="21"/>
      <w:szCs w:val="22"/>
    </w:rPr>
  </w:style>
  <w:style w:type="character" w:customStyle="1" w:styleId="32">
    <w:name w:val="批注主题 字符"/>
    <w:basedOn w:val="31"/>
    <w:link w:val="17"/>
    <w:semiHidden/>
    <w:qFormat/>
    <w:uiPriority w:val="99"/>
    <w:rPr>
      <w:b/>
      <w:bCs/>
      <w:kern w:val="2"/>
      <w:sz w:val="21"/>
      <w:szCs w:val="22"/>
    </w:rPr>
  </w:style>
  <w:style w:type="paragraph" w:customStyle="1" w:styleId="3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C851-1C36-4AF7-B8B9-B7C8EE0AC8F5}">
  <ds:schemaRefs/>
</ds:datastoreItem>
</file>

<file path=docProps/app.xml><?xml version="1.0" encoding="utf-8"?>
<Properties xmlns="http://schemas.openxmlformats.org/officeDocument/2006/extended-properties" xmlns:vt="http://schemas.openxmlformats.org/officeDocument/2006/docPropsVTypes">
  <Template>Normal.dotm</Template>
  <Company>Guodian Henan Power Ltd.</Company>
  <Pages>9</Pages>
  <Words>5849</Words>
  <Characters>6202</Characters>
  <Lines>47</Lines>
  <Paragraphs>13</Paragraphs>
  <TotalTime>29</TotalTime>
  <ScaleCrop>false</ScaleCrop>
  <LinksUpToDate>false</LinksUpToDate>
  <CharactersWithSpaces>6503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2017-01-11T10:30:00Z</dcterms:created>
  <dc:creator>小刘</dc:creator>
  <cp:lastModifiedBy>心生便是罪生时</cp:lastModifiedBy>
  <cp:lastPrinted>2016-11-08T10:48:00Z</cp:lastPrinted>
  <dcterms:modified xsi:type="dcterms:W3CDTF">2025-05-20T08:36:33Z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8C96565D4BC34850A082CE03CD1DB42B</vt:lpwstr>
  </property>
  <property fmtid="{D5CDD505-2E9C-101B-9397-08002B2CF9AE}" pid="4" name="KSOTemplateDocerSaveRecord">
    <vt:lpwstr>eyJoZGlkIjoiMTE0ZmU5MmE5YzVlYzAzNDcwOTg0MjFmODlhYmQ3MGIiLCJ1c2VySWQiOiI0MTg2Nzg1NzQifQ==</vt:lpwstr>
  </property>
</Properties>
</file>