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1D6BF">
      <w:pPr>
        <w:spacing w:line="360" w:lineRule="auto"/>
        <w:rPr>
          <w:rFonts w:hint="eastAsia" w:ascii="宋体" w:hAnsi="宋体" w:cs="宋体"/>
          <w:b/>
          <w:color w:val="auto"/>
          <w:sz w:val="44"/>
          <w:szCs w:val="44"/>
          <w:highlight w:val="none"/>
        </w:rPr>
      </w:pPr>
    </w:p>
    <w:p w14:paraId="36653196">
      <w:pPr>
        <w:pStyle w:val="54"/>
        <w:spacing w:line="360" w:lineRule="auto"/>
        <w:ind w:firstLine="1044" w:firstLineChars="200"/>
        <w:jc w:val="center"/>
        <w:rPr>
          <w:rFonts w:hint="eastAsia" w:hAnsi="宋体" w:cs="宋体"/>
          <w:bCs/>
          <w:color w:val="auto"/>
          <w:sz w:val="52"/>
          <w:szCs w:val="52"/>
          <w:highlight w:val="none"/>
        </w:rPr>
      </w:pPr>
    </w:p>
    <w:p w14:paraId="249544D7">
      <w:pPr>
        <w:pStyle w:val="91"/>
        <w:widowControl w:val="0"/>
        <w:autoSpaceDN w:val="0"/>
        <w:spacing w:line="360" w:lineRule="auto"/>
        <w:rPr>
          <w:rFonts w:hint="eastAsia" w:asciiTheme="minorEastAsia" w:hAnsiTheme="minorEastAsia" w:eastAsiaTheme="minorEastAsia" w:cstheme="minorEastAsia"/>
          <w:bCs/>
          <w:color w:val="auto"/>
          <w:sz w:val="48"/>
          <w:szCs w:val="48"/>
          <w:highlight w:val="none"/>
        </w:rPr>
      </w:pPr>
    </w:p>
    <w:p w14:paraId="1F088069">
      <w:pPr>
        <w:pStyle w:val="91"/>
        <w:widowControl w:val="0"/>
        <w:autoSpaceDN w:val="0"/>
        <w:spacing w:line="360" w:lineRule="auto"/>
        <w:jc w:val="center"/>
        <w:rPr>
          <w:rFonts w:hint="eastAsia" w:asciiTheme="minorEastAsia" w:hAnsiTheme="minorEastAsia" w:eastAsiaTheme="minorEastAsia" w:cstheme="minorEastAsia"/>
          <w:bCs/>
          <w:color w:val="auto"/>
          <w:sz w:val="48"/>
          <w:szCs w:val="48"/>
          <w:highlight w:val="none"/>
        </w:rPr>
      </w:pPr>
    </w:p>
    <w:p w14:paraId="330DA062">
      <w:pPr>
        <w:spacing w:before="156" w:beforeLines="50" w:after="156" w:afterLines="50" w:line="360" w:lineRule="auto"/>
        <w:ind w:right="120" w:rightChars="50"/>
        <w:jc w:val="center"/>
        <w:rPr>
          <w:rFonts w:hint="default" w:asciiTheme="minorEastAsia" w:hAnsiTheme="minorEastAsia" w:eastAsiaTheme="minorEastAsia" w:cstheme="minorEastAsia"/>
          <w:b/>
          <w:bCs w:val="0"/>
          <w:color w:val="auto"/>
          <w:sz w:val="36"/>
          <w:szCs w:val="36"/>
          <w:highlight w:val="none"/>
          <w:shd w:val="clear" w:color="auto" w:fill="FFFFFF"/>
          <w:lang w:val="en-US" w:eastAsia="zh-CN"/>
        </w:rPr>
      </w:pPr>
      <w:r>
        <w:rPr>
          <w:rFonts w:hint="eastAsia" w:asciiTheme="minorEastAsia" w:hAnsiTheme="minorEastAsia" w:eastAsiaTheme="minorEastAsia" w:cstheme="minorEastAsia"/>
          <w:b/>
          <w:bCs w:val="0"/>
          <w:color w:val="auto"/>
          <w:sz w:val="36"/>
          <w:szCs w:val="36"/>
          <w:highlight w:val="none"/>
          <w:shd w:val="clear" w:color="auto" w:fill="FFFFFF"/>
          <w:lang w:val="en-US" w:eastAsia="zh-CN"/>
        </w:rPr>
        <w:t>栾川山水文苑项目</w:t>
      </w:r>
      <w:r>
        <w:rPr>
          <w:rFonts w:hint="eastAsia" w:asciiTheme="minorEastAsia" w:hAnsiTheme="minorEastAsia" w:eastAsiaTheme="minorEastAsia" w:cstheme="minorEastAsia"/>
          <w:b/>
          <w:color w:val="auto"/>
          <w:sz w:val="32"/>
          <w:szCs w:val="32"/>
          <w:highlight w:val="none"/>
          <w:u w:val="single"/>
          <w:shd w:val="clear" w:color="auto" w:fill="FFFFFF"/>
          <w:lang w:val="en-US" w:eastAsia="zh-CN"/>
        </w:rPr>
        <w:t>S7地块30#楼西单元户内</w:t>
      </w:r>
    </w:p>
    <w:p w14:paraId="40981E98">
      <w:pPr>
        <w:spacing w:before="156" w:beforeLines="50" w:after="156" w:afterLines="50" w:line="360" w:lineRule="auto"/>
        <w:ind w:right="120" w:rightChars="50"/>
        <w:jc w:val="center"/>
        <w:rPr>
          <w:rFonts w:hint="eastAsia" w:asciiTheme="minorEastAsia" w:hAnsiTheme="minorEastAsia" w:eastAsiaTheme="minorEastAsia" w:cstheme="minorEastAsia"/>
          <w:b/>
          <w:bCs w:val="0"/>
          <w:color w:val="auto"/>
          <w:sz w:val="36"/>
          <w:szCs w:val="36"/>
          <w:highlight w:val="none"/>
        </w:rPr>
      </w:pPr>
      <w:r>
        <w:rPr>
          <w:rFonts w:hint="eastAsia" w:asciiTheme="minorEastAsia" w:hAnsiTheme="minorEastAsia" w:eastAsiaTheme="minorEastAsia" w:cstheme="minorEastAsia"/>
          <w:b/>
          <w:bCs w:val="0"/>
          <w:color w:val="auto"/>
          <w:sz w:val="36"/>
          <w:szCs w:val="36"/>
          <w:highlight w:val="none"/>
          <w:shd w:val="clear" w:color="auto" w:fill="FFFFFF"/>
        </w:rPr>
        <w:t>精装修工程合同</w:t>
      </w:r>
    </w:p>
    <w:p w14:paraId="3E510C08">
      <w:pPr>
        <w:autoSpaceDN w:val="0"/>
        <w:spacing w:line="360" w:lineRule="auto"/>
        <w:ind w:firstLine="2530" w:firstLineChars="105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 xml:space="preserve">     </w:t>
      </w:r>
    </w:p>
    <w:p w14:paraId="6B702150">
      <w:pPr>
        <w:autoSpaceDN w:val="0"/>
        <w:spacing w:line="360" w:lineRule="auto"/>
        <w:ind w:firstLine="723" w:firstLineChars="300"/>
        <w:rPr>
          <w:rFonts w:hint="eastAsia" w:asciiTheme="minorEastAsia" w:hAnsiTheme="minorEastAsia" w:eastAsiaTheme="minorEastAsia" w:cstheme="minorEastAsia"/>
          <w:b/>
          <w:color w:val="auto"/>
          <w:szCs w:val="24"/>
          <w:highlight w:val="none"/>
        </w:rPr>
      </w:pPr>
    </w:p>
    <w:p w14:paraId="13DE8C29">
      <w:pPr>
        <w:autoSpaceDN w:val="0"/>
        <w:spacing w:line="360" w:lineRule="auto"/>
        <w:ind w:firstLine="723" w:firstLineChars="300"/>
        <w:rPr>
          <w:rFonts w:hint="eastAsia" w:asciiTheme="minorEastAsia" w:hAnsiTheme="minorEastAsia" w:eastAsiaTheme="minorEastAsia" w:cstheme="minorEastAsia"/>
          <w:b/>
          <w:color w:val="auto"/>
          <w:szCs w:val="24"/>
          <w:highlight w:val="none"/>
        </w:rPr>
      </w:pPr>
    </w:p>
    <w:p w14:paraId="0BF595EB">
      <w:pPr>
        <w:pStyle w:val="17"/>
        <w:rPr>
          <w:rFonts w:hint="eastAsia" w:asciiTheme="minorEastAsia" w:hAnsiTheme="minorEastAsia" w:eastAsiaTheme="minorEastAsia" w:cstheme="minorEastAsia"/>
          <w:b/>
          <w:color w:val="auto"/>
          <w:highlight w:val="none"/>
        </w:rPr>
      </w:pPr>
    </w:p>
    <w:p w14:paraId="3F524BF9">
      <w:pPr>
        <w:pStyle w:val="54"/>
        <w:autoSpaceDN w:val="0"/>
        <w:spacing w:line="360" w:lineRule="auto"/>
        <w:ind w:firstLine="723" w:firstLineChars="300"/>
        <w:rPr>
          <w:rFonts w:hint="eastAsia" w:asciiTheme="minorEastAsia" w:hAnsiTheme="minorEastAsia" w:eastAsiaTheme="minorEastAsia" w:cstheme="minorEastAsia"/>
          <w:color w:val="auto"/>
          <w:szCs w:val="24"/>
          <w:highlight w:val="none"/>
        </w:rPr>
      </w:pPr>
    </w:p>
    <w:p w14:paraId="6C1A96CD">
      <w:pPr>
        <w:autoSpaceDN w:val="0"/>
        <w:spacing w:line="360" w:lineRule="auto"/>
        <w:ind w:firstLine="723" w:firstLineChars="300"/>
        <w:rPr>
          <w:rFonts w:hint="eastAsia" w:asciiTheme="minorEastAsia" w:hAnsiTheme="minorEastAsia" w:eastAsiaTheme="minorEastAsia" w:cstheme="minorEastAsia"/>
          <w:b/>
          <w:color w:val="auto"/>
          <w:szCs w:val="24"/>
          <w:highlight w:val="none"/>
        </w:rPr>
      </w:pPr>
    </w:p>
    <w:p w14:paraId="268BE099">
      <w:pPr>
        <w:autoSpaceDN w:val="0"/>
        <w:spacing w:line="360" w:lineRule="auto"/>
        <w:ind w:firstLine="723" w:firstLineChars="300"/>
        <w:rPr>
          <w:rFonts w:hint="eastAsia" w:asciiTheme="minorEastAsia" w:hAnsiTheme="minorEastAsia" w:eastAsiaTheme="minorEastAsia" w:cstheme="minorEastAsia"/>
          <w:b/>
          <w:color w:val="auto"/>
          <w:szCs w:val="24"/>
          <w:highlight w:val="none"/>
        </w:rPr>
      </w:pPr>
    </w:p>
    <w:p w14:paraId="538D2144">
      <w:pPr>
        <w:autoSpaceDN w:val="0"/>
        <w:spacing w:line="360" w:lineRule="auto"/>
        <w:ind w:firstLine="723" w:firstLineChars="300"/>
        <w:rPr>
          <w:rFonts w:hint="eastAsia" w:asciiTheme="minorEastAsia" w:hAnsiTheme="minorEastAsia" w:eastAsiaTheme="minorEastAsia" w:cstheme="minorEastAsia"/>
          <w:b/>
          <w:color w:val="auto"/>
          <w:szCs w:val="24"/>
          <w:highlight w:val="none"/>
        </w:rPr>
      </w:pPr>
    </w:p>
    <w:p w14:paraId="24F0F68E">
      <w:pPr>
        <w:autoSpaceDN w:val="0"/>
        <w:spacing w:line="360" w:lineRule="auto"/>
        <w:rPr>
          <w:rFonts w:hint="eastAsia" w:asciiTheme="minorEastAsia" w:hAnsiTheme="minorEastAsia" w:eastAsiaTheme="minorEastAsia" w:cstheme="minorEastAsia"/>
          <w:b/>
          <w:bCs w:val="0"/>
          <w:color w:val="auto"/>
          <w:szCs w:val="24"/>
          <w:highlight w:val="none"/>
        </w:rPr>
      </w:pPr>
    </w:p>
    <w:p w14:paraId="0438F655">
      <w:pPr>
        <w:autoSpaceDN w:val="0"/>
        <w:spacing w:line="360" w:lineRule="auto"/>
        <w:ind w:firstLine="843" w:firstLineChars="280"/>
        <w:rPr>
          <w:rFonts w:hint="eastAsia" w:asciiTheme="minorEastAsia" w:hAnsiTheme="minorEastAsia" w:eastAsiaTheme="minorEastAsia" w:cstheme="minorEastAsia"/>
          <w:b/>
          <w:color w:val="auto"/>
          <w:sz w:val="30"/>
          <w:szCs w:val="30"/>
          <w:highlight w:val="none"/>
          <w:u w:val="single"/>
          <w:lang w:val="en-US" w:eastAsia="zh-CN"/>
        </w:rPr>
      </w:pPr>
      <w:r>
        <w:rPr>
          <w:rFonts w:hint="eastAsia" w:asciiTheme="minorEastAsia" w:hAnsiTheme="minorEastAsia" w:eastAsiaTheme="minorEastAsia" w:cstheme="minorEastAsia"/>
          <w:b/>
          <w:color w:val="auto"/>
          <w:sz w:val="30"/>
          <w:szCs w:val="30"/>
          <w:highlight w:val="none"/>
        </w:rPr>
        <w:t xml:space="preserve">            成本代码：</w:t>
      </w:r>
      <w:r>
        <w:rPr>
          <w:rFonts w:hint="eastAsia" w:asciiTheme="minorEastAsia" w:hAnsiTheme="minorEastAsia" w:eastAsiaTheme="minorEastAsia" w:cstheme="minorEastAsia"/>
          <w:b/>
          <w:color w:val="auto"/>
          <w:sz w:val="30"/>
          <w:szCs w:val="30"/>
          <w:highlight w:val="none"/>
          <w:u w:val="single"/>
          <w:lang w:val="en-US" w:eastAsia="zh-CN"/>
        </w:rPr>
        <w:t xml:space="preserve">030302 </w:t>
      </w:r>
    </w:p>
    <w:p w14:paraId="773CF1BC">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b/>
          <w:color w:val="auto"/>
          <w:sz w:val="30"/>
          <w:szCs w:val="30"/>
          <w:highlight w:val="none"/>
        </w:rPr>
        <w:t xml:space="preserve">           合同编号：</w:t>
      </w:r>
      <w:r>
        <w:rPr>
          <w:rFonts w:hint="eastAsia" w:asciiTheme="minorEastAsia" w:hAnsiTheme="minorEastAsia" w:eastAsiaTheme="minorEastAsia" w:cstheme="minorEastAsia"/>
          <w:b/>
          <w:color w:val="auto"/>
          <w:sz w:val="30"/>
          <w:szCs w:val="30"/>
          <w:highlight w:val="none"/>
          <w:u w:val="single"/>
          <w:lang w:val="en-US" w:eastAsia="zh-CN"/>
        </w:rPr>
        <w:t xml:space="preserve"> LCS7-JP-083 </w:t>
      </w:r>
    </w:p>
    <w:p w14:paraId="35322D2E">
      <w:pPr>
        <w:pStyle w:val="18"/>
        <w:spacing w:line="360" w:lineRule="auto"/>
        <w:rPr>
          <w:rFonts w:hint="eastAsia" w:asciiTheme="minorEastAsia" w:hAnsiTheme="minorEastAsia" w:eastAsiaTheme="minorEastAsia" w:cstheme="minorEastAsia"/>
          <w:color w:val="auto"/>
          <w:highlight w:val="none"/>
        </w:rPr>
      </w:pPr>
    </w:p>
    <w:p w14:paraId="6246FB01">
      <w:pPr>
        <w:pStyle w:val="19"/>
        <w:spacing w:line="360" w:lineRule="auto"/>
        <w:rPr>
          <w:rFonts w:hint="eastAsia" w:asciiTheme="minorEastAsia" w:hAnsiTheme="minorEastAsia" w:eastAsiaTheme="minorEastAsia" w:cstheme="minorEastAsia"/>
          <w:color w:val="auto"/>
          <w:highlight w:val="none"/>
        </w:rPr>
      </w:pPr>
    </w:p>
    <w:p w14:paraId="5781E447">
      <w:pPr>
        <w:spacing w:line="360" w:lineRule="auto"/>
        <w:ind w:firstLine="1506" w:firstLineChars="500"/>
        <w:jc w:val="left"/>
        <w:rPr>
          <w:rFonts w:hint="eastAsia" w:asciiTheme="minorEastAsia" w:hAnsiTheme="minorEastAsia" w:eastAsiaTheme="minorEastAsia" w:cstheme="minorEastAsia"/>
          <w:color w:val="auto"/>
          <w:kern w:val="0"/>
          <w:sz w:val="30"/>
          <w:szCs w:val="30"/>
          <w:highlight w:val="none"/>
          <w:u w:val="single"/>
          <w:lang w:val="en-US" w:eastAsia="zh-CN"/>
        </w:rPr>
      </w:pPr>
      <w:r>
        <w:rPr>
          <w:rFonts w:hint="eastAsia" w:asciiTheme="minorEastAsia" w:hAnsiTheme="minorEastAsia" w:eastAsiaTheme="minorEastAsia" w:cstheme="minorEastAsia"/>
          <w:b/>
          <w:color w:val="auto"/>
          <w:kern w:val="0"/>
          <w:sz w:val="30"/>
          <w:szCs w:val="30"/>
          <w:highlight w:val="none"/>
        </w:rPr>
        <w:t>发 包 人：</w:t>
      </w:r>
      <w:r>
        <w:rPr>
          <w:rFonts w:hint="eastAsia" w:asciiTheme="minorEastAsia" w:hAnsiTheme="minorEastAsia" w:eastAsiaTheme="minorEastAsia" w:cstheme="minorEastAsia"/>
          <w:b/>
          <w:bCs/>
          <w:color w:val="auto"/>
          <w:sz w:val="28"/>
          <w:szCs w:val="28"/>
          <w:highlight w:val="none"/>
          <w:u w:val="single"/>
          <w:lang w:eastAsia="zh-CN"/>
        </w:rPr>
        <w:t>栾川县浩德颐康文旅有限公司</w:t>
      </w:r>
    </w:p>
    <w:p w14:paraId="582F30E1">
      <w:pPr>
        <w:spacing w:line="360" w:lineRule="auto"/>
        <w:ind w:firstLine="1506" w:firstLineChars="500"/>
        <w:jc w:val="left"/>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rPr>
        <w:t>承 包 人：</w:t>
      </w:r>
      <w:r>
        <w:rPr>
          <w:rFonts w:hint="eastAsia" w:asciiTheme="minorEastAsia" w:hAnsiTheme="minorEastAsia" w:eastAsiaTheme="minorEastAsia" w:cstheme="minorEastAsia"/>
          <w:b/>
          <w:bCs/>
          <w:color w:val="auto"/>
          <w:sz w:val="28"/>
          <w:szCs w:val="28"/>
          <w:highlight w:val="none"/>
          <w:u w:val="single"/>
          <w:lang w:val="en-US" w:eastAsia="zh-CN"/>
        </w:rPr>
        <w:t>中豫阳光建设河南有限公司</w:t>
      </w:r>
    </w:p>
    <w:p w14:paraId="3C8CAA81">
      <w:pPr>
        <w:spacing w:line="360" w:lineRule="auto"/>
        <w:ind w:firstLine="1506" w:firstLineChars="500"/>
        <w:jc w:val="left"/>
        <w:rPr>
          <w:rFonts w:hint="eastAsia" w:asciiTheme="minorEastAsia" w:hAnsiTheme="minorEastAsia" w:eastAsiaTheme="minorEastAsia" w:cstheme="minorEastAsia"/>
          <w:b/>
          <w:color w:val="auto"/>
          <w:kern w:val="0"/>
          <w:sz w:val="30"/>
          <w:szCs w:val="30"/>
          <w:highlight w:val="none"/>
        </w:rPr>
        <w:sectPr>
          <w:headerReference r:id="rId3" w:type="default"/>
          <w:footerReference r:id="rId4" w:type="default"/>
          <w:pgSz w:w="11906" w:h="16838"/>
          <w:pgMar w:top="1304" w:right="1304" w:bottom="1304" w:left="1064" w:header="851" w:footer="850" w:gutter="0"/>
          <w:cols w:space="425" w:num="1"/>
          <w:docGrid w:type="lines" w:linePitch="312" w:charSpace="0"/>
        </w:sectPr>
      </w:pPr>
      <w:r>
        <w:rPr>
          <w:rFonts w:hint="eastAsia" w:asciiTheme="minorEastAsia" w:hAnsiTheme="minorEastAsia" w:eastAsiaTheme="minorEastAsia" w:cstheme="minorEastAsia"/>
          <w:b/>
          <w:color w:val="auto"/>
          <w:kern w:val="0"/>
          <w:sz w:val="30"/>
          <w:szCs w:val="30"/>
          <w:highlight w:val="none"/>
        </w:rPr>
        <w:t>签订时间：</w:t>
      </w:r>
      <w:r>
        <w:rPr>
          <w:rFonts w:hint="eastAsia" w:asciiTheme="minorEastAsia" w:hAnsiTheme="minorEastAsia" w:eastAsiaTheme="minorEastAsia" w:cstheme="minorEastAsia"/>
          <w:b/>
          <w:color w:val="auto"/>
          <w:kern w:val="0"/>
          <w:sz w:val="30"/>
          <w:szCs w:val="30"/>
          <w:highlight w:val="none"/>
          <w:u w:val="single"/>
          <w:lang w:val="en-US" w:eastAsia="zh-CN"/>
        </w:rPr>
        <w:t>2025</w:t>
      </w:r>
      <w:r>
        <w:rPr>
          <w:rFonts w:hint="eastAsia" w:asciiTheme="minorEastAsia" w:hAnsiTheme="minorEastAsia" w:eastAsiaTheme="minorEastAsia" w:cstheme="minorEastAsia"/>
          <w:b/>
          <w:color w:val="auto"/>
          <w:kern w:val="0"/>
          <w:sz w:val="30"/>
          <w:szCs w:val="30"/>
          <w:highlight w:val="none"/>
        </w:rPr>
        <w:t>年</w:t>
      </w:r>
      <w:r>
        <w:rPr>
          <w:rFonts w:hint="eastAsia" w:asciiTheme="minorEastAsia" w:hAnsiTheme="minorEastAsia" w:eastAsiaTheme="minorEastAsia" w:cstheme="minorEastAsia"/>
          <w:b/>
          <w:color w:val="auto"/>
          <w:kern w:val="0"/>
          <w:sz w:val="30"/>
          <w:szCs w:val="30"/>
          <w:highlight w:val="none"/>
          <w:u w:val="single"/>
          <w:lang w:val="en-US" w:eastAsia="zh-CN"/>
        </w:rPr>
        <w:t xml:space="preserve"> 6</w:t>
      </w:r>
      <w:r>
        <w:rPr>
          <w:rFonts w:hint="eastAsia" w:asciiTheme="minorEastAsia" w:hAnsiTheme="minorEastAsia" w:eastAsiaTheme="minorEastAsia" w:cstheme="minorEastAsia"/>
          <w:b/>
          <w:color w:val="auto"/>
          <w:kern w:val="0"/>
          <w:sz w:val="30"/>
          <w:szCs w:val="30"/>
          <w:highlight w:val="none"/>
        </w:rPr>
        <w:t>月</w:t>
      </w:r>
      <w:r>
        <w:rPr>
          <w:rFonts w:hint="eastAsia" w:asciiTheme="minorEastAsia" w:hAnsiTheme="minorEastAsia" w:eastAsiaTheme="minorEastAsia" w:cstheme="minorEastAsia"/>
          <w:b/>
          <w:color w:val="auto"/>
          <w:kern w:val="0"/>
          <w:sz w:val="30"/>
          <w:szCs w:val="30"/>
          <w:highlight w:val="none"/>
          <w:u w:val="single"/>
          <w:lang w:val="en-US" w:eastAsia="zh-CN"/>
        </w:rPr>
        <w:t xml:space="preserve">    </w:t>
      </w:r>
      <w:r>
        <w:rPr>
          <w:rFonts w:hint="eastAsia" w:asciiTheme="minorEastAsia" w:hAnsiTheme="minorEastAsia" w:eastAsiaTheme="minorEastAsia" w:cstheme="minorEastAsia"/>
          <w:b/>
          <w:color w:val="auto"/>
          <w:kern w:val="0"/>
          <w:sz w:val="30"/>
          <w:szCs w:val="30"/>
          <w:highlight w:val="none"/>
        </w:rPr>
        <w:t>日</w:t>
      </w:r>
    </w:p>
    <w:p w14:paraId="0970AC1A">
      <w:pPr>
        <w:spacing w:before="156" w:beforeLines="50" w:after="156" w:afterLines="50" w:line="360" w:lineRule="auto"/>
        <w:ind w:right="120" w:rightChars="50"/>
        <w:jc w:val="cente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 w:val="32"/>
          <w:szCs w:val="32"/>
          <w:highlight w:val="none"/>
          <w:shd w:val="clear" w:color="auto" w:fill="FFFFFF"/>
          <w:lang w:val="en-US" w:eastAsia="zh-CN"/>
        </w:rPr>
        <w:t xml:space="preserve"> </w:t>
      </w:r>
      <w:r>
        <w:rPr>
          <w:rFonts w:hint="eastAsia" w:asciiTheme="minorEastAsia" w:hAnsiTheme="minorEastAsia" w:eastAsiaTheme="minorEastAsia" w:cstheme="minorEastAsia"/>
          <w:b/>
          <w:bCs w:val="0"/>
          <w:color w:val="auto"/>
          <w:sz w:val="36"/>
          <w:szCs w:val="36"/>
          <w:highlight w:val="none"/>
          <w:shd w:val="clear" w:color="auto" w:fill="FFFFFF"/>
          <w:lang w:val="en-US" w:eastAsia="zh-CN"/>
        </w:rPr>
        <w:t>栾川山水文苑</w:t>
      </w:r>
      <w:r>
        <w:rPr>
          <w:rFonts w:hint="eastAsia" w:asciiTheme="minorEastAsia" w:hAnsiTheme="minorEastAsia" w:eastAsiaTheme="minorEastAsia" w:cstheme="minorEastAsia"/>
          <w:b/>
          <w:color w:val="auto"/>
          <w:sz w:val="32"/>
          <w:szCs w:val="32"/>
          <w:highlight w:val="none"/>
          <w:u w:val="single"/>
          <w:shd w:val="clear" w:color="auto" w:fill="FFFFFF"/>
          <w:lang w:val="en-US" w:eastAsia="zh-CN"/>
        </w:rPr>
        <w:t>项目S7地块30#楼西单元户内</w:t>
      </w:r>
      <w:r>
        <w:rPr>
          <w:rFonts w:hint="eastAsia" w:asciiTheme="minorEastAsia" w:hAnsiTheme="minorEastAsia" w:eastAsiaTheme="minorEastAsia" w:cstheme="minorEastAsia"/>
          <w:b/>
          <w:color w:val="auto"/>
          <w:sz w:val="32"/>
          <w:szCs w:val="32"/>
          <w:highlight w:val="none"/>
          <w:shd w:val="clear" w:color="auto" w:fill="FFFFFF"/>
        </w:rPr>
        <w:t>精装修工程合同</w:t>
      </w:r>
    </w:p>
    <w:p w14:paraId="484A76D9">
      <w:pPr>
        <w:spacing w:line="360" w:lineRule="auto"/>
        <w:jc w:val="left"/>
        <w:rPr>
          <w:rFonts w:hint="eastAsia" w:asciiTheme="minorEastAsia" w:hAnsiTheme="minorEastAsia" w:eastAsiaTheme="minorEastAsia" w:cstheme="minorEastAsia"/>
          <w:color w:val="auto"/>
          <w:szCs w:val="24"/>
          <w:highlight w:val="none"/>
          <w:u w:val="single"/>
          <w:lang w:val="en-US" w:eastAsia="zh-CN"/>
        </w:rPr>
      </w:pPr>
      <w:r>
        <w:rPr>
          <w:rFonts w:hint="eastAsia" w:asciiTheme="minorEastAsia" w:hAnsiTheme="minorEastAsia" w:eastAsiaTheme="minorEastAsia" w:cstheme="minorEastAsia"/>
          <w:b/>
          <w:bCs/>
          <w:color w:val="auto"/>
          <w:kern w:val="0"/>
          <w:position w:val="-10"/>
          <w:szCs w:val="24"/>
          <w:highlight w:val="none"/>
        </w:rPr>
        <w:t>发包人（以下简称甲方）</w:t>
      </w:r>
      <w:r>
        <w:rPr>
          <w:rFonts w:hint="eastAsia" w:asciiTheme="minorEastAsia" w:hAnsiTheme="minorEastAsia" w:eastAsiaTheme="minorEastAsia" w:cstheme="minorEastAsia"/>
          <w:b/>
          <w:color w:val="auto"/>
          <w:kern w:val="0"/>
          <w:position w:val="-10"/>
          <w:szCs w:val="24"/>
          <w:highlight w:val="none"/>
        </w:rPr>
        <w:t>：</w:t>
      </w:r>
      <w:r>
        <w:rPr>
          <w:rFonts w:hint="eastAsia" w:ascii="宋体" w:hAnsi="宋体" w:eastAsia="宋体" w:cs="宋体"/>
          <w:b/>
          <w:bCs/>
          <w:kern w:val="0"/>
          <w:position w:val="-10"/>
          <w:sz w:val="24"/>
          <w:szCs w:val="24"/>
          <w:u w:val="single"/>
          <w:lang w:eastAsia="zh-CN"/>
        </w:rPr>
        <w:t>栾川县浩德颐康文旅有限公司</w:t>
      </w:r>
      <w:r>
        <w:rPr>
          <w:rFonts w:hint="eastAsia" w:ascii="宋体" w:hAnsi="宋体" w:eastAsia="宋体" w:cs="宋体"/>
          <w:b/>
          <w:bCs/>
          <w:kern w:val="0"/>
          <w:position w:val="-10"/>
          <w:szCs w:val="24"/>
          <w:u w:val="single"/>
          <w:lang w:val="en-US" w:eastAsia="zh-CN"/>
        </w:rPr>
        <w:t xml:space="preserve"> </w:t>
      </w:r>
    </w:p>
    <w:p w14:paraId="558974C4">
      <w:pPr>
        <w:pStyle w:val="54"/>
        <w:spacing w:line="360" w:lineRule="auto"/>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color w:val="auto"/>
          <w:highlight w:val="none"/>
        </w:rPr>
        <w:t>统一社会信用代码：</w:t>
      </w:r>
      <w:r>
        <w:rPr>
          <w:rFonts w:hint="eastAsia" w:ascii="宋体" w:hAnsi="宋体" w:eastAsia="宋体" w:cs="宋体"/>
          <w:color w:val="auto"/>
          <w:szCs w:val="24"/>
          <w:highlight w:val="none"/>
          <w:u w:val="single"/>
        </w:rPr>
        <w:t>91410324MA9FJURUXE</w:t>
      </w:r>
    </w:p>
    <w:p w14:paraId="6F11E01A">
      <w:pPr>
        <w:pStyle w:val="54"/>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szCs w:val="24"/>
          <w:highlight w:val="none"/>
        </w:rPr>
        <w:t>承包人</w:t>
      </w:r>
      <w:r>
        <w:rPr>
          <w:rFonts w:hint="eastAsia" w:asciiTheme="minorEastAsia" w:hAnsiTheme="minorEastAsia" w:eastAsiaTheme="minorEastAsia" w:cstheme="minorEastAsia"/>
          <w:color w:val="auto"/>
          <w:szCs w:val="24"/>
          <w:highlight w:val="none"/>
        </w:rPr>
        <w:t>（以下简称乙方）：</w:t>
      </w:r>
      <w:r>
        <w:rPr>
          <w:rFonts w:hint="eastAsia" w:ascii="宋体" w:hAnsi="宋体" w:eastAsia="宋体" w:cs="宋体"/>
          <w:b/>
          <w:bCs/>
          <w:sz w:val="24"/>
          <w:szCs w:val="24"/>
          <w:u w:val="single"/>
          <w:lang w:val="en-US" w:eastAsia="zh-CN"/>
        </w:rPr>
        <w:t>中豫阳光建设河南有限公司</w:t>
      </w:r>
    </w:p>
    <w:p w14:paraId="03A41210">
      <w:pPr>
        <w:pStyle w:val="54"/>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统一社会信用代码：</w:t>
      </w:r>
      <w:r>
        <w:rPr>
          <w:rFonts w:hint="eastAsia" w:asciiTheme="minorEastAsia" w:hAnsiTheme="minorEastAsia" w:eastAsiaTheme="minorEastAsia" w:cstheme="minorEastAsia"/>
          <w:color w:val="auto"/>
          <w:highlight w:val="none"/>
          <w:u w:val="single"/>
          <w:lang w:val="en-US" w:eastAsia="zh-CN"/>
        </w:rPr>
        <w:t>91410103MA9KBNQ42M</w:t>
      </w:r>
      <w:r>
        <w:rPr>
          <w:rFonts w:hint="eastAsia" w:asciiTheme="minorEastAsia" w:hAnsiTheme="minorEastAsia" w:eastAsiaTheme="minorEastAsia" w:cstheme="minorEastAsia"/>
          <w:b w:val="0"/>
          <w:bCs/>
          <w:color w:val="auto"/>
          <w:highlight w:val="none"/>
          <w:u w:val="single"/>
        </w:rPr>
        <w:t xml:space="preserve"> </w:t>
      </w:r>
    </w:p>
    <w:p w14:paraId="5612ED3D">
      <w:pPr>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依照《中华人民共和国民法典》、《中华人民共和国建筑法》及其他有关法律、行政法规，遵循平等、自愿、公平和诚实信用的原则，双方就</w:t>
      </w:r>
      <w:r>
        <w:rPr>
          <w:rFonts w:hint="eastAsia" w:asciiTheme="minorEastAsia" w:hAnsiTheme="minorEastAsia" w:eastAsiaTheme="minorEastAsia" w:cstheme="minorEastAsia"/>
          <w:b w:val="0"/>
          <w:bCs w:val="0"/>
          <w:color w:val="auto"/>
          <w:sz w:val="24"/>
          <w:szCs w:val="24"/>
          <w:highlight w:val="none"/>
          <w:shd w:val="clear" w:color="auto" w:fill="auto"/>
          <w:lang w:val="en-US" w:eastAsia="zh-CN"/>
        </w:rPr>
        <w:t>栾川山水文苑</w:t>
      </w:r>
      <w:r>
        <w:rPr>
          <w:rFonts w:hint="eastAsia" w:asciiTheme="minorEastAsia" w:hAnsiTheme="minorEastAsia" w:eastAsiaTheme="minorEastAsia" w:cstheme="minorEastAsia"/>
          <w:b w:val="0"/>
          <w:color w:val="auto"/>
          <w:sz w:val="24"/>
          <w:szCs w:val="24"/>
          <w:highlight w:val="none"/>
          <w:u w:val="none"/>
          <w:shd w:val="clear" w:color="auto" w:fill="auto"/>
          <w:lang w:val="en-US" w:eastAsia="zh-CN"/>
        </w:rPr>
        <w:t>项目S7地块30#楼西单元户内</w:t>
      </w:r>
      <w:r>
        <w:rPr>
          <w:rFonts w:hint="eastAsia" w:asciiTheme="minorEastAsia" w:hAnsiTheme="minorEastAsia" w:eastAsiaTheme="minorEastAsia" w:cstheme="minorEastAsia"/>
          <w:color w:val="auto"/>
          <w:szCs w:val="24"/>
          <w:highlight w:val="none"/>
          <w:u w:val="single"/>
        </w:rPr>
        <w:t xml:space="preserve">精装修工程 </w:t>
      </w:r>
      <w:r>
        <w:rPr>
          <w:rFonts w:hint="eastAsia" w:asciiTheme="minorEastAsia" w:hAnsiTheme="minorEastAsia" w:eastAsiaTheme="minorEastAsia" w:cstheme="minorEastAsia"/>
          <w:color w:val="auto"/>
          <w:szCs w:val="24"/>
          <w:highlight w:val="none"/>
        </w:rPr>
        <w:t>事项协商一致，订立本合同。</w:t>
      </w:r>
    </w:p>
    <w:p w14:paraId="7DAD4E3E">
      <w:pPr>
        <w:numPr>
          <w:ilvl w:val="0"/>
          <w:numId w:val="2"/>
        </w:numPr>
        <w:tabs>
          <w:tab w:val="left" w:pos="0"/>
        </w:tabs>
        <w:wordWrap w:val="0"/>
        <w:topLinePunct/>
        <w:autoSpaceDE w:val="0"/>
        <w:spacing w:line="360" w:lineRule="auto"/>
        <w:ind w:left="-420" w:firstLine="42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工程概况</w:t>
      </w:r>
    </w:p>
    <w:p w14:paraId="25938257">
      <w:pPr>
        <w:numPr>
          <w:ilvl w:val="0"/>
          <w:numId w:val="3"/>
        </w:numPr>
        <w:wordWrap w:val="0"/>
        <w:topLinePunct/>
        <w:autoSpaceDE w:val="0"/>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工程名称：</w:t>
      </w:r>
      <w:r>
        <w:rPr>
          <w:rFonts w:hint="eastAsia" w:asciiTheme="minorEastAsia" w:hAnsiTheme="minorEastAsia" w:eastAsiaTheme="minorEastAsia" w:cstheme="minorEastAsia"/>
          <w:b w:val="0"/>
          <w:bCs w:val="0"/>
          <w:color w:val="auto"/>
          <w:sz w:val="24"/>
          <w:szCs w:val="24"/>
          <w:highlight w:val="none"/>
          <w:u w:val="single"/>
          <w:shd w:val="clear"/>
          <w:lang w:val="en-US" w:eastAsia="zh-CN"/>
        </w:rPr>
        <w:t>栾川山水文苑</w:t>
      </w:r>
      <w:r>
        <w:rPr>
          <w:rFonts w:hint="eastAsia" w:asciiTheme="minorEastAsia" w:hAnsiTheme="minorEastAsia" w:eastAsiaTheme="minorEastAsia" w:cstheme="minorEastAsia"/>
          <w:b w:val="0"/>
          <w:color w:val="auto"/>
          <w:sz w:val="24"/>
          <w:szCs w:val="24"/>
          <w:highlight w:val="none"/>
          <w:u w:val="single"/>
          <w:shd w:val="clear"/>
          <w:lang w:val="en-US" w:eastAsia="zh-CN"/>
        </w:rPr>
        <w:t>项目S7地块30#楼西单元户内</w:t>
      </w:r>
      <w:r>
        <w:rPr>
          <w:rFonts w:hint="eastAsia" w:asciiTheme="minorEastAsia" w:hAnsiTheme="minorEastAsia" w:eastAsiaTheme="minorEastAsia" w:cstheme="minorEastAsia"/>
          <w:color w:val="auto"/>
          <w:szCs w:val="24"/>
          <w:highlight w:val="none"/>
          <w:u w:val="single"/>
        </w:rPr>
        <w:t>精装修工程</w:t>
      </w:r>
      <w:r>
        <w:rPr>
          <w:rFonts w:hint="eastAsia" w:asciiTheme="minorEastAsia" w:hAnsiTheme="minorEastAsia" w:eastAsiaTheme="minorEastAsia" w:cstheme="minorEastAsia"/>
          <w:color w:val="auto"/>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rPr>
        <w:t>。</w:t>
      </w:r>
    </w:p>
    <w:p w14:paraId="12C62782">
      <w:pPr>
        <w:numPr>
          <w:ilvl w:val="0"/>
          <w:numId w:val="3"/>
        </w:numPr>
        <w:wordWrap w:val="0"/>
        <w:topLinePunct/>
        <w:autoSpaceDE w:val="0"/>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工</w:t>
      </w:r>
      <w:r>
        <w:rPr>
          <w:rFonts w:hint="eastAsia" w:asciiTheme="minorEastAsia" w:hAnsiTheme="minorEastAsia" w:eastAsiaTheme="minorEastAsia" w:cstheme="minorEastAsia"/>
          <w:color w:val="auto"/>
          <w:szCs w:val="24"/>
          <w:highlight w:val="none"/>
        </w:rPr>
        <w:t>程地点：</w:t>
      </w:r>
      <w:r>
        <w:rPr>
          <w:rFonts w:hint="eastAsia" w:asciiTheme="minorEastAsia" w:hAnsiTheme="minorEastAsia" w:eastAsiaTheme="minorEastAsia" w:cstheme="minorEastAsia"/>
          <w:color w:val="auto"/>
          <w:szCs w:val="24"/>
          <w:highlight w:val="none"/>
          <w:u w:val="single"/>
          <w:lang w:val="en-US" w:eastAsia="zh-CN"/>
        </w:rPr>
        <w:t xml:space="preserve"> </w:t>
      </w:r>
      <w:r>
        <w:rPr>
          <w:rFonts w:hint="eastAsia" w:asciiTheme="minorEastAsia" w:hAnsiTheme="minorEastAsia" w:eastAsiaTheme="minorEastAsia" w:cstheme="minorEastAsia"/>
          <w:szCs w:val="24"/>
          <w:u w:val="single"/>
          <w:lang w:val="en-US" w:eastAsia="zh-CN"/>
        </w:rPr>
        <w:t>洛阳市栾川县湾滩村山水文苑项目</w:t>
      </w:r>
      <w:r>
        <w:rPr>
          <w:rFonts w:hint="eastAsia" w:asciiTheme="minorEastAsia" w:hAnsiTheme="minorEastAsia" w:eastAsiaTheme="minorEastAsia" w:cstheme="minorEastAsia"/>
          <w:color w:val="auto"/>
          <w:szCs w:val="24"/>
          <w:highlight w:val="none"/>
          <w:u w:val="none"/>
        </w:rPr>
        <w:t xml:space="preserve"> </w:t>
      </w:r>
      <w:r>
        <w:rPr>
          <w:rFonts w:hint="eastAsia" w:asciiTheme="minorEastAsia" w:hAnsiTheme="minorEastAsia" w:eastAsiaTheme="minorEastAsia" w:cstheme="minorEastAsia"/>
          <w:color w:val="auto"/>
          <w:szCs w:val="24"/>
          <w:highlight w:val="none"/>
        </w:rPr>
        <w:t>。</w:t>
      </w:r>
    </w:p>
    <w:p w14:paraId="35D68F9E">
      <w:pPr>
        <w:numPr>
          <w:ilvl w:val="0"/>
          <w:numId w:val="2"/>
        </w:numPr>
        <w:tabs>
          <w:tab w:val="left" w:pos="0"/>
        </w:tabs>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工程承包范围</w:t>
      </w:r>
    </w:p>
    <w:p w14:paraId="1B7E4A16">
      <w:pPr>
        <w:numPr>
          <w:ilvl w:val="0"/>
          <w:numId w:val="4"/>
        </w:numPr>
        <w:wordWrap w:val="0"/>
        <w:topLinePunct/>
        <w:autoSpaceDE w:val="0"/>
        <w:spacing w:line="360" w:lineRule="auto"/>
        <w:ind w:left="665" w:hanging="425" w:firstLineChars="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承包范围：</w:t>
      </w:r>
      <w:r>
        <w:rPr>
          <w:rFonts w:hint="eastAsia" w:ascii="宋体" w:hAnsi="宋体" w:eastAsia="宋体" w:cs="Times New Roman"/>
          <w:color w:val="auto"/>
          <w:highlight w:val="none"/>
          <w:lang w:val="en-US" w:eastAsia="zh-CN"/>
        </w:rPr>
        <w:t>范围包含但不限于室内地暖、墙地砖、吊顶、防水、橱柜、烟机灶具、燃气热水器、洁具花洒、毛巾杆、手纸盒、壁布等的供货及安装</w:t>
      </w:r>
      <w:r>
        <w:rPr>
          <w:rFonts w:hint="eastAsia" w:ascii="宋体" w:hAnsi="宋体" w:cs="Times New Roman"/>
          <w:color w:val="auto"/>
          <w:highlight w:val="none"/>
          <w:lang w:val="en-US" w:eastAsia="zh-CN"/>
        </w:rPr>
        <w:t>。</w:t>
      </w:r>
      <w:r>
        <w:rPr>
          <w:rFonts w:hint="eastAsia" w:asciiTheme="minorEastAsia" w:hAnsiTheme="minorEastAsia" w:eastAsiaTheme="minorEastAsia" w:cstheme="minorEastAsia"/>
          <w:b w:val="0"/>
          <w:color w:val="auto"/>
          <w:kern w:val="2"/>
          <w:position w:val="0"/>
          <w:szCs w:val="24"/>
          <w:highlight w:val="none"/>
          <w:u w:val="none"/>
          <w:lang w:val="en-US" w:eastAsia="zh-CN"/>
        </w:rPr>
        <w:t xml:space="preserve"> </w:t>
      </w:r>
      <w:r>
        <w:rPr>
          <w:rFonts w:hint="eastAsia" w:asciiTheme="minorEastAsia" w:hAnsiTheme="minorEastAsia" w:eastAsiaTheme="minorEastAsia" w:cstheme="minorEastAsia"/>
          <w:b w:val="0"/>
          <w:color w:val="auto"/>
          <w:kern w:val="2"/>
          <w:position w:val="0"/>
          <w:szCs w:val="24"/>
          <w:highlight w:val="none"/>
        </w:rPr>
        <w:t>具体详见《图纸》及附件《价格清单》。</w:t>
      </w:r>
    </w:p>
    <w:p w14:paraId="62AAF32E">
      <w:pPr>
        <w:numPr>
          <w:ilvl w:val="0"/>
          <w:numId w:val="4"/>
        </w:numPr>
        <w:wordWrap w:val="0"/>
        <w:topLinePunct/>
        <w:autoSpaceDE w:val="0"/>
        <w:spacing w:line="360" w:lineRule="auto"/>
        <w:ind w:left="665" w:hanging="425" w:firstLineChars="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甲方要求其它内容（包括且不限于</w:t>
      </w:r>
      <w:r>
        <w:rPr>
          <w:rFonts w:hint="eastAsia" w:asciiTheme="minorEastAsia" w:hAnsiTheme="minorEastAsia" w:eastAsiaTheme="minorEastAsia" w:cstheme="minorEastAsia"/>
          <w:b w:val="0"/>
          <w:color w:val="auto"/>
          <w:kern w:val="2"/>
          <w:position w:val="0"/>
          <w:szCs w:val="24"/>
          <w:highlight w:val="none"/>
          <w:lang w:eastAsia="zh-CN"/>
        </w:rPr>
        <w:t>承包范围内</w:t>
      </w:r>
      <w:r>
        <w:rPr>
          <w:rFonts w:hint="eastAsia" w:asciiTheme="minorEastAsia" w:hAnsiTheme="minorEastAsia" w:eastAsiaTheme="minorEastAsia" w:cstheme="minorEastAsia"/>
          <w:b w:val="0"/>
          <w:color w:val="auto"/>
          <w:kern w:val="2"/>
          <w:position w:val="0"/>
          <w:szCs w:val="24"/>
          <w:highlight w:val="none"/>
        </w:rPr>
        <w:t>通电接线、配合给水等其它后续永久工程提前施工）。</w:t>
      </w:r>
    </w:p>
    <w:p w14:paraId="4652144F">
      <w:pPr>
        <w:numPr>
          <w:ilvl w:val="0"/>
          <w:numId w:val="4"/>
        </w:numPr>
        <w:wordWrap w:val="0"/>
        <w:topLinePunct/>
        <w:autoSpaceDE w:val="0"/>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界线划分：</w:t>
      </w:r>
      <w:r>
        <w:rPr>
          <w:rFonts w:hint="eastAsia" w:ascii="宋体" w:hAnsi="宋体" w:eastAsia="宋体" w:cs="Times New Roman"/>
          <w:color w:val="auto"/>
          <w:highlight w:val="none"/>
          <w:lang w:val="en-US" w:eastAsia="zh-CN"/>
        </w:rPr>
        <w:t>电气从户箱入户的电路（四层以上按精装电路剪力墙内的已预埋电管、四层以下按建筑图电路剪力墙内的已预埋电管，包含在本次范围内，自行考虑）、灯具；给水为入户管对接及户内水路改造。</w:t>
      </w:r>
    </w:p>
    <w:p w14:paraId="37D69B6B">
      <w:pPr>
        <w:numPr>
          <w:ilvl w:val="0"/>
          <w:numId w:val="2"/>
        </w:numPr>
        <w:tabs>
          <w:tab w:val="left" w:pos="0"/>
        </w:tabs>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承包方式</w:t>
      </w:r>
    </w:p>
    <w:p w14:paraId="21EFD4DF">
      <w:pPr>
        <w:numPr>
          <w:ilvl w:val="0"/>
          <w:numId w:val="5"/>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计价原则采用下面第</w:t>
      </w:r>
      <w:r>
        <w:rPr>
          <w:rFonts w:hint="eastAsia" w:asciiTheme="minorEastAsia" w:hAnsiTheme="minorEastAsia" w:eastAsiaTheme="minorEastAsia" w:cstheme="minorEastAsia"/>
          <w:i w:val="0"/>
          <w:iCs w:val="0"/>
          <w:color w:val="auto"/>
          <w:szCs w:val="24"/>
          <w:highlight w:val="none"/>
          <w:u w:val="single"/>
        </w:rPr>
        <w:t xml:space="preserve"> </w:t>
      </w:r>
      <w:r>
        <w:rPr>
          <w:rFonts w:hint="eastAsia" w:asciiTheme="minorEastAsia" w:hAnsiTheme="minorEastAsia" w:eastAsiaTheme="minorEastAsia" w:cstheme="minorEastAsia"/>
          <w:i w:val="0"/>
          <w:iCs w:val="0"/>
          <w:color w:val="auto"/>
          <w:szCs w:val="24"/>
          <w:highlight w:val="none"/>
          <w:u w:val="single"/>
          <w:lang w:eastAsia="zh-CN"/>
        </w:rPr>
        <w:t>（</w:t>
      </w:r>
      <w:r>
        <w:rPr>
          <w:rFonts w:hint="eastAsia" w:asciiTheme="minorEastAsia" w:hAnsiTheme="minorEastAsia" w:eastAsiaTheme="minorEastAsia" w:cstheme="minorEastAsia"/>
          <w:i w:val="0"/>
          <w:iCs w:val="0"/>
          <w:color w:val="auto"/>
          <w:szCs w:val="24"/>
          <w:highlight w:val="none"/>
          <w:u w:val="single"/>
          <w:lang w:val="en-US" w:eastAsia="zh-CN"/>
        </w:rPr>
        <w:t>1</w:t>
      </w:r>
      <w:r>
        <w:rPr>
          <w:rFonts w:hint="eastAsia" w:asciiTheme="minorEastAsia" w:hAnsiTheme="minorEastAsia" w:eastAsiaTheme="minorEastAsia" w:cstheme="minorEastAsia"/>
          <w:i w:val="0"/>
          <w:iCs w:val="0"/>
          <w:color w:val="auto"/>
          <w:szCs w:val="24"/>
          <w:highlight w:val="none"/>
          <w:u w:val="single"/>
          <w:lang w:eastAsia="zh-CN"/>
        </w:rPr>
        <w:t>）</w:t>
      </w:r>
      <w:r>
        <w:rPr>
          <w:rFonts w:hint="eastAsia" w:asciiTheme="minorEastAsia" w:hAnsiTheme="minorEastAsia" w:eastAsiaTheme="minorEastAsia" w:cstheme="minorEastAsia"/>
          <w:i w:val="0"/>
          <w:iCs w:val="0"/>
          <w:color w:val="auto"/>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rPr>
        <w:t>种方式：</w:t>
      </w:r>
    </w:p>
    <w:p w14:paraId="7067C905">
      <w:pPr>
        <w:numPr>
          <w:ilvl w:val="0"/>
          <w:numId w:val="6"/>
        </w:numPr>
        <w:wordWrap w:val="0"/>
        <w:topLinePunct/>
        <w:autoSpaceDE w:val="0"/>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本合同采用：固定总价包干，除本合同中另有约定的情况以外，单价及工程量结算不调整（如按图施工工程量与合同附件1《工程量清单》中的工程量有差异，差异部分视为已包含在合同包干总价中）。</w:t>
      </w:r>
    </w:p>
    <w:p w14:paraId="07DECFC1">
      <w:pPr>
        <w:numPr>
          <w:ilvl w:val="0"/>
          <w:numId w:val="6"/>
        </w:numPr>
        <w:wordWrap w:val="0"/>
        <w:topLinePunct/>
        <w:autoSpaceDE w:val="0"/>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本合同采用：固定综合单价，除本合同中另有约定的情况以外，单价结算不调整；合同工程量暂定，结算按实计量。</w:t>
      </w:r>
    </w:p>
    <w:p w14:paraId="087437FB">
      <w:pPr>
        <w:numPr>
          <w:ilvl w:val="0"/>
          <w:numId w:val="5"/>
        </w:numPr>
        <w:wordWrap w:val="0"/>
        <w:topLinePunct/>
        <w:autoSpaceDE w:val="0"/>
        <w:spacing w:line="360" w:lineRule="auto"/>
        <w:ind w:left="665" w:hanging="425" w:firstLineChars="0"/>
        <w:rPr>
          <w:rFonts w:hint="eastAsia" w:asciiTheme="minorEastAsia" w:hAnsiTheme="minorEastAsia" w:eastAsiaTheme="minorEastAsia" w:cstheme="minorEastAsia"/>
          <w:b w:val="0"/>
          <w:color w:val="auto"/>
          <w:kern w:val="2"/>
          <w:position w:val="0"/>
          <w:szCs w:val="24"/>
          <w:highlight w:val="none"/>
          <w:lang w:eastAsia="zh-CN"/>
        </w:rPr>
      </w:pPr>
      <w:r>
        <w:rPr>
          <w:rFonts w:hint="eastAsia" w:asciiTheme="minorEastAsia" w:hAnsiTheme="minorEastAsia" w:eastAsiaTheme="minorEastAsia" w:cstheme="minorEastAsia"/>
          <w:color w:val="auto"/>
          <w:kern w:val="2"/>
          <w:sz w:val="24"/>
          <w:szCs w:val="24"/>
          <w:highlight w:val="none"/>
          <w:lang w:val="en-US" w:eastAsia="zh-CN" w:bidi="ar-SA"/>
        </w:rPr>
        <w:t>合同附件《工程量清单》中单价为完成该分项工程全部工序内容的综合单价。承包范围内约定的工作内容，为图纸中所有表述的全部工作内容（包含图纸未列明事项）。属于承包范围和合同图纸内的工作内容，合同附件《工程量清单》中未列的项目，视为已包含在合同价中。乙方所供应的全部产品、半成品等所有权及丢、灭失的风险均自工程竣工，经甲方书面验收合格移交甲方后转移至甲方所有，所有权转移前的保管责任及费用由乙方自行承担</w:t>
      </w:r>
      <w:r>
        <w:rPr>
          <w:rFonts w:hint="eastAsia" w:asciiTheme="minorEastAsia" w:hAnsiTheme="minorEastAsia" w:eastAsiaTheme="minorEastAsia" w:cstheme="minorEastAsia"/>
          <w:b w:val="0"/>
          <w:color w:val="auto"/>
          <w:kern w:val="2"/>
          <w:position w:val="0"/>
          <w:szCs w:val="24"/>
          <w:highlight w:val="none"/>
          <w:lang w:eastAsia="zh-CN"/>
        </w:rPr>
        <w:t>。</w:t>
      </w:r>
    </w:p>
    <w:p w14:paraId="2BCF3A1E">
      <w:pPr>
        <w:numPr>
          <w:ilvl w:val="0"/>
          <w:numId w:val="5"/>
        </w:numPr>
        <w:wordWrap w:val="0"/>
        <w:topLinePunct/>
        <w:autoSpaceDE w:val="0"/>
        <w:spacing w:line="360" w:lineRule="auto"/>
        <w:ind w:left="665" w:hanging="425" w:firstLineChars="0"/>
        <w:rPr>
          <w:rFonts w:hint="default" w:asciiTheme="minorEastAsia" w:hAnsiTheme="minorEastAsia" w:eastAsiaTheme="minorEastAsia" w:cstheme="minorEastAsia"/>
          <w:b w:val="0"/>
          <w:color w:val="auto"/>
          <w:kern w:val="2"/>
          <w:position w:val="0"/>
          <w:szCs w:val="24"/>
          <w:highlight w:val="none"/>
        </w:rPr>
      </w:pPr>
      <w:r>
        <w:rPr>
          <w:rFonts w:hint="default" w:asciiTheme="minorEastAsia" w:hAnsiTheme="minorEastAsia" w:eastAsiaTheme="minorEastAsia" w:cstheme="minorEastAsia"/>
          <w:b w:val="0"/>
          <w:color w:val="auto"/>
          <w:kern w:val="2"/>
          <w:position w:val="0"/>
          <w:sz w:val="24"/>
          <w:szCs w:val="24"/>
          <w:highlight w:val="none"/>
          <w:lang w:val="en-US" w:eastAsia="zh-CN" w:bidi="ar-SA"/>
        </w:rPr>
        <w:t>《工程量清单》中综合单价：</w:t>
      </w:r>
      <w:r>
        <w:rPr>
          <w:rFonts w:hint="default" w:asciiTheme="minorEastAsia" w:hAnsiTheme="minorEastAsia" w:eastAsiaTheme="minorEastAsia" w:cstheme="minorEastAsia"/>
          <w:b w:val="0"/>
          <w:color w:val="auto"/>
          <w:kern w:val="2"/>
          <w:position w:val="0"/>
          <w:szCs w:val="24"/>
          <w:highlight w:val="none"/>
        </w:rPr>
        <w:t>包括但不限于人工费、材料费（包括材料损耗、材料加工费、材料检验试验费）、甲供材保管费、设备费、机械使用费、合同工期内的赶工费、施工水电费（不含甲分包水电费，费用自行协商）、规费、管理费、措施费、利润、税金、加班费、农民工工伤保险费、建筑施工人身意外伤害保险、包装空运、国外及本地存仓、运输、办理验收直至取得验收合格证明文件和保修费用，以及政策性文件规定的各项应有费用及招标文件明示或暗示的所有一切风险、责任和义务的费用。其中，措施费包含但不限于组织措施费、缩短工期增加费、二次搬运费、检测费、远途施工增加费、夜间施工费、疫情防护费用、环境保护、文明施工（含扬尘治理，含施工现场为达到环保主管部门要求所需要的各项措施费用）、安全施工、临时设施等，技术措施费、垂直运输费、超高增加费、成品保护费、现场勘察费、垃圾外运费、工程完工验收前精保洁及移交、交叉施工降效费及配合费、设备/材料的安全保管、石材结晶等其他费用。此费用不随材料市场价格波动、工资、物价、费率的变动或的政府颁发的任何调价文件而发生变化；材料风险费不再调整。</w:t>
      </w:r>
    </w:p>
    <w:p w14:paraId="167F38EA">
      <w:pPr>
        <w:numPr>
          <w:ilvl w:val="0"/>
          <w:numId w:val="5"/>
        </w:numPr>
        <w:wordWrap w:val="0"/>
        <w:topLinePunct/>
        <w:autoSpaceDE w:val="0"/>
        <w:spacing w:line="360" w:lineRule="auto"/>
        <w:ind w:left="665" w:hanging="425" w:firstLineChars="0"/>
        <w:rPr>
          <w:rFonts w:hint="default" w:asciiTheme="minorEastAsia" w:hAnsiTheme="minorEastAsia" w:eastAsiaTheme="minorEastAsia" w:cstheme="minorEastAsia"/>
          <w:b w:val="0"/>
          <w:color w:val="auto"/>
          <w:kern w:val="2"/>
          <w:position w:val="0"/>
          <w:szCs w:val="24"/>
          <w:highlight w:val="none"/>
        </w:rPr>
      </w:pPr>
      <w:r>
        <w:rPr>
          <w:rFonts w:hint="default" w:asciiTheme="minorEastAsia" w:hAnsiTheme="minorEastAsia" w:eastAsiaTheme="minorEastAsia" w:cstheme="minorEastAsia"/>
          <w:b w:val="0"/>
          <w:color w:val="auto"/>
          <w:kern w:val="2"/>
          <w:position w:val="0"/>
          <w:szCs w:val="24"/>
          <w:highlight w:val="none"/>
        </w:rPr>
        <w:t>无论原材料市场有何变动，任何一方均不能以任何理由调整本合同的各分项工程固定综合单价。</w:t>
      </w:r>
    </w:p>
    <w:p w14:paraId="75E27103">
      <w:pPr>
        <w:numPr>
          <w:ilvl w:val="0"/>
          <w:numId w:val="5"/>
        </w:numPr>
        <w:spacing w:line="360" w:lineRule="auto"/>
        <w:ind w:left="665" w:hanging="425" w:firstLineChars="0"/>
        <w:rPr>
          <w:rFonts w:hint="default" w:asciiTheme="minorEastAsia" w:hAnsiTheme="minorEastAsia" w:eastAsiaTheme="minorEastAsia" w:cstheme="minorEastAsia"/>
          <w:color w:val="auto"/>
          <w:szCs w:val="24"/>
          <w:highlight w:val="none"/>
        </w:rPr>
      </w:pPr>
      <w:r>
        <w:rPr>
          <w:rFonts w:hint="default" w:asciiTheme="minorEastAsia" w:hAnsiTheme="minorEastAsia" w:eastAsiaTheme="minorEastAsia" w:cstheme="minorEastAsia"/>
          <w:color w:val="auto"/>
          <w:szCs w:val="24"/>
          <w:highlight w:val="none"/>
        </w:rPr>
        <w:t>各分项工程施工图或报价清单中没有说明但在施工过程中为完成各分项工程必须完成的所有工作，视为已经包含在各分项工程固定总价中。各分项工程固定综合单价结算时不做任何调整。</w:t>
      </w:r>
    </w:p>
    <w:p w14:paraId="7E3FBDBC">
      <w:pPr>
        <w:numPr>
          <w:ilvl w:val="0"/>
          <w:numId w:val="5"/>
        </w:numPr>
        <w:spacing w:line="360" w:lineRule="auto"/>
        <w:ind w:left="665" w:hanging="425" w:firstLineChars="0"/>
        <w:rPr>
          <w:rFonts w:hint="default" w:asciiTheme="minorEastAsia" w:hAnsiTheme="minorEastAsia" w:eastAsiaTheme="minorEastAsia" w:cstheme="minorEastAsia"/>
          <w:color w:val="auto"/>
          <w:szCs w:val="24"/>
          <w:highlight w:val="none"/>
        </w:rPr>
      </w:pPr>
      <w:r>
        <w:rPr>
          <w:rFonts w:hint="default" w:asciiTheme="minorEastAsia" w:hAnsiTheme="minorEastAsia" w:eastAsiaTheme="minorEastAsia" w:cstheme="minorEastAsia"/>
          <w:color w:val="auto"/>
          <w:szCs w:val="24"/>
          <w:highlight w:val="none"/>
        </w:rPr>
        <w:t>乙方应提前视察现场并了解现场现状，本合同签订时乙方已清楚并考虑工地现场条件，包括周围环境、交通道路、现场地质条件、施工场地及周围地下管网、承包范围、施工图纸、施工组织设计，且已考虑施工技术措施、文明施工、安全生产维护、工期内赶工等因素。合同价格已充分考虑上述因素并考虑在价格中。合同价格视为由工程开工至完成竣工验收并符合交付使用标准的一切费用，甲方将不会就现场状况作出任何变更签证或增加工程款，但是，由于甲方改变工程范围或工作量的设计变更除外。乙方为完成本合同规定的工作所需施工组织中的所有费用均已包含在本合同价格内，不再另外计取。</w:t>
      </w:r>
    </w:p>
    <w:p w14:paraId="633CD56A">
      <w:pPr>
        <w:numPr>
          <w:ilvl w:val="0"/>
          <w:numId w:val="5"/>
        </w:numPr>
        <w:spacing w:line="360" w:lineRule="auto"/>
        <w:ind w:left="665" w:hanging="425" w:firstLineChars="0"/>
        <w:rPr>
          <w:rFonts w:hint="default" w:asciiTheme="minorEastAsia" w:hAnsiTheme="minorEastAsia" w:eastAsiaTheme="minorEastAsia" w:cstheme="minorEastAsia"/>
          <w:color w:val="auto"/>
          <w:szCs w:val="24"/>
          <w:highlight w:val="none"/>
        </w:rPr>
      </w:pPr>
      <w:r>
        <w:rPr>
          <w:rFonts w:hint="default" w:asciiTheme="minorEastAsia" w:hAnsiTheme="minorEastAsia" w:eastAsiaTheme="minorEastAsia" w:cstheme="minorEastAsia"/>
          <w:color w:val="auto"/>
          <w:szCs w:val="24"/>
          <w:highlight w:val="none"/>
        </w:rPr>
        <w:t>施工过程中经甲方认可的实际施工方案仅作为甲方对乙方技术方案的肯定，不作为计价依据，甲方不接受乙方重新组价或者调价的要求。</w:t>
      </w:r>
    </w:p>
    <w:p w14:paraId="666D531A">
      <w:pPr>
        <w:numPr>
          <w:ilvl w:val="0"/>
          <w:numId w:val="5"/>
        </w:numPr>
        <w:spacing w:line="360" w:lineRule="auto"/>
        <w:ind w:left="665" w:hanging="425" w:firstLineChars="0"/>
        <w:rPr>
          <w:rFonts w:hint="default" w:asciiTheme="minorEastAsia" w:hAnsiTheme="minorEastAsia" w:eastAsiaTheme="minorEastAsia" w:cstheme="minorEastAsia"/>
          <w:color w:val="auto"/>
          <w:szCs w:val="24"/>
          <w:highlight w:val="none"/>
        </w:rPr>
      </w:pPr>
      <w:r>
        <w:rPr>
          <w:rFonts w:hint="default" w:asciiTheme="minorEastAsia" w:hAnsiTheme="minorEastAsia" w:eastAsiaTheme="minorEastAsia" w:cstheme="minorEastAsia"/>
          <w:color w:val="auto"/>
          <w:szCs w:val="24"/>
          <w:highlight w:val="none"/>
        </w:rPr>
        <w:t>本项目由乙方对施工图纸进行深化，乙方应在保证招标图纸的装饰效果（面层材料不属于深化范围）的情况下进行深化。乙方对图纸进行深化时应结合施工现场实际情况并充分考虑基层做法的可实施性（可实施性指：质量达到国家最新质量标准及甲方的要求，其装饰效果达到设计部门的要求，能一次性通过整体验收合格）。乙方在报价时应考虑基层施工所需的费用（包括因深化点位对原有墙体的拆改及修补），不再另计，乙方的报价必须考虑深化后的施工图纸基层做法，不因施工过程中对图纸的深化、做法的不同而增加基层施工的费用。</w:t>
      </w:r>
    </w:p>
    <w:p w14:paraId="57D13F9F">
      <w:pPr>
        <w:numPr>
          <w:ilvl w:val="0"/>
          <w:numId w:val="5"/>
        </w:numPr>
        <w:wordWrap w:val="0"/>
        <w:topLinePunct/>
        <w:autoSpaceDE w:val="0"/>
        <w:spacing w:line="360" w:lineRule="auto"/>
        <w:ind w:left="665" w:hanging="425" w:firstLineChars="0"/>
        <w:rPr>
          <w:rFonts w:hint="default" w:asciiTheme="minorEastAsia" w:hAnsiTheme="minorEastAsia" w:eastAsiaTheme="minorEastAsia" w:cstheme="minorEastAsia"/>
          <w:b w:val="0"/>
          <w:color w:val="auto"/>
          <w:kern w:val="2"/>
          <w:position w:val="0"/>
          <w:szCs w:val="24"/>
          <w:highlight w:val="none"/>
        </w:rPr>
      </w:pPr>
      <w:r>
        <w:rPr>
          <w:rFonts w:hint="default" w:asciiTheme="minorEastAsia" w:hAnsiTheme="minorEastAsia" w:eastAsiaTheme="minorEastAsia" w:cstheme="minorEastAsia"/>
          <w:b w:val="0"/>
          <w:color w:val="auto"/>
          <w:kern w:val="2"/>
          <w:position w:val="0"/>
          <w:szCs w:val="24"/>
          <w:highlight w:val="none"/>
        </w:rPr>
        <w:t>土建工程的总承包施工单位是按合同约定的施工范围及交楼标准施工，工程质量必须符合国家有关规定验收标准，在交楼时如发现不满足的由总承包施工单位负责整改到满足规范要求为止。如建筑工程规范与装修的规范标准有差异时（即总承包施工单位负责完成的项目达到建筑工程规范标准而达不到装修标准要求时），则由乙方负责将施工面完善至符合装修要求，并已在价格中综合考虑此部分费用。</w:t>
      </w:r>
    </w:p>
    <w:p w14:paraId="5CE0E16C">
      <w:pPr>
        <w:numPr>
          <w:ilvl w:val="0"/>
          <w:numId w:val="5"/>
        </w:numPr>
        <w:wordWrap w:val="0"/>
        <w:topLinePunct/>
        <w:autoSpaceDE w:val="0"/>
        <w:spacing w:line="360" w:lineRule="auto"/>
        <w:ind w:left="665" w:hanging="425" w:firstLineChars="0"/>
        <w:rPr>
          <w:rFonts w:hint="default" w:asciiTheme="minorEastAsia" w:hAnsiTheme="minorEastAsia" w:eastAsiaTheme="minorEastAsia" w:cstheme="minorEastAsia"/>
          <w:b w:val="0"/>
          <w:color w:val="auto"/>
          <w:kern w:val="2"/>
          <w:position w:val="0"/>
          <w:szCs w:val="24"/>
          <w:highlight w:val="none"/>
        </w:rPr>
      </w:pPr>
      <w:r>
        <w:rPr>
          <w:rFonts w:hint="default" w:asciiTheme="minorEastAsia" w:hAnsiTheme="minorEastAsia" w:eastAsiaTheme="minorEastAsia" w:cstheme="minorEastAsia"/>
          <w:b w:val="0"/>
          <w:color w:val="auto"/>
          <w:kern w:val="2"/>
          <w:position w:val="0"/>
          <w:szCs w:val="24"/>
          <w:highlight w:val="none"/>
          <w:lang w:val="en-US" w:eastAsia="zh-CN"/>
        </w:rPr>
        <w:t>本工程优先施工样板，样板段需经甲方验收合格后方进行后续大区施工，若样板段验收不合格，甲方有权无责对后续合同及施工内容另行分包，双方就已完成部分进行合同结算。</w:t>
      </w:r>
    </w:p>
    <w:p w14:paraId="543027AD">
      <w:pPr>
        <w:numPr>
          <w:ilvl w:val="0"/>
          <w:numId w:val="2"/>
        </w:numPr>
        <w:tabs>
          <w:tab w:val="left" w:pos="0"/>
        </w:tabs>
        <w:wordWrap/>
        <w:topLinePunct w:val="0"/>
        <w:autoSpaceDE/>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工期要求</w:t>
      </w:r>
    </w:p>
    <w:p w14:paraId="35067120">
      <w:pPr>
        <w:numPr>
          <w:ilvl w:val="0"/>
          <w:numId w:val="7"/>
        </w:numPr>
        <w:wordWrap/>
        <w:topLinePunct w:val="0"/>
        <w:autoSpaceDE/>
        <w:spacing w:line="360" w:lineRule="auto"/>
        <w:ind w:left="665" w:hanging="425" w:firstLineChars="0"/>
        <w:rPr>
          <w:rFonts w:hint="default" w:asciiTheme="minorEastAsia" w:hAnsiTheme="minorEastAsia" w:eastAsiaTheme="minorEastAsia" w:cstheme="minorEastAsia"/>
          <w:color w:val="auto"/>
          <w:szCs w:val="24"/>
          <w:highlight w:val="none"/>
        </w:rPr>
      </w:pPr>
      <w:r>
        <w:rPr>
          <w:rFonts w:hint="default" w:ascii="宋体" w:hAnsi="宋体" w:eastAsia="宋体" w:cs="Times New Roman"/>
          <w:color w:val="auto"/>
          <w:highlight w:val="none"/>
        </w:rPr>
        <w:t>本施工工期为</w:t>
      </w:r>
      <w:r>
        <w:rPr>
          <w:rFonts w:hint="eastAsia" w:ascii="宋体" w:hAnsi="宋体" w:cs="Times New Roman"/>
          <w:color w:val="auto"/>
          <w:highlight w:val="none"/>
          <w:lang w:val="en-US" w:eastAsia="zh-CN"/>
        </w:rPr>
        <w:t>90</w:t>
      </w:r>
      <w:r>
        <w:rPr>
          <w:rFonts w:hint="default" w:ascii="宋体" w:hAnsi="宋体" w:eastAsia="宋体" w:cs="Times New Roman"/>
          <w:color w:val="auto"/>
          <w:highlight w:val="none"/>
        </w:rPr>
        <w:t>日历天，进场时间暂定于</w:t>
      </w:r>
      <w:r>
        <w:rPr>
          <w:rFonts w:hint="eastAsia" w:ascii="宋体" w:hAnsi="宋体" w:cs="Times New Roman"/>
          <w:color w:val="auto"/>
          <w:highlight w:val="none"/>
          <w:lang w:val="en-US" w:eastAsia="zh-CN"/>
        </w:rPr>
        <w:t>2025年7</w:t>
      </w:r>
      <w:r>
        <w:rPr>
          <w:rFonts w:hint="default" w:ascii="宋体" w:hAnsi="宋体" w:eastAsia="宋体" w:cs="Times New Roman"/>
          <w:color w:val="auto"/>
          <w:highlight w:val="none"/>
        </w:rPr>
        <w:t>月</w:t>
      </w:r>
      <w:r>
        <w:rPr>
          <w:rFonts w:hint="eastAsia" w:ascii="宋体" w:hAnsi="宋体" w:cs="Times New Roman"/>
          <w:color w:val="auto"/>
          <w:highlight w:val="none"/>
          <w:lang w:val="en-US" w:eastAsia="zh-CN"/>
        </w:rPr>
        <w:t>1</w:t>
      </w:r>
      <w:r>
        <w:rPr>
          <w:rFonts w:hint="default" w:ascii="宋体" w:hAnsi="宋体" w:eastAsia="宋体" w:cs="Times New Roman"/>
          <w:color w:val="auto"/>
          <w:highlight w:val="none"/>
          <w:lang w:val="en-US" w:eastAsia="zh-CN"/>
        </w:rPr>
        <w:t xml:space="preserve"> </w:t>
      </w:r>
      <w:r>
        <w:rPr>
          <w:rFonts w:hint="default" w:ascii="宋体" w:hAnsi="宋体" w:eastAsia="宋体" w:cs="Times New Roman"/>
          <w:color w:val="auto"/>
          <w:highlight w:val="none"/>
        </w:rPr>
        <w:t>日 ，</w:t>
      </w:r>
      <w:r>
        <w:rPr>
          <w:rFonts w:hint="default" w:asciiTheme="minorEastAsia" w:hAnsiTheme="minorEastAsia" w:eastAsiaTheme="minorEastAsia" w:cstheme="minorEastAsia"/>
          <w:color w:val="auto"/>
          <w:szCs w:val="24"/>
          <w:highlight w:val="none"/>
        </w:rPr>
        <w:t>具体开工时间以甲方发出的书面通知为准。</w:t>
      </w:r>
    </w:p>
    <w:p w14:paraId="17C98D89">
      <w:pPr>
        <w:numPr>
          <w:ilvl w:val="0"/>
          <w:numId w:val="7"/>
        </w:numPr>
        <w:wordWrap/>
        <w:topLinePunct w:val="0"/>
        <w:autoSpaceDE/>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default" w:asciiTheme="minorEastAsia" w:hAnsiTheme="minorEastAsia" w:eastAsiaTheme="minorEastAsia" w:cstheme="minorEastAsia"/>
          <w:color w:val="auto"/>
          <w:szCs w:val="24"/>
          <w:highlight w:val="none"/>
        </w:rPr>
        <w:t>施工过程中如遇甲方责任或需明确允许工期顺延的各种情况所延误的工期，经甲、乙双方签证认可后予以调整，并在此基础上确定完工日期。</w:t>
      </w:r>
      <w:r>
        <w:rPr>
          <w:rFonts w:hint="eastAsia" w:asciiTheme="minorEastAsia" w:hAnsiTheme="minorEastAsia" w:eastAsiaTheme="minorEastAsia" w:cstheme="minorEastAsia"/>
          <w:color w:val="auto"/>
          <w:szCs w:val="24"/>
          <w:highlight w:val="none"/>
        </w:rPr>
        <w:t xml:space="preserve"> </w:t>
      </w:r>
    </w:p>
    <w:p w14:paraId="397D01D3">
      <w:pPr>
        <w:numPr>
          <w:ilvl w:val="0"/>
          <w:numId w:val="2"/>
        </w:numPr>
        <w:tabs>
          <w:tab w:val="left" w:pos="0"/>
        </w:tabs>
        <w:wordWrap/>
        <w:topLinePunct w:val="0"/>
        <w:autoSpaceDE/>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合同价格</w:t>
      </w:r>
    </w:p>
    <w:p w14:paraId="1D6F0E95">
      <w:pPr>
        <w:numPr>
          <w:ilvl w:val="0"/>
          <w:numId w:val="8"/>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合同含税固定总价为¥</w:t>
      </w:r>
      <w:r>
        <w:rPr>
          <w:rFonts w:hint="eastAsia" w:asciiTheme="minorEastAsia" w:hAnsiTheme="minorEastAsia" w:eastAsiaTheme="minorEastAsia" w:cstheme="minorEastAsia"/>
          <w:color w:val="auto"/>
          <w:szCs w:val="24"/>
          <w:highlight w:val="none"/>
          <w:u w:val="single"/>
          <w:lang w:val="en-US" w:eastAsia="zh-CN"/>
        </w:rPr>
        <w:t>860000</w:t>
      </w:r>
      <w:r>
        <w:rPr>
          <w:rFonts w:hint="eastAsia" w:asciiTheme="minorEastAsia" w:hAnsiTheme="minorEastAsia" w:eastAsiaTheme="minorEastAsia" w:cstheme="minorEastAsia"/>
          <w:color w:val="auto"/>
          <w:szCs w:val="24"/>
          <w:highlight w:val="none"/>
        </w:rPr>
        <w:t>大写人民币</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u w:val="single"/>
          <w:lang w:val="en-US" w:eastAsia="zh-CN"/>
        </w:rPr>
        <w:t>捌拾陆万元零角零分</w:t>
      </w:r>
      <w:r>
        <w:rPr>
          <w:rFonts w:hint="eastAsia" w:asciiTheme="minorEastAsia" w:hAnsiTheme="minorEastAsia" w:eastAsiaTheme="minorEastAsia" w:cstheme="minorEastAsia"/>
          <w:color w:val="auto"/>
          <w:szCs w:val="24"/>
          <w:highlight w:val="none"/>
          <w:u w:val="none"/>
          <w:lang w:eastAsia="zh-CN"/>
        </w:rPr>
        <w:t>）</w:t>
      </w:r>
      <w:r>
        <w:rPr>
          <w:rFonts w:hint="eastAsia" w:asciiTheme="minorEastAsia" w:hAnsiTheme="minorEastAsia" w:eastAsiaTheme="minorEastAsia" w:cstheme="minorEastAsia"/>
          <w:color w:val="auto"/>
          <w:szCs w:val="24"/>
          <w:highlight w:val="none"/>
        </w:rPr>
        <w:t>。其中不含税金额为¥</w:t>
      </w:r>
      <w:r>
        <w:rPr>
          <w:rFonts w:hint="default" w:asciiTheme="minorEastAsia" w:hAnsiTheme="minorEastAsia" w:eastAsiaTheme="minorEastAsia" w:cstheme="minorEastAsia"/>
          <w:color w:val="auto"/>
          <w:szCs w:val="24"/>
          <w:highlight w:val="none"/>
          <w:u w:val="none"/>
          <w:lang w:val="en-US" w:eastAsia="zh-CN"/>
        </w:rPr>
        <w:t xml:space="preserve"> </w:t>
      </w:r>
      <w:r>
        <w:rPr>
          <w:rFonts w:hint="eastAsia" w:asciiTheme="minorEastAsia" w:hAnsiTheme="minorEastAsia" w:eastAsiaTheme="minorEastAsia" w:cstheme="minorEastAsia"/>
          <w:color w:val="auto"/>
          <w:szCs w:val="24"/>
          <w:highlight w:val="none"/>
          <w:u w:val="single"/>
          <w:lang w:val="en-US" w:eastAsia="zh-CN"/>
        </w:rPr>
        <w:t>788990.83</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u w:val="single"/>
          <w:lang w:val="en-US" w:eastAsia="zh-CN"/>
        </w:rPr>
        <w:t>柒拾捌万捌仟玖佰玖拾元捌角叁分</w:t>
      </w:r>
      <w:r>
        <w:rPr>
          <w:rFonts w:hint="eastAsia" w:asciiTheme="minorEastAsia" w:hAnsiTheme="minorEastAsia" w:eastAsiaTheme="minorEastAsia" w:cstheme="minorEastAsia"/>
          <w:color w:val="auto"/>
          <w:szCs w:val="24"/>
          <w:highlight w:val="none"/>
        </w:rPr>
        <w:t>元），增值税税金为¥</w:t>
      </w:r>
      <w:r>
        <w:rPr>
          <w:rFonts w:hint="eastAsia" w:asciiTheme="minorEastAsia" w:hAnsiTheme="minorEastAsia" w:eastAsiaTheme="minorEastAsia" w:cstheme="minorEastAsia"/>
          <w:color w:val="auto"/>
          <w:szCs w:val="24"/>
          <w:highlight w:val="none"/>
          <w:u w:val="single"/>
          <w:lang w:val="en-US" w:eastAsia="zh-CN"/>
        </w:rPr>
        <w:t>71009.17</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u w:val="single"/>
          <w:lang w:val="en-US" w:eastAsia="zh-CN"/>
        </w:rPr>
        <w:t>柒万壹仟零玖元壹角柒分</w:t>
      </w:r>
      <w:r>
        <w:rPr>
          <w:rFonts w:hint="default"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），税率</w:t>
      </w:r>
      <w:r>
        <w:rPr>
          <w:rFonts w:hint="eastAsia" w:asciiTheme="minorEastAsia" w:hAnsiTheme="minorEastAsia" w:eastAsiaTheme="minorEastAsia" w:cstheme="minorEastAsia"/>
          <w:color w:val="auto"/>
          <w:szCs w:val="24"/>
          <w:highlight w:val="none"/>
          <w:u w:val="single"/>
          <w:lang w:val="en-US" w:eastAsia="zh-CN"/>
        </w:rPr>
        <w:t>9</w:t>
      </w:r>
      <w:r>
        <w:rPr>
          <w:rFonts w:hint="eastAsia" w:asciiTheme="minorEastAsia" w:hAnsiTheme="minorEastAsia" w:eastAsiaTheme="minorEastAsia" w:cstheme="minorEastAsia"/>
          <w:color w:val="auto"/>
          <w:szCs w:val="24"/>
          <w:highlight w:val="none"/>
        </w:rPr>
        <w:t>%。详见附件《价格清单》。</w:t>
      </w:r>
    </w:p>
    <w:p w14:paraId="0651D585">
      <w:pPr>
        <w:numPr>
          <w:ilvl w:val="0"/>
          <w:numId w:val="8"/>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增值税税率说明： </w:t>
      </w:r>
    </w:p>
    <w:p w14:paraId="2B13DF24">
      <w:pPr>
        <w:numPr>
          <w:ilvl w:val="0"/>
          <w:numId w:val="9"/>
        </w:numPr>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合同价增值税税率按</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val="en-US" w:eastAsia="zh-CN"/>
        </w:rPr>
        <w:t xml:space="preserve">9 </w:t>
      </w:r>
      <w:r>
        <w:rPr>
          <w:rFonts w:hint="eastAsia" w:asciiTheme="minorEastAsia" w:hAnsiTheme="minorEastAsia" w:eastAsiaTheme="minorEastAsia" w:cstheme="minorEastAsia"/>
          <w:color w:val="auto"/>
          <w:highlight w:val="none"/>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14:paraId="11D1C4A5">
      <w:pPr>
        <w:numPr>
          <w:ilvl w:val="0"/>
          <w:numId w:val="9"/>
        </w:numPr>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如因乙方纳税资格变更引起增值税税率变化，风险由乙方自行承担（税率增加的，甲方仍按原税率支付税金；税率减小的，甲方按减小后的税率支付税金）。</w:t>
      </w:r>
    </w:p>
    <w:p w14:paraId="47BA83E4">
      <w:pPr>
        <w:numPr>
          <w:ilvl w:val="0"/>
          <w:numId w:val="2"/>
        </w:numPr>
        <w:wordWrap/>
        <w:topLinePunct w:val="0"/>
        <w:autoSpaceDE/>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工程价款支付采用</w:t>
      </w:r>
      <w:r>
        <w:rPr>
          <w:rFonts w:hint="eastAsia" w:asciiTheme="minorEastAsia" w:hAnsiTheme="minorEastAsia" w:eastAsiaTheme="minorEastAsia" w:cstheme="minorEastAsia"/>
          <w:b/>
          <w:bCs/>
          <w:color w:val="auto"/>
          <w:szCs w:val="24"/>
          <w:highlight w:val="none"/>
          <w:lang w:val="en-US" w:eastAsia="zh-CN"/>
        </w:rPr>
        <w:t>以下</w:t>
      </w:r>
      <w:r>
        <w:rPr>
          <w:rFonts w:hint="eastAsia" w:asciiTheme="minorEastAsia" w:hAnsiTheme="minorEastAsia" w:eastAsiaTheme="minorEastAsia" w:cstheme="minorEastAsia"/>
          <w:b/>
          <w:bCs/>
          <w:color w:val="auto"/>
          <w:szCs w:val="24"/>
          <w:highlight w:val="none"/>
        </w:rPr>
        <w:t>方式</w:t>
      </w:r>
    </w:p>
    <w:p w14:paraId="7CCB8004">
      <w:pPr>
        <w:numPr>
          <w:ilvl w:val="0"/>
          <w:numId w:val="0"/>
        </w:numPr>
        <w:kinsoku w:val="0"/>
        <w:wordWrap w:val="0"/>
        <w:topLinePunct/>
        <w:autoSpaceDE w:val="0"/>
        <w:spacing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bookmarkStart w:id="1" w:name="_GoBack"/>
      <w:r>
        <w:rPr>
          <w:rFonts w:hint="eastAsia" w:asciiTheme="minorEastAsia" w:hAnsiTheme="minorEastAsia" w:eastAsiaTheme="minorEastAsia" w:cstheme="minorEastAsia"/>
          <w:color w:val="auto"/>
          <w:sz w:val="24"/>
          <w:szCs w:val="24"/>
          <w:highlight w:val="none"/>
        </w:rPr>
        <w:t>本项目具体开工时间以甲方发出的书面通知为准，</w:t>
      </w:r>
      <w:r>
        <w:rPr>
          <w:rFonts w:hint="eastAsia" w:asciiTheme="minorEastAsia" w:hAnsiTheme="minorEastAsia" w:eastAsiaTheme="minorEastAsia" w:cstheme="minorEastAsia"/>
          <w:color w:val="auto"/>
          <w:sz w:val="24"/>
          <w:szCs w:val="24"/>
          <w:highlight w:val="none"/>
          <w:lang w:val="en-US" w:eastAsia="zh-CN"/>
        </w:rPr>
        <w:t>本工程按照形象进度节点</w:t>
      </w:r>
      <w:r>
        <w:rPr>
          <w:rFonts w:hint="eastAsia" w:asciiTheme="minorEastAsia" w:hAnsiTheme="minorEastAsia" w:eastAsiaTheme="minorEastAsia" w:cstheme="minorEastAsia"/>
          <w:color w:val="auto"/>
          <w:sz w:val="24"/>
          <w:szCs w:val="24"/>
          <w:highlight w:val="none"/>
          <w:lang w:eastAsia="zh-CN"/>
        </w:rPr>
        <w:t>付款。具体如下：</w:t>
      </w:r>
    </w:p>
    <w:p w14:paraId="457C8FEE">
      <w:pPr>
        <w:spacing w:line="360" w:lineRule="auto"/>
        <w:ind w:firstLine="480" w:firstLineChars="20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1</w:t>
      </w:r>
      <w:r>
        <w:rPr>
          <w:rFonts w:hint="eastAsia" w:ascii="宋体" w:hAnsi="宋体" w:cs="Times New Roman"/>
          <w:color w:val="auto"/>
          <w:highlight w:val="none"/>
          <w:lang w:val="en-US" w:eastAsia="zh-CN"/>
        </w:rPr>
        <w:t>.</w:t>
      </w:r>
      <w:r>
        <w:rPr>
          <w:rFonts w:hint="eastAsia" w:ascii="宋体" w:hAnsi="宋体" w:eastAsia="宋体" w:cs="Times New Roman"/>
          <w:color w:val="auto"/>
          <w:highlight w:val="none"/>
          <w:lang w:val="en-US" w:eastAsia="zh-CN"/>
        </w:rPr>
        <w:t>地暖试压回填施工完毕后，并经甲方、监理验收合格后支付至已完工程价款的80%；</w:t>
      </w:r>
    </w:p>
    <w:p w14:paraId="63E0968B">
      <w:pPr>
        <w:spacing w:line="360" w:lineRule="auto"/>
        <w:ind w:firstLineChars="200"/>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val="en-US" w:eastAsia="zh-CN"/>
        </w:rPr>
        <w:t>2</w:t>
      </w:r>
      <w:r>
        <w:rPr>
          <w:rFonts w:hint="eastAsia" w:ascii="宋体" w:hAnsi="宋体" w:cs="Times New Roman"/>
          <w:color w:val="auto"/>
          <w:highlight w:val="none"/>
          <w:lang w:val="en-US" w:eastAsia="zh-CN"/>
        </w:rPr>
        <w:t>.</w:t>
      </w:r>
      <w:r>
        <w:rPr>
          <w:rFonts w:hint="eastAsia" w:ascii="宋体" w:hAnsi="宋体" w:eastAsia="宋体" w:cs="Times New Roman"/>
          <w:color w:val="auto"/>
          <w:highlight w:val="none"/>
          <w:lang w:val="en-US" w:eastAsia="zh-CN"/>
        </w:rPr>
        <w:t>吊顶</w:t>
      </w:r>
      <w:r>
        <w:rPr>
          <w:rFonts w:hint="eastAsia" w:ascii="宋体" w:hAnsi="宋体" w:cs="Times New Roman"/>
          <w:color w:val="auto"/>
          <w:highlight w:val="none"/>
          <w:lang w:val="en-US" w:eastAsia="zh-CN"/>
        </w:rPr>
        <w:t>（不含乳胶漆）</w:t>
      </w:r>
      <w:r>
        <w:rPr>
          <w:rFonts w:hint="eastAsia" w:ascii="宋体" w:hAnsi="宋体" w:eastAsia="宋体" w:cs="Times New Roman"/>
          <w:color w:val="auto"/>
          <w:highlight w:val="none"/>
          <w:lang w:val="en-US" w:eastAsia="zh-CN"/>
        </w:rPr>
        <w:t>、墙地面铺装完成</w:t>
      </w:r>
      <w:r>
        <w:rPr>
          <w:rFonts w:hint="eastAsia" w:ascii="宋体" w:hAnsi="宋体" w:eastAsia="宋体" w:cs="Times New Roman"/>
          <w:color w:val="auto"/>
          <w:highlight w:val="none"/>
          <w:lang w:eastAsia="zh-CN"/>
        </w:rPr>
        <w:t>后，</w:t>
      </w:r>
      <w:r>
        <w:rPr>
          <w:rFonts w:hint="eastAsia" w:ascii="宋体" w:hAnsi="宋体" w:eastAsia="宋体" w:cs="Times New Roman"/>
          <w:color w:val="auto"/>
          <w:highlight w:val="none"/>
          <w:lang w:val="en-US" w:eastAsia="zh-CN"/>
        </w:rPr>
        <w:t>并经甲方、监理验收合格后支付至已完工程价款的80%</w:t>
      </w:r>
      <w:r>
        <w:rPr>
          <w:rFonts w:hint="eastAsia" w:ascii="宋体" w:hAnsi="宋体" w:eastAsia="宋体" w:cs="Times New Roman"/>
          <w:color w:val="auto"/>
          <w:highlight w:val="none"/>
          <w:lang w:eastAsia="zh-CN"/>
        </w:rPr>
        <w:t>；</w:t>
      </w:r>
    </w:p>
    <w:p w14:paraId="47691865">
      <w:pPr>
        <w:spacing w:line="360" w:lineRule="auto"/>
        <w:ind w:firstLine="480" w:firstLineChars="20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3</w:t>
      </w:r>
      <w:r>
        <w:rPr>
          <w:rFonts w:hint="eastAsia" w:ascii="宋体" w:hAnsi="宋体" w:cs="Times New Roman"/>
          <w:color w:val="auto"/>
          <w:highlight w:val="none"/>
          <w:lang w:val="en-US" w:eastAsia="zh-CN"/>
        </w:rPr>
        <w:t>.</w:t>
      </w:r>
      <w:r>
        <w:rPr>
          <w:rFonts w:hint="eastAsia" w:ascii="宋体" w:hAnsi="宋体" w:eastAsia="宋体" w:cs="Times New Roman"/>
          <w:color w:val="auto"/>
          <w:highlight w:val="none"/>
          <w:lang w:val="en-US" w:eastAsia="zh-CN"/>
        </w:rPr>
        <w:t>卫生洁具（含浴室柜）、厨房烟机灶具、洗菜盆等到场后，并经甲方、监理验收合格后支付至到货价款的80%；</w:t>
      </w:r>
    </w:p>
    <w:p w14:paraId="3EB9CE64">
      <w:pPr>
        <w:spacing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宋体" w:hAnsi="宋体" w:eastAsia="宋体" w:cs="Times New Roman"/>
          <w:color w:val="auto"/>
          <w:highlight w:val="none"/>
          <w:lang w:val="en-US" w:eastAsia="zh-CN"/>
        </w:rPr>
        <w:t>4</w:t>
      </w:r>
      <w:r>
        <w:rPr>
          <w:rFonts w:hint="eastAsia" w:ascii="宋体" w:hAnsi="宋体" w:cs="Times New Roman"/>
          <w:color w:val="auto"/>
          <w:highlight w:val="none"/>
          <w:lang w:val="en-US" w:eastAsia="zh-CN"/>
        </w:rPr>
        <w:t>.</w:t>
      </w:r>
      <w:r>
        <w:rPr>
          <w:rFonts w:hint="eastAsia" w:ascii="宋体" w:hAnsi="宋体" w:eastAsia="宋体" w:cs="Times New Roman"/>
          <w:color w:val="auto"/>
          <w:highlight w:val="none"/>
          <w:lang w:eastAsia="zh-CN"/>
        </w:rPr>
        <w:t>全部施工完成，并经甲方、监理验收合格后，支付</w:t>
      </w:r>
      <w:r>
        <w:rPr>
          <w:rFonts w:hint="eastAsia" w:ascii="宋体" w:hAnsi="宋体" w:eastAsia="宋体" w:cs="Times New Roman"/>
          <w:color w:val="auto"/>
          <w:highlight w:val="none"/>
          <w:lang w:val="en-US" w:eastAsia="zh-CN"/>
        </w:rPr>
        <w:t>至已完工程价款的85%</w:t>
      </w:r>
      <w:r>
        <w:rPr>
          <w:rFonts w:hint="eastAsia" w:ascii="宋体" w:hAnsi="宋体" w:eastAsia="宋体" w:cs="Times New Roman"/>
          <w:color w:val="auto"/>
          <w:highlight w:val="none"/>
          <w:lang w:eastAsia="zh-CN"/>
        </w:rPr>
        <w:t>；</w:t>
      </w:r>
    </w:p>
    <w:p w14:paraId="1DA0E76D">
      <w:pPr>
        <w:numPr>
          <w:ilvl w:val="0"/>
          <w:numId w:val="0"/>
        </w:numPr>
        <w:kinsoku w:val="0"/>
        <w:wordWrap w:val="0"/>
        <w:topLinePunct/>
        <w:autoSpaceDE w:val="0"/>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eastAsia="zh-CN"/>
        </w:rPr>
        <w:t>配合甲方完成</w:t>
      </w:r>
      <w:r>
        <w:rPr>
          <w:rFonts w:hint="eastAsia" w:asciiTheme="minorEastAsia" w:hAnsiTheme="minorEastAsia" w:eastAsiaTheme="minorEastAsia" w:cstheme="minorEastAsia"/>
          <w:color w:val="auto"/>
          <w:sz w:val="24"/>
          <w:szCs w:val="24"/>
          <w:highlight w:val="none"/>
        </w:rPr>
        <w:t>结算后，支付至</w:t>
      </w:r>
      <w:r>
        <w:rPr>
          <w:rFonts w:hint="eastAsia" w:asciiTheme="minorEastAsia" w:hAnsiTheme="minorEastAsia" w:eastAsiaTheme="minorEastAsia" w:cstheme="minorEastAsia"/>
          <w:color w:val="auto"/>
          <w:sz w:val="24"/>
          <w:szCs w:val="24"/>
          <w:highlight w:val="none"/>
          <w:lang w:eastAsia="zh-CN"/>
        </w:rPr>
        <w:t>整个工程</w:t>
      </w:r>
      <w:r>
        <w:rPr>
          <w:rFonts w:hint="eastAsia" w:asciiTheme="minorEastAsia" w:hAnsiTheme="minorEastAsia" w:eastAsiaTheme="minorEastAsia" w:cstheme="minorEastAsia"/>
          <w:color w:val="auto"/>
          <w:sz w:val="24"/>
          <w:szCs w:val="24"/>
          <w:highlight w:val="none"/>
        </w:rPr>
        <w:t>结算金额的97%。</w:t>
      </w:r>
    </w:p>
    <w:p w14:paraId="33B23952">
      <w:pPr>
        <w:numPr>
          <w:ilvl w:val="-1"/>
          <w:numId w:val="0"/>
        </w:numPr>
        <w:kinsoku w:val="0"/>
        <w:wordWrap w:val="0"/>
        <w:topLinePunct/>
        <w:autoSpaceDE w:val="0"/>
        <w:spacing w:line="360" w:lineRule="auto"/>
        <w:ind w:left="0"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lang w:eastAsia="zh-CN"/>
        </w:rPr>
        <w:t>工程</w:t>
      </w:r>
      <w:r>
        <w:rPr>
          <w:rFonts w:hint="eastAsia" w:asciiTheme="minorEastAsia" w:hAnsiTheme="minorEastAsia" w:eastAsiaTheme="minorEastAsia" w:cstheme="minorEastAsia"/>
          <w:color w:val="auto"/>
          <w:sz w:val="24"/>
          <w:szCs w:val="24"/>
          <w:highlight w:val="none"/>
        </w:rPr>
        <w:t>剩余金额（即结算金额的3%）留为质保金。</w:t>
      </w:r>
      <w:r>
        <w:rPr>
          <w:rFonts w:hint="eastAsia" w:asciiTheme="minorEastAsia" w:hAnsiTheme="minorEastAsia" w:eastAsiaTheme="minorEastAsia" w:cstheme="minorEastAsia"/>
          <w:color w:val="auto"/>
          <w:sz w:val="24"/>
          <w:szCs w:val="24"/>
          <w:highlight w:val="none"/>
          <w:lang w:eastAsia="zh-CN"/>
        </w:rPr>
        <w:t>工程</w:t>
      </w:r>
      <w:r>
        <w:rPr>
          <w:rFonts w:hint="eastAsia" w:asciiTheme="minorEastAsia" w:hAnsiTheme="minorEastAsia" w:eastAsiaTheme="minorEastAsia" w:cstheme="minorEastAsia"/>
          <w:color w:val="auto"/>
          <w:sz w:val="24"/>
          <w:szCs w:val="24"/>
          <w:highlight w:val="none"/>
        </w:rPr>
        <w:t>质保期为2年，自工程全部施工完成，</w:t>
      </w:r>
      <w:r>
        <w:rPr>
          <w:rFonts w:hint="eastAsia" w:asciiTheme="minorEastAsia" w:hAnsiTheme="minorEastAsia" w:eastAsiaTheme="minorEastAsia" w:cstheme="minorEastAsia"/>
          <w:color w:val="auto"/>
          <w:sz w:val="24"/>
          <w:szCs w:val="24"/>
          <w:highlight w:val="none"/>
          <w:lang w:eastAsia="zh-CN"/>
        </w:rPr>
        <w:t>并</w:t>
      </w:r>
      <w:r>
        <w:rPr>
          <w:rFonts w:hint="eastAsia" w:asciiTheme="minorEastAsia" w:hAnsiTheme="minorEastAsia" w:eastAsiaTheme="minorEastAsia" w:cstheme="minorEastAsia"/>
          <w:color w:val="auto"/>
          <w:sz w:val="24"/>
          <w:szCs w:val="24"/>
          <w:highlight w:val="none"/>
        </w:rPr>
        <w:t>经甲方、监理及相关部门验收合格之日起开始计算。</w:t>
      </w:r>
      <w:bookmarkEnd w:id="1"/>
      <w:r>
        <w:rPr>
          <w:rFonts w:hint="eastAsia" w:asciiTheme="minorEastAsia" w:hAnsiTheme="minorEastAsia" w:eastAsiaTheme="minorEastAsia" w:cstheme="minorEastAsia"/>
          <w:color w:val="auto"/>
          <w:szCs w:val="24"/>
          <w:highlight w:val="none"/>
        </w:rPr>
        <w:t>质保期满且无质量问题无息退还剩余款项（若有）。质保期内，如因工程质量问题、用料质量问题、维修或乙方其他违约行为等导致乙方存在应支付未支付款项或甲方代乙方支出的款项的，甲方有权在工程质保金中直接扣除，质保金不足以弥补甲方损失的，乙方应负责赔偿，因此导致工程质保金低于3%，乙方应在收到甲方补足通知之日起3日内予以补足。</w:t>
      </w:r>
    </w:p>
    <w:p w14:paraId="6336F069">
      <w:pPr>
        <w:numPr>
          <w:ilvl w:val="-1"/>
          <w:numId w:val="0"/>
        </w:numPr>
        <w:spacing w:line="360" w:lineRule="auto"/>
        <w:ind w:left="240" w:firstLine="0"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7.</w:t>
      </w:r>
      <w:r>
        <w:rPr>
          <w:rFonts w:hint="eastAsia" w:asciiTheme="minorEastAsia" w:hAnsiTheme="minorEastAsia" w:eastAsiaTheme="minorEastAsia" w:cstheme="minorEastAsia"/>
          <w:color w:val="auto"/>
          <w:szCs w:val="24"/>
          <w:highlight w:val="none"/>
        </w:rPr>
        <w:t>每次付款前，乙方应按甲方要求出具合法有效的增值税专用发票，否则甲方有权延迟付款。当甲方向乙方累计支付款项至本合同结算值的97％时，乙方须向甲方开具结算金额100％的合法有效的增值税专用发票，否则甲方除扣留质保金外，还有权延迟支付该批次工程款且不视为违约。乙方应在开票之后5个工作日内将发票送达甲方，甲方签收发票的日期为发票的送达日期。</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ab/>
      </w:r>
    </w:p>
    <w:p w14:paraId="504A1D0D">
      <w:pPr>
        <w:numPr>
          <w:ilvl w:val="-1"/>
          <w:numId w:val="0"/>
        </w:numPr>
        <w:spacing w:line="360" w:lineRule="auto"/>
        <w:ind w:left="240" w:firstLine="0"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8.</w:t>
      </w:r>
      <w:r>
        <w:rPr>
          <w:rFonts w:hint="eastAsia" w:asciiTheme="minorEastAsia" w:hAnsiTheme="minorEastAsia" w:eastAsiaTheme="minorEastAsia" w:cstheme="minorEastAsia"/>
          <w:color w:val="auto"/>
          <w:szCs w:val="24"/>
          <w:highlight w:val="none"/>
        </w:rPr>
        <w:t>乙方应提供合规发票，乙方开具发票不合规时出现税务问题，乙方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14:paraId="25EBE8F7">
      <w:pPr>
        <w:numPr>
          <w:ilvl w:val="-1"/>
          <w:numId w:val="0"/>
        </w:numPr>
        <w:spacing w:line="360" w:lineRule="auto"/>
        <w:ind w:left="240" w:firstLine="0"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9.</w:t>
      </w:r>
      <w:r>
        <w:rPr>
          <w:rFonts w:hint="eastAsia" w:asciiTheme="minorEastAsia" w:hAnsiTheme="minorEastAsia" w:eastAsiaTheme="minorEastAsia" w:cstheme="minorEastAsia"/>
          <w:color w:val="auto"/>
          <w:szCs w:val="24"/>
          <w:highlight w:val="none"/>
        </w:rPr>
        <w:t>对发票不合规的约定：</w:t>
      </w:r>
    </w:p>
    <w:p w14:paraId="5B1C29FC">
      <w:pPr>
        <w:numPr>
          <w:ilvl w:val="0"/>
          <w:numId w:val="10"/>
        </w:numPr>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乙方提供的发票为增值税专用发票的，因乙方迟延送达、开具错误等原因导致其提供的增值税专用发票没有通过税务部门认证，造成甲方不能抵扣的，甲方有权拒绝接收。</w:t>
      </w:r>
    </w:p>
    <w:p w14:paraId="3A8933DA">
      <w:pPr>
        <w:numPr>
          <w:ilvl w:val="0"/>
          <w:numId w:val="10"/>
        </w:numPr>
        <w:spacing w:line="360" w:lineRule="auto"/>
        <w:ind w:left="905" w:hanging="425" w:firstLineChars="0"/>
        <w:rPr>
          <w:rFonts w:hint="default" w:asciiTheme="minorEastAsia" w:hAnsiTheme="minorEastAsia" w:eastAsiaTheme="minorEastAsia" w:cstheme="minorEastAsia"/>
          <w:color w:val="auto"/>
          <w:highlight w:val="none"/>
        </w:rPr>
      </w:pPr>
      <w:r>
        <w:rPr>
          <w:rFonts w:hint="default" w:asciiTheme="minorEastAsia" w:hAnsiTheme="minorEastAsia" w:eastAsiaTheme="minorEastAsia" w:cstheme="minorEastAsia"/>
          <w:color w:val="auto"/>
          <w:highlight w:val="none"/>
        </w:rPr>
        <w:t>乙方开具虚假、作废等无效发票或者违反国家法律法规开具、提供发票的，乙方应自行承担相应法律责任，赔偿由此给甲方造成的全部损失并应向甲方支付合同总价20% 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14:paraId="20ACAC6D">
      <w:pPr>
        <w:numPr>
          <w:ilvl w:val="-1"/>
          <w:numId w:val="0"/>
        </w:numPr>
        <w:spacing w:line="360" w:lineRule="auto"/>
        <w:ind w:left="240" w:firstLine="0"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10.</w:t>
      </w:r>
      <w:r>
        <w:rPr>
          <w:rFonts w:hint="eastAsia" w:asciiTheme="minorEastAsia" w:hAnsiTheme="minorEastAsia" w:eastAsiaTheme="minorEastAsia" w:cstheme="minorEastAsia"/>
          <w:color w:val="auto"/>
          <w:szCs w:val="24"/>
          <w:highlight w:val="none"/>
        </w:rPr>
        <w:t>其他税务风险的合同约定：</w:t>
      </w:r>
    </w:p>
    <w:p w14:paraId="655F5B48">
      <w:pPr>
        <w:numPr>
          <w:ilvl w:val="0"/>
          <w:numId w:val="11"/>
        </w:numPr>
        <w:spacing w:line="360" w:lineRule="auto"/>
        <w:ind w:left="905" w:hanging="425" w:firstLineChars="0"/>
        <w:rPr>
          <w:rFonts w:hint="default" w:asciiTheme="minorEastAsia" w:hAnsiTheme="minorEastAsia" w:eastAsiaTheme="minorEastAsia" w:cstheme="minorEastAsia"/>
          <w:color w:val="auto"/>
          <w:highlight w:val="none"/>
        </w:rPr>
      </w:pPr>
      <w:r>
        <w:rPr>
          <w:rFonts w:hint="default" w:asciiTheme="minorEastAsia" w:hAnsiTheme="minorEastAsia" w:eastAsiaTheme="minorEastAsia" w:cstheme="minorEastAsia"/>
          <w:color w:val="auto"/>
          <w:highlight w:val="none"/>
        </w:rPr>
        <w:t>如果甲方丢失增值税专用发票联和抵扣联，乙方应向甲方提供专用发票记账联复印件，并加盖乙方发票专用章。</w:t>
      </w:r>
    </w:p>
    <w:p w14:paraId="7E702F0D">
      <w:pPr>
        <w:numPr>
          <w:ilvl w:val="0"/>
          <w:numId w:val="11"/>
        </w:numPr>
        <w:spacing w:line="360" w:lineRule="auto"/>
        <w:ind w:left="905" w:hanging="425" w:firstLineChars="0"/>
        <w:rPr>
          <w:rFonts w:hint="default" w:asciiTheme="minorEastAsia" w:hAnsiTheme="minorEastAsia" w:eastAsiaTheme="minorEastAsia" w:cstheme="minorEastAsia"/>
          <w:color w:val="auto"/>
          <w:highlight w:val="none"/>
        </w:rPr>
      </w:pPr>
      <w:r>
        <w:rPr>
          <w:rFonts w:hint="default" w:asciiTheme="minorEastAsia" w:hAnsiTheme="minorEastAsia" w:eastAsiaTheme="minorEastAsia" w:cstheme="minorEastAsia"/>
          <w:color w:val="auto"/>
          <w:highlight w:val="none"/>
        </w:rPr>
        <w:t>如果获得开具的汇总专用发票，则乙方应提供其防伪税控系统开具的《销售货物或者提供应税劳务清单》，并加盖发票专用章。</w:t>
      </w:r>
    </w:p>
    <w:p w14:paraId="47B7D707">
      <w:pPr>
        <w:numPr>
          <w:ilvl w:val="-1"/>
          <w:numId w:val="0"/>
        </w:numPr>
        <w:spacing w:line="360" w:lineRule="auto"/>
        <w:ind w:left="240" w:firstLine="0"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11.</w:t>
      </w:r>
      <w:r>
        <w:rPr>
          <w:rFonts w:hint="eastAsia" w:asciiTheme="minorEastAsia" w:hAnsiTheme="minorEastAsia" w:eastAsiaTheme="minorEastAsia" w:cstheme="minorEastAsia"/>
          <w:color w:val="auto"/>
          <w:szCs w:val="24"/>
          <w:highlight w:val="none"/>
        </w:rPr>
        <w:t>真实发生且合理合规的设计变更、现场签证事项，在按甲方制度审批完成后的次月随节点进度款进行付款（每次具备支付条件的签证变更金额累计金额需超过3万元，累计已审批变更签证金额不足3万元时依次滚动到下节点，甲方内部流程显示为审批中或未发起审批的金额不具备支付条件）；支付比例为流程已审批完成且已确认金额的80%，剩余20%于竣工结算后支付。</w:t>
      </w:r>
    </w:p>
    <w:p w14:paraId="6B788634">
      <w:pPr>
        <w:keepNext w:val="0"/>
        <w:keepLines w:val="0"/>
        <w:numPr>
          <w:ilvl w:val="0"/>
          <w:numId w:val="2"/>
        </w:numPr>
        <w:spacing w:line="360" w:lineRule="auto"/>
        <w:ind w:left="-420" w:firstLine="42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甲方现场移交标准</w:t>
      </w:r>
    </w:p>
    <w:p w14:paraId="6D230032">
      <w:pPr>
        <w:numPr>
          <w:ilvl w:val="0"/>
          <w:numId w:val="12"/>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本工程移交界面为工地现状条件，且乙方已充分踏勘现场，对工地现状条件下施工所需的措施费等相关费用已综合考虑在固定合同总价内。</w:t>
      </w:r>
    </w:p>
    <w:p w14:paraId="7B3BABC4">
      <w:pPr>
        <w:numPr>
          <w:ilvl w:val="0"/>
          <w:numId w:val="12"/>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甲方只负责告知施工现场堆放材料的场地，乙方自行解决施工及管理人员住宿办公场所，由此产生的费用由乙方自行承担。</w:t>
      </w:r>
    </w:p>
    <w:p w14:paraId="3A6BF33B">
      <w:pPr>
        <w:numPr>
          <w:ilvl w:val="0"/>
          <w:numId w:val="12"/>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甲方告知水源电源接驳点，接驳工作及接驳费用、施工过程中产生的水电费用由乙方承担。</w:t>
      </w:r>
    </w:p>
    <w:p w14:paraId="559ED820">
      <w:pPr>
        <w:numPr>
          <w:ilvl w:val="0"/>
          <w:numId w:val="2"/>
        </w:numPr>
        <w:wordWrap w:val="0"/>
        <w:topLinePunct/>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材料供应要求：</w:t>
      </w:r>
    </w:p>
    <w:p w14:paraId="36184418">
      <w:pPr>
        <w:numPr>
          <w:ilvl w:val="0"/>
          <w:numId w:val="13"/>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由乙方自行选择供货商进行采购的材料：由乙方采购前按照甲方确认的设计图纸及定标封样要求注明的颜色、质量、质感、规格、品牌等送实物样品（所有饰面材料）供甲方确认，经甲方、监理书面确认后，作为施工实物样板封存甲方，并由乙方按甲方确认的施工实物样板自行采购。</w:t>
      </w:r>
    </w:p>
    <w:p w14:paraId="54A3DCA6">
      <w:pPr>
        <w:numPr>
          <w:ilvl w:val="0"/>
          <w:numId w:val="13"/>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在施工时材料在进场前必须先经甲方书面认可后方能进场，否则甲方有权清退相关材料，由此产生的费用由乙方承担。甲方有权自主决定是否改为甲供材料，乙方对此不能有任何异议； </w:t>
      </w:r>
    </w:p>
    <w:p w14:paraId="06FBB3DE">
      <w:pPr>
        <w:numPr>
          <w:ilvl w:val="0"/>
          <w:numId w:val="13"/>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所使用的材料必须保证合格证书等资料齐全，保证材料通过消防等主管部门的检验检测并承担相关费用且提交相应检测报告，因材料不合格造成费用等损失均由乙方承担。同时，乙方采购材料必须符合国家、河南省及洛阳市的环保标准，选用板材必须达到E1级环保级别及达到洛阳市环保主管部门的标准。</w:t>
      </w:r>
    </w:p>
    <w:p w14:paraId="5EED1A93">
      <w:pPr>
        <w:numPr>
          <w:ilvl w:val="0"/>
          <w:numId w:val="13"/>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在购置设备及材料前必须经甲方、监理书面认可后方可采购。乙方采购的设备、材料等在进场前要先向甲方和监理方填报《材料、设备进场报验单》，经甲方和监理验收合格并书面签证认可后方能进场，且使用前应按有关规定进行自检或按甲方要求进行检验或试验，不合格的不得使用，检验或试验费用由乙方承担。甲方的认可及/或签证并不视为对乙方供应设备及材料的质量合格的认可，也不因此免除乙方对设备及材料的质量瑕疵担保的责任。未经甲方和监理工程师检查认可的设备、材料不得进场；已进场但自检或甲方检验不合格的设备、材料应清退出场，由此造成的责任及损失由乙方负责。</w:t>
      </w:r>
    </w:p>
    <w:p w14:paraId="5D182FA2">
      <w:pPr>
        <w:numPr>
          <w:ilvl w:val="0"/>
          <w:numId w:val="13"/>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工程承包范围内使用的全部设备、材料及产品必须满足合格品规定，满足国家标准和行业标准，并符合洛阳市质量部门对建筑设备、材料及产品的具体要求，坚持三证（合格证，材质书，出厂检验报告）齐全，有规定要求的材料必须检测或复试合格后方可使用。同时因乙方所使用的建筑材料存在的包括但不限于质量问题造成建筑物环境污染超过国家或洛阳市允许标准，由乙方负责处理并承担因此而造成的相应经济损失。</w:t>
      </w:r>
    </w:p>
    <w:p w14:paraId="4962BC42">
      <w:pPr>
        <w:numPr>
          <w:ilvl w:val="0"/>
          <w:numId w:val="13"/>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采购的材料设备品牌（合同内有具体材料设备品牌约定的材料），未经甲方许可，乙方不得擅自更换品牌；若乙方擅自更换采购的材料设备不符合合同约定的品牌、厂家、产地、材质、工艺、规格、型号等标准或者存在“假冒伪劣”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三倍金额另行向甲方支付惩罚性赔偿（该惩罚性赔偿不足伍万元的，按伍万元计）。若乙方要求更换合同约定材料品牌，须乙方书面申请并经甲方书面审批通过，更换材料应确保与原品牌同等档次，更换材料后甲方保留价格调整的权利（即：引起价格调增的部分甲方不予调整，价格调减的部分甲方可据实调减）。</w:t>
      </w:r>
    </w:p>
    <w:p w14:paraId="20834541">
      <w:pPr>
        <w:numPr>
          <w:ilvl w:val="0"/>
          <w:numId w:val="13"/>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材料品牌约定详见附件三《材料品牌表》。</w:t>
      </w:r>
    </w:p>
    <w:p w14:paraId="1862BFE1">
      <w:pPr>
        <w:numPr>
          <w:ilvl w:val="0"/>
          <w:numId w:val="2"/>
        </w:numPr>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工程质量要求</w:t>
      </w:r>
    </w:p>
    <w:p w14:paraId="07E10DA8">
      <w:pPr>
        <w:numPr>
          <w:ilvl w:val="0"/>
          <w:numId w:val="1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施工质量标准：合格。全部工程（包括材料、工艺等）应符合按合同约定、设计图纸及现行的国家相关行业及工程所在地的技术规范及质量验收评定标准，具体评定标准及奖罚条例如下：</w:t>
      </w:r>
    </w:p>
    <w:p w14:paraId="31DF621E">
      <w:pPr>
        <w:numPr>
          <w:ilvl w:val="0"/>
          <w:numId w:val="15"/>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按照有关验收规范和国家标准执行，工程质量为合格。</w:t>
      </w:r>
    </w:p>
    <w:p w14:paraId="3A2801F7">
      <w:pPr>
        <w:numPr>
          <w:ilvl w:val="0"/>
          <w:numId w:val="15"/>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不合格工程不予验收和结算，且乙方应赔偿甲方因此遭受的一切损失。</w:t>
      </w:r>
    </w:p>
    <w:p w14:paraId="3AB57D4A">
      <w:pPr>
        <w:numPr>
          <w:ilvl w:val="0"/>
          <w:numId w:val="1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工程质量控制要求：所有装修装饰工程必须达到设计图纸和国家现行施工规范的技术要求。工程质量达不到要求的应予以免费返工，直到达到要求为止，若由此而造成的损失和工程逾期的，由乙方负责。</w:t>
      </w:r>
    </w:p>
    <w:p w14:paraId="54EDDBDD">
      <w:pPr>
        <w:numPr>
          <w:ilvl w:val="0"/>
          <w:numId w:val="1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工程质量必须符合设计图纸及相应设计文件的要求，验收标准执行现行国家质量验收及施工规范和地方行政管理部门制定的规范文件。</w:t>
      </w:r>
    </w:p>
    <w:p w14:paraId="10CA4DE1">
      <w:pPr>
        <w:numPr>
          <w:ilvl w:val="0"/>
          <w:numId w:val="1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工程材料与设备应符合国家质量标准和环保标准，按照设计图纸及施工规范、验收规范组织进货，且应“三证”齐全。材料进场后，甲方有权按规定分批号进行抽检，复检合格经甲方认可后方可使用，抽检产生的费用由乙方承担（若有）。   </w:t>
      </w:r>
    </w:p>
    <w:p w14:paraId="04565E99">
      <w:pPr>
        <w:numPr>
          <w:ilvl w:val="0"/>
          <w:numId w:val="1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乙方在施工现场组织施工时应做好现场成品保护工作，禁止私自拆除或破坏现有成品。如必须拆除或改变需书面报请甲方同意。成品保护需满足附件六《成品保护标准》中对应的要求。</w:t>
      </w:r>
    </w:p>
    <w:p w14:paraId="57F0DABD">
      <w:pPr>
        <w:numPr>
          <w:ilvl w:val="0"/>
          <w:numId w:val="1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如果发生以下情形，甲方有权要求整改，情节严重的甲方有权解除合同，由此造成的损失乙方承担：</w:t>
      </w:r>
    </w:p>
    <w:p w14:paraId="2E6F3C70">
      <w:pPr>
        <w:numPr>
          <w:ilvl w:val="0"/>
          <w:numId w:val="16"/>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不按合同约定的要求施工；</w:t>
      </w:r>
    </w:p>
    <w:p w14:paraId="01A49669">
      <w:pPr>
        <w:numPr>
          <w:ilvl w:val="0"/>
          <w:numId w:val="16"/>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违反正常施工程序、施工工艺进行野蛮施工；</w:t>
      </w:r>
    </w:p>
    <w:p w14:paraId="519E645A">
      <w:pPr>
        <w:numPr>
          <w:ilvl w:val="0"/>
          <w:numId w:val="16"/>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施工质量、安全、环保等达不到有关要求；</w:t>
      </w:r>
    </w:p>
    <w:p w14:paraId="4255646D">
      <w:pPr>
        <w:numPr>
          <w:ilvl w:val="0"/>
          <w:numId w:val="16"/>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施工材料不符合本合同规定的品牌或材质的。</w:t>
      </w:r>
    </w:p>
    <w:p w14:paraId="3360DE48">
      <w:pPr>
        <w:numPr>
          <w:ilvl w:val="0"/>
          <w:numId w:val="1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施工厂区每项工序需做到工完料清。</w:t>
      </w:r>
    </w:p>
    <w:p w14:paraId="3A42B55B">
      <w:pPr>
        <w:numPr>
          <w:ilvl w:val="0"/>
          <w:numId w:val="1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技术标准：材料满足国家或相关行业的强制性质量标准；无强制性标准的应以样品或双方约定的标准为准（包括图纸、样品）等，图纸及样品必须经双方签认并妥善封存，并具有国家认可机构出具的与每批石材、铝板相对应有效期限内的有效质量检验合格报告。同时，如国家标准、行业标准及企业内控标准不一致时，以其中较高的标准为准。</w:t>
      </w:r>
    </w:p>
    <w:p w14:paraId="6122915C">
      <w:pPr>
        <w:numPr>
          <w:ilvl w:val="0"/>
          <w:numId w:val="1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国家现行的有关规范、法规及行业标准；</w:t>
      </w:r>
    </w:p>
    <w:p w14:paraId="5724FAB9">
      <w:pPr>
        <w:numPr>
          <w:ilvl w:val="0"/>
          <w:numId w:val="1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应采用的主要设计、施工、检验、评定标准。</w:t>
      </w:r>
    </w:p>
    <w:p w14:paraId="7755DAFE">
      <w:pPr>
        <w:numPr>
          <w:ilvl w:val="0"/>
          <w:numId w:val="17"/>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《建筑工程施工质量验收统一标准》GB50300-2013</w:t>
      </w:r>
    </w:p>
    <w:p w14:paraId="0D57058D">
      <w:pPr>
        <w:numPr>
          <w:ilvl w:val="0"/>
          <w:numId w:val="17"/>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《建筑工程质量验收规范》GB50210-2018</w:t>
      </w:r>
    </w:p>
    <w:p w14:paraId="01815316">
      <w:pPr>
        <w:numPr>
          <w:ilvl w:val="0"/>
          <w:numId w:val="17"/>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与本工程有关的技术规范和验收标准</w:t>
      </w:r>
    </w:p>
    <w:p w14:paraId="7740FA73">
      <w:pPr>
        <w:numPr>
          <w:ilvl w:val="0"/>
          <w:numId w:val="18"/>
        </w:numPr>
        <w:spacing w:line="360" w:lineRule="auto"/>
        <w:ind w:left="114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《建筑工程施工质量验收统一标准》GB50300-2013</w:t>
      </w:r>
    </w:p>
    <w:p w14:paraId="2C2E6477">
      <w:pPr>
        <w:numPr>
          <w:ilvl w:val="0"/>
          <w:numId w:val="18"/>
        </w:numPr>
        <w:spacing w:line="360" w:lineRule="auto"/>
        <w:ind w:left="114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《建筑工程质量验收规范》GB50210-2018</w:t>
      </w:r>
    </w:p>
    <w:p w14:paraId="5177EA81">
      <w:pPr>
        <w:numPr>
          <w:ilvl w:val="0"/>
          <w:numId w:val="18"/>
        </w:numPr>
        <w:spacing w:line="360" w:lineRule="auto"/>
        <w:ind w:left="114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《住宅装饰装修工程施工规范》GB50327-2001 </w:t>
      </w:r>
    </w:p>
    <w:p w14:paraId="613EACDD">
      <w:pPr>
        <w:numPr>
          <w:ilvl w:val="0"/>
          <w:numId w:val="1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其他施工及验收规范、质量检验评定标准：</w:t>
      </w:r>
    </w:p>
    <w:p w14:paraId="5ACA8DE2">
      <w:pPr>
        <w:numPr>
          <w:ilvl w:val="0"/>
          <w:numId w:val="19"/>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《砌体工程施工质量验收规范》GB50203--2019</w:t>
      </w:r>
    </w:p>
    <w:p w14:paraId="31CEA1EC">
      <w:pPr>
        <w:numPr>
          <w:ilvl w:val="0"/>
          <w:numId w:val="19"/>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《混凝土工程施工质量验收规范》GB50204—2015</w:t>
      </w:r>
    </w:p>
    <w:p w14:paraId="10F1F843">
      <w:pPr>
        <w:numPr>
          <w:ilvl w:val="0"/>
          <w:numId w:val="19"/>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《建筑电气工程施工质量验收规范》GB50303—2015</w:t>
      </w:r>
    </w:p>
    <w:p w14:paraId="728C64E6">
      <w:pPr>
        <w:numPr>
          <w:ilvl w:val="0"/>
          <w:numId w:val="19"/>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《河南省工程建设标准设计》12YJ</w:t>
      </w:r>
    </w:p>
    <w:p w14:paraId="3B287E71">
      <w:pPr>
        <w:numPr>
          <w:ilvl w:val="0"/>
          <w:numId w:val="19"/>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《建筑施工安全检查标准》JGJ59-2011</w:t>
      </w:r>
    </w:p>
    <w:p w14:paraId="7A247ABF">
      <w:pPr>
        <w:numPr>
          <w:ilvl w:val="0"/>
          <w:numId w:val="19"/>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《施工现场临时用电安全技术规范》JGJ46-2005</w:t>
      </w:r>
    </w:p>
    <w:p w14:paraId="69C2F1DC">
      <w:pPr>
        <w:numPr>
          <w:ilvl w:val="0"/>
          <w:numId w:val="19"/>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《建筑涂饰工程施工及验收规程》JGJ/T29-2003</w:t>
      </w:r>
    </w:p>
    <w:p w14:paraId="765051B2">
      <w:pPr>
        <w:numPr>
          <w:ilvl w:val="0"/>
          <w:numId w:val="19"/>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《建筑装饰装修工程质量验收规范》GB50210-2018</w:t>
      </w:r>
    </w:p>
    <w:p w14:paraId="414429D2">
      <w:pPr>
        <w:numPr>
          <w:ilvl w:val="0"/>
          <w:numId w:val="19"/>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《安全防范工程技术规范》GB50348-2018</w:t>
      </w:r>
    </w:p>
    <w:p w14:paraId="75E39509">
      <w:pPr>
        <w:numPr>
          <w:ilvl w:val="0"/>
          <w:numId w:val="19"/>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《综合布线系统工程验收规范》 GBT 50312-2016</w:t>
      </w:r>
    </w:p>
    <w:p w14:paraId="0BD688A7">
      <w:pPr>
        <w:numPr>
          <w:ilvl w:val="0"/>
          <w:numId w:val="19"/>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《建筑给水排水及采暖工程施工质量验收规范》GB50242-2002</w:t>
      </w:r>
    </w:p>
    <w:p w14:paraId="266B9F6C">
      <w:pPr>
        <w:numPr>
          <w:ilvl w:val="0"/>
          <w:numId w:val="19"/>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《综合布线系统工程验收规范》 GBT 50312-2016</w:t>
      </w:r>
    </w:p>
    <w:p w14:paraId="40EF3F0C">
      <w:pPr>
        <w:numPr>
          <w:ilvl w:val="0"/>
          <w:numId w:val="19"/>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工程质量同时需满足《中浩德地产集团工程精细化手册1.0工艺标准》中对应的要求。</w:t>
      </w:r>
    </w:p>
    <w:p w14:paraId="0B0A253A">
      <w:pPr>
        <w:numPr>
          <w:ilvl w:val="0"/>
          <w:numId w:val="1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施工及选用设备和材料时按最近的国际或国内标准执行，并提供采用的国际或国内标准、规范和所 应用的最新版本的有关技术依据资料。</w:t>
      </w:r>
    </w:p>
    <w:p w14:paraId="63F550DF">
      <w:pPr>
        <w:numPr>
          <w:ilvl w:val="0"/>
          <w:numId w:val="2"/>
        </w:numPr>
        <w:wordWrap/>
        <w:topLinePunct w:val="0"/>
        <w:autoSpaceDE/>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现场安全文明施工及管理要求</w:t>
      </w:r>
    </w:p>
    <w:p w14:paraId="5F928077">
      <w:pPr>
        <w:numPr>
          <w:ilvl w:val="0"/>
          <w:numId w:val="2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负责施工现场的安全管理工作，对施工期间的安全承担全部责任，派专人负责具体的安全工作，并经常性地做好安全宣传教育，严防安全隐患，杜绝伤亡事故和火灾的发生。如发生事故，责任由乙方负责，与甲方无关，乙方同时保护现场并及时上报有关部门。</w:t>
      </w:r>
    </w:p>
    <w:p w14:paraId="12DF7242">
      <w:pPr>
        <w:numPr>
          <w:ilvl w:val="0"/>
          <w:numId w:val="2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乙方及乙方施工人员在现场包括但不限于因用水、用电、高空作业、使用机器发生伤亡事故的，其经济责任、法律责任和其他民事责任均由乙方负责。</w:t>
      </w:r>
    </w:p>
    <w:p w14:paraId="38592064">
      <w:pPr>
        <w:numPr>
          <w:ilvl w:val="0"/>
          <w:numId w:val="2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乙方及乙方派驻施工现场的现场代表须向甲方签订安全责任书，对工程质量、安全作出相应承诺和确定目标值。若上述目标不能达到，应向甲方支付违约金2000元并向甲方给予经济补偿和承担相应的法律责任。</w:t>
      </w:r>
    </w:p>
    <w:p w14:paraId="32287F0C">
      <w:pPr>
        <w:numPr>
          <w:ilvl w:val="0"/>
          <w:numId w:val="2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施工现场用电器具应有接地、接零装置和线路布置规范化，安全防护措施到位。乙方自身职工、与甲方有关的第三方人员在现场发生伤亡事故，其经济责任、法律责任和其他民事责任均由乙方负责。</w:t>
      </w:r>
    </w:p>
    <w:p w14:paraId="70E15F79">
      <w:pPr>
        <w:numPr>
          <w:ilvl w:val="0"/>
          <w:numId w:val="2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应加强对现场施工人员的教育。施工现场严禁酗酒、打架斗殴、赌博和其他违法违章现象，每发现一次，乙方按2000元/次向甲方支付违约金，乙方任何人员不得以任何理由出现围堵售楼部、公司、政府部门等现象，每发现一次，乙方向甲方支付违约金10万元，</w:t>
      </w:r>
      <w:r>
        <w:rPr>
          <w:rFonts w:hint="eastAsia" w:asciiTheme="minorEastAsia" w:hAnsiTheme="minorEastAsia" w:eastAsiaTheme="minorEastAsia" w:cstheme="minorEastAsia"/>
          <w:color w:val="auto"/>
          <w:kern w:val="2"/>
          <w:szCs w:val="24"/>
          <w:highlight w:val="none"/>
        </w:rPr>
        <w:t>乙方在施工期间，合同约定项目经理必须24小时在场，甲方、监理随时对乙方项目经理在岗履职情况进行考评，如每发现1次项目经理无故不在岗，乙方向甲方支付违约金5000元。</w:t>
      </w:r>
    </w:p>
    <w:p w14:paraId="0B887A9D">
      <w:pPr>
        <w:numPr>
          <w:ilvl w:val="0"/>
          <w:numId w:val="2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严禁对现场甲方工作人员、与甲方有关第三方人员、监理人员等，进行请客、行贿等。甲方发现一次无论何原因将对各方参与人员给予发生数额10倍以上的经济处罚，达到刑事责任时，将依据有关法律追究当事人的刑事责任。</w:t>
      </w:r>
    </w:p>
    <w:p w14:paraId="1B8C6D6D">
      <w:pPr>
        <w:numPr>
          <w:ilvl w:val="0"/>
          <w:numId w:val="2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乙方需遵守甲方、监理及总承包单位的相关安全规程制度，否则按相关制度进行处罚。</w:t>
      </w:r>
    </w:p>
    <w:p w14:paraId="7DD6EB8E">
      <w:pPr>
        <w:numPr>
          <w:ilvl w:val="0"/>
          <w:numId w:val="2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乙方在施工中要服从甲方及监理人员的统一指挥，做好防尘防噪措施，各项措施和管理达到洛阳市文明建设的有关规定。现场施工实行工完场清制度，垃圾及时清运出场。</w:t>
      </w:r>
    </w:p>
    <w:p w14:paraId="2C15391B">
      <w:pPr>
        <w:numPr>
          <w:ilvl w:val="0"/>
          <w:numId w:val="2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乙方应保证施工现场的卫生标准、噪声标准等指标满足国家、地方的有关规定。施工中因乙方违反规定造成的损失和发生的费用（若主管部门罚款）均由乙方承担。</w:t>
      </w:r>
    </w:p>
    <w:p w14:paraId="5FEED715">
      <w:pPr>
        <w:numPr>
          <w:ilvl w:val="0"/>
          <w:numId w:val="2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施工过程中如发生扰民或民扰，由乙方与甲方协调解决，费用乙方承担。</w:t>
      </w:r>
    </w:p>
    <w:p w14:paraId="5000BBEA">
      <w:pPr>
        <w:numPr>
          <w:ilvl w:val="0"/>
          <w:numId w:val="2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安全文明施工标准应符合《浩德地产安全文明措施标准化手册2022版》的相关要求。</w:t>
      </w:r>
    </w:p>
    <w:p w14:paraId="4A73A053">
      <w:pPr>
        <w:numPr>
          <w:ilvl w:val="0"/>
          <w:numId w:val="2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现场安全文明施工、进度及质量等未尽事宜参照《悠然居项目现场管理制度》执行。</w:t>
      </w:r>
    </w:p>
    <w:p w14:paraId="2D397B05">
      <w:pPr>
        <w:keepNext w:val="0"/>
        <w:keepLines w:val="0"/>
        <w:numPr>
          <w:ilvl w:val="0"/>
          <w:numId w:val="2"/>
        </w:numPr>
        <w:spacing w:line="360" w:lineRule="auto"/>
        <w:ind w:left="-420" w:firstLine="42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验收及移交</w:t>
      </w:r>
    </w:p>
    <w:p w14:paraId="5F82F3A6">
      <w:pPr>
        <w:numPr>
          <w:ilvl w:val="0"/>
          <w:numId w:val="21"/>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工程验收：按照国家标准设计要求装饰装修工程质量标准和甲方的要求进行验收。如工程质量达不到约定条件，乙方应按甲方和监理的要求返工、修改，并承担因此导致返工、修改的费用及逾期完工的违约责任。</w:t>
      </w:r>
    </w:p>
    <w:p w14:paraId="1A105135">
      <w:pPr>
        <w:numPr>
          <w:ilvl w:val="0"/>
          <w:numId w:val="2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甲方可委托任何设计单位、政府有关质量监督部门或其他单位对施工质量进行检查及对工程质量进行监督，乙方应予积极配合。</w:t>
      </w:r>
    </w:p>
    <w:p w14:paraId="73128ED0">
      <w:pPr>
        <w:numPr>
          <w:ilvl w:val="0"/>
          <w:numId w:val="2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甲方有权利随时对本合同范围内产品的生产过程及到场产品进行检查，乙方应予以积极配合，如甲方认定产品的用料、工艺及产品质量不合格，乙方应立即按照合同质量要求重新生产，且工期不予顺延。</w:t>
      </w:r>
    </w:p>
    <w:p w14:paraId="04A8A66B">
      <w:pPr>
        <w:numPr>
          <w:ilvl w:val="0"/>
          <w:numId w:val="2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本工程的质量监督验收单位为：甲方、监理方。</w:t>
      </w:r>
    </w:p>
    <w:p w14:paraId="18E3499A">
      <w:pPr>
        <w:numPr>
          <w:ilvl w:val="0"/>
          <w:numId w:val="2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验收必须以合同约定的质量要求、材料品牌、规格、型号、施工图纸及有关变更的书面文件、国家颁布的施工及验收规范和质量检验标准为依据。乙方施工有防火要求的门窗必须满足施工图设计要求，乙方要负责消防验收通过。</w:t>
      </w:r>
    </w:p>
    <w:p w14:paraId="6F0E8286">
      <w:pPr>
        <w:numPr>
          <w:ilvl w:val="0"/>
          <w:numId w:val="2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隐蔽工程由乙方书面通知甲方、监理，由甲方 、监理相关工程技术人员到现场检查验收，经验收合格后并履行隐蔽工程签证手续，乙方可将该部位隐蔽。未经甲方监理验收私自进行隐蔽，甲方有权要求进行破坏性检查，同时乙方承担2000元/次的违约。</w:t>
      </w:r>
    </w:p>
    <w:p w14:paraId="19399762">
      <w:pPr>
        <w:numPr>
          <w:ilvl w:val="0"/>
          <w:numId w:val="2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竣工后，乙方通过自检、自查，并进行调试、开通、试运行正常后，认为具备条件时，乙方应以书面的方式向甲方、监理方提出验收申请，甲方自收到申请之日起5个工作日内给出正式回复，并在回复之日起5个工作日内组织相关人员验收，并提出验收意见，甲方认为不具备验收条件的除外。</w:t>
      </w:r>
    </w:p>
    <w:p w14:paraId="61C79AE2">
      <w:pPr>
        <w:numPr>
          <w:ilvl w:val="0"/>
          <w:numId w:val="2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验收中如发现不合格需返工或修补的部分，乙方应及时进行整改并在规定期限内完成。由此发生的费用及产生的逾期完工责任由乙方承担；</w:t>
      </w:r>
    </w:p>
    <w:p w14:paraId="38D54C5F">
      <w:pPr>
        <w:numPr>
          <w:ilvl w:val="0"/>
          <w:numId w:val="2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竣工工程验收以国家规定的施工验收规范质量检验标准为依据，在进行竣工验收时，乙方应向甲方提供增减工程变更的有关手续和中间交工验收纪录、隐蔽验收工程纪录、所有材料及设备合格证书产地证明等有关材料、所有安装工程的竣工图纸；</w:t>
      </w:r>
    </w:p>
    <w:p w14:paraId="10DC6AD5">
      <w:pPr>
        <w:numPr>
          <w:ilvl w:val="0"/>
          <w:numId w:val="2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工程验收合格后5个工作日内，乙方负责按工程竣工资料归档要求，提交满足相关建筑工程质量监督部门对技术资料的要求的竣工资料，把有关资料送交甲方。</w:t>
      </w:r>
    </w:p>
    <w:p w14:paraId="756E8111">
      <w:pPr>
        <w:numPr>
          <w:ilvl w:val="0"/>
          <w:numId w:val="2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负责办理向甲方和监理公司验收手续及负担有关费用，验收合格后，乙方应向甲方提供工程验收合格证书。对于验收中存在的施工问题乙方应无条件进行整改，涉及不同标段相连结的施工问题，乙方应主动进行协调并解决问题。</w:t>
      </w:r>
    </w:p>
    <w:p w14:paraId="17CB49B6">
      <w:pPr>
        <w:numPr>
          <w:ilvl w:val="0"/>
          <w:numId w:val="2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办理竣工验收、合格证、检测费用等由乙方自行承担。</w:t>
      </w:r>
    </w:p>
    <w:p w14:paraId="33FC47F7">
      <w:pPr>
        <w:numPr>
          <w:ilvl w:val="0"/>
          <w:numId w:val="21"/>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工程的移交：</w:t>
      </w:r>
    </w:p>
    <w:p w14:paraId="3F2E8EB7">
      <w:pPr>
        <w:numPr>
          <w:ilvl w:val="0"/>
          <w:numId w:val="2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交房前精装修所有范围内（含精装甲分包、甲供材）所有安保责任均由乙方承担，出现物品丢失，由乙方按照购买同种类及同品质产品的重购价进行赔偿。</w:t>
      </w:r>
    </w:p>
    <w:p w14:paraId="4412F177">
      <w:pPr>
        <w:numPr>
          <w:ilvl w:val="0"/>
          <w:numId w:val="2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本工程竣工验收合格之日起3日内由双方负责人共同洽谈交接事宜并办理移交手续。工程自移交第二日起，全部由甲方负责管理。</w:t>
      </w:r>
    </w:p>
    <w:p w14:paraId="0AA9ABAA">
      <w:pPr>
        <w:numPr>
          <w:ilvl w:val="0"/>
          <w:numId w:val="2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应在竣工验收合格之日起2日内撤出全部施工人员、机械设备和剩余材料，并将所有承包及管理范围内的工程清理干净，如乙方不能及时拆除或清理，甲方有权另派人拆除并清理，由此所发生的全部费用由乙方承担，甲方有权从应付未付款项中扣除。乙方遗留的物品视为乙方放弃所有权，甲方有权自行处置。若出售或处理乙方遗留的物品，由此支出的费用由乙方承担，甲方出售乙方遗留物品所得款项在扣除必要费用后可返还乙方。</w:t>
      </w:r>
    </w:p>
    <w:p w14:paraId="24CB189C">
      <w:pPr>
        <w:numPr>
          <w:ilvl w:val="0"/>
          <w:numId w:val="2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工程在未移交甲方之前，乙方承担维护及管理责任；如甲方提前使用，因使用损坏发生的修理费用由甲方承担。</w:t>
      </w:r>
    </w:p>
    <w:p w14:paraId="6D5EBED9">
      <w:pPr>
        <w:numPr>
          <w:ilvl w:val="0"/>
          <w:numId w:val="2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竣工并达到合同验收要求后，乙方不得因自身的经济纠纷或其他任何原因（含甲方延期付款等）而拒绝交付工程；如乙方拒绝移交工程的，自应当移交工程之日起，乙方每日需向甲方按照合同总价0.5‰承担违约责任，甲方有权从应付未付款项中扣除，应付未付款项不足以抵扣的，乙方应当补足。</w:t>
      </w:r>
    </w:p>
    <w:p w14:paraId="5270A281">
      <w:pPr>
        <w:numPr>
          <w:ilvl w:val="0"/>
          <w:numId w:val="2"/>
        </w:numPr>
        <w:wordWrap/>
        <w:topLinePunct w:val="0"/>
        <w:autoSpaceDE/>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工程变更、签证</w:t>
      </w:r>
    </w:p>
    <w:p w14:paraId="5D2FED69">
      <w:pPr>
        <w:numPr>
          <w:ilvl w:val="0"/>
          <w:numId w:val="2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乙方应严格按照经甲方审核签认的施工图纸施工，不得随意变更；若确需变更，应按程序报甲方书面同意后，方可变更施工，否则造成的一切后果及责任均由乙方负责。</w:t>
      </w:r>
    </w:p>
    <w:p w14:paraId="018AE1CA">
      <w:pPr>
        <w:numPr>
          <w:ilvl w:val="0"/>
          <w:numId w:val="24"/>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施工过程中，若甲方需要增减项目或变更项目应提前以书面形式通知乙方，乙方承诺满足甲方的需求</w:t>
      </w:r>
      <w:r>
        <w:rPr>
          <w:rFonts w:hint="eastAsia" w:asciiTheme="minorEastAsia" w:hAnsiTheme="minorEastAsia" w:eastAsiaTheme="minorEastAsia" w:cstheme="minorEastAsia"/>
          <w:color w:val="auto"/>
          <w:kern w:val="0"/>
          <w:szCs w:val="20"/>
          <w:highlight w:val="none"/>
        </w:rPr>
        <w:t>，并不因此要求赔偿/补偿。</w:t>
      </w:r>
    </w:p>
    <w:p w14:paraId="4DCB1977">
      <w:pPr>
        <w:numPr>
          <w:ilvl w:val="0"/>
          <w:numId w:val="2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变更、签证的计价原则：本合同执行期间，若因甲方设计原因引起的设计变更，由甲方出具设计变更单。因设计变更引起部分分项工程子目的增加，该项子目的综合单价在合同中（即后附价格清单）有相同子目的执行相同子目的单价，合同中后附表中有相近子目的按相近子目执行；若合同中后附表无适用或类似于变更、签证工程综合单价的，则由甲方乙方共同认价后按照认价计入结算；若在施工过程中未由甲方认价的，结算时按照甲方认为可行的单价计入结算，乙方不得有任何异议。</w:t>
      </w:r>
    </w:p>
    <w:p w14:paraId="7D0DE244">
      <w:pPr>
        <w:numPr>
          <w:ilvl w:val="0"/>
          <w:numId w:val="2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设计变更与现场签证必须进行一单一算、一月一清。为了保证甲方成本管理部、项目工程部及乙方三方资料的完整性和一致性，每月5日之前，应按“一月一清”的原则，对上月所有甲方发出的设计变更单和收到的工程签证单进行核对和清理，并签字确认。对于乙方在结算时提出的、月结月清中未登记的设计变更和现场签证，甲方有权不接收、不计算、不结算和不支付费用。</w:t>
      </w:r>
    </w:p>
    <w:p w14:paraId="20443CD0">
      <w:pPr>
        <w:numPr>
          <w:ilvl w:val="0"/>
          <w:numId w:val="2"/>
        </w:numPr>
        <w:wordWrap/>
        <w:topLinePunct w:val="0"/>
        <w:autoSpaceDE/>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结算方式</w:t>
      </w:r>
    </w:p>
    <w:p w14:paraId="10CB9486">
      <w:pPr>
        <w:numPr>
          <w:ilvl w:val="0"/>
          <w:numId w:val="25"/>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结算依据：甲方审核签认的施工设计方案、甲方认可的变更签证、施工合同、补充协议、招标、投标文件等。</w:t>
      </w:r>
    </w:p>
    <w:p w14:paraId="21B8F9E2">
      <w:pPr>
        <w:numPr>
          <w:ilvl w:val="0"/>
          <w:numId w:val="25"/>
        </w:numPr>
        <w:spacing w:line="360" w:lineRule="auto"/>
        <w:ind w:left="665" w:hanging="425" w:firstLineChars="0"/>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结算采用第</w:t>
      </w:r>
      <w:r>
        <w:rPr>
          <w:rFonts w:hint="eastAsia" w:asciiTheme="minorEastAsia" w:hAnsiTheme="minorEastAsia" w:eastAsiaTheme="minorEastAsia" w:cstheme="minorEastAsia"/>
          <w:color w:val="auto"/>
          <w:szCs w:val="24"/>
          <w:highlight w:val="none"/>
          <w:u w:val="single"/>
          <w:lang w:val="en-US" w:eastAsia="zh-CN"/>
        </w:rPr>
        <w:t>（1）</w:t>
      </w:r>
      <w:r>
        <w:rPr>
          <w:rFonts w:hint="eastAsia" w:asciiTheme="minorEastAsia" w:hAnsiTheme="minorEastAsia" w:eastAsiaTheme="minorEastAsia" w:cstheme="minorEastAsia"/>
          <w:color w:val="auto"/>
          <w:szCs w:val="24"/>
          <w:highlight w:val="none"/>
          <w:lang w:val="en-US" w:eastAsia="zh-CN"/>
        </w:rPr>
        <w:t>方式：</w:t>
      </w:r>
    </w:p>
    <w:p w14:paraId="76D98772">
      <w:pPr>
        <w:numPr>
          <w:ilvl w:val="0"/>
          <w:numId w:val="26"/>
        </w:numPr>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结算价款＝固定总价合同±变更、签证造价－其他应扣费用（含违约金）。</w:t>
      </w:r>
    </w:p>
    <w:p w14:paraId="129A7CCB">
      <w:pPr>
        <w:numPr>
          <w:ilvl w:val="0"/>
          <w:numId w:val="26"/>
        </w:numPr>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结算价款=固定综合单价*双方核算认可的工程量</w:t>
      </w:r>
      <w:r>
        <w:rPr>
          <w:rFonts w:hint="eastAsia" w:asciiTheme="minorEastAsia" w:hAnsiTheme="minorEastAsia" w:eastAsiaTheme="minorEastAsia" w:cstheme="minorEastAsia"/>
          <w:color w:val="auto"/>
          <w:highlight w:val="none"/>
        </w:rPr>
        <w:t>±变更、签证造价－其他应扣费用（含违约金）</w:t>
      </w:r>
      <w:r>
        <w:rPr>
          <w:rFonts w:hint="eastAsia" w:asciiTheme="minorEastAsia" w:hAnsiTheme="minorEastAsia" w:eastAsiaTheme="minorEastAsia" w:cstheme="minorEastAsia"/>
          <w:color w:val="auto"/>
          <w:highlight w:val="none"/>
          <w:lang w:eastAsia="zh-CN"/>
        </w:rPr>
        <w:t>。</w:t>
      </w:r>
    </w:p>
    <w:p w14:paraId="54C1223D">
      <w:pPr>
        <w:numPr>
          <w:ilvl w:val="0"/>
          <w:numId w:val="25"/>
        </w:numPr>
        <w:spacing w:line="360" w:lineRule="auto"/>
        <w:ind w:left="665" w:hanging="425" w:firstLineChars="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 w:val="24"/>
          <w:szCs w:val="24"/>
          <w:highlight w:val="none"/>
        </w:rPr>
        <w:t>若变更签证有附表中产品等形式之外的形式与后附工程量清单项目相同或相近的，则采用其相同或相近的单价；如后附工程量清单项目中没有相同或相近的，则由甲方认价后按照认价计入结算，并在结算时执行，结算后并入结算总价；否则按照甲方单方认定价格执行，计入结算总价</w:t>
      </w:r>
    </w:p>
    <w:p w14:paraId="42BDE132">
      <w:pPr>
        <w:numPr>
          <w:ilvl w:val="0"/>
          <w:numId w:val="25"/>
        </w:numPr>
        <w:snapToGrid/>
        <w:spacing w:line="360" w:lineRule="auto"/>
        <w:ind w:left="665" w:hanging="425" w:firstLineChars="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工程全部完工，经项目所在地具有管辖权政府职能部门验收合格且出具合格验收意见文件后30日内乙方提交装订成册完整的工程竣工结算资料两套，逾期提交或提交资料不合格，由此产生未能及时结算的责任由乙方承担。若乙方在上述时间内不提交结算资料，甲方有权单独进行结算，乙方应接受甲方结算结果；若提交资料不完整（遗漏或后补资料）视为放弃；放弃部分甲方只计算变更减少部分，不再计算变更增加部分，乙方不得提出异议，由此产生的未能及时结算的责任由乙方自己承担。甲方成本部门收到乙方提交合格的结算资料后90个工作日内审查完毕并通知乙方，乙方接到结算审查通知后10个工作日内确认或提出异议，逾期视为已认可甲方审查意见</w:t>
      </w:r>
      <w:r>
        <w:rPr>
          <w:rFonts w:hint="eastAsia" w:asciiTheme="minorEastAsia" w:hAnsiTheme="minorEastAsia" w:eastAsiaTheme="minorEastAsia" w:cstheme="minorEastAsia"/>
          <w:color w:val="auto"/>
          <w:sz w:val="24"/>
          <w:szCs w:val="24"/>
          <w:highlight w:val="none"/>
          <w:lang w:eastAsia="zh-CN"/>
        </w:rPr>
        <w:t>，最终结算金额以审计结果为准</w:t>
      </w:r>
      <w:r>
        <w:rPr>
          <w:rFonts w:hint="eastAsia" w:asciiTheme="minorEastAsia" w:hAnsiTheme="minorEastAsia" w:eastAsiaTheme="minorEastAsia" w:cstheme="minorEastAsia"/>
          <w:color w:val="auto"/>
          <w:sz w:val="24"/>
          <w:szCs w:val="24"/>
          <w:highlight w:val="none"/>
        </w:rPr>
        <w:t>。</w:t>
      </w:r>
    </w:p>
    <w:p w14:paraId="3D062040">
      <w:pPr>
        <w:numPr>
          <w:ilvl w:val="0"/>
          <w:numId w:val="25"/>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乙方报送结算书应诚实准确，若最终审减额（报送金额—结算金额）超过结算金额的5%，则需要乙方向甲方支付超出5%部分的费用的3%作为违约金，且违约金在结算金额中一次性扣除。</w:t>
      </w:r>
    </w:p>
    <w:p w14:paraId="2783BE85">
      <w:pPr>
        <w:numPr>
          <w:ilvl w:val="0"/>
          <w:numId w:val="25"/>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办理竣工验收、合格证、检测费用等由乙方自行承担。</w:t>
      </w:r>
    </w:p>
    <w:p w14:paraId="47B297B0">
      <w:pPr>
        <w:numPr>
          <w:ilvl w:val="0"/>
          <w:numId w:val="25"/>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若甲方需在本合同约定的承包范围以外委托乙方完成其他工作，应以正式书面形式将具体工作范围、价款、完成时间、付款方式等主要内容通知乙方。若无正式书面委托，甲方不予结算。</w:t>
      </w:r>
    </w:p>
    <w:p w14:paraId="0E10C5FE">
      <w:pPr>
        <w:keepNext w:val="0"/>
        <w:keepLines w:val="0"/>
        <w:numPr>
          <w:ilvl w:val="0"/>
          <w:numId w:val="2"/>
        </w:numPr>
        <w:spacing w:line="360" w:lineRule="auto"/>
        <w:ind w:left="-420" w:firstLine="42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质保期</w:t>
      </w:r>
    </w:p>
    <w:p w14:paraId="7585DECC">
      <w:pPr>
        <w:numPr>
          <w:ilvl w:val="0"/>
          <w:numId w:val="27"/>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本工程的质保期为</w:t>
      </w:r>
      <w:r>
        <w:rPr>
          <w:rFonts w:hint="eastAsia" w:asciiTheme="minorEastAsia" w:hAnsiTheme="minorEastAsia" w:eastAsiaTheme="minorEastAsia" w:cstheme="minorEastAsia"/>
          <w:color w:val="auto"/>
          <w:szCs w:val="24"/>
          <w:highlight w:val="none"/>
          <w:lang w:eastAsia="zh-CN"/>
        </w:rPr>
        <w:t>两</w:t>
      </w:r>
      <w:r>
        <w:rPr>
          <w:rFonts w:hint="eastAsia" w:asciiTheme="minorEastAsia" w:hAnsiTheme="minorEastAsia" w:eastAsiaTheme="minorEastAsia" w:cstheme="minorEastAsia"/>
          <w:color w:val="auto"/>
          <w:szCs w:val="24"/>
          <w:highlight w:val="none"/>
        </w:rPr>
        <w:t>年，自工程全部施工完成，经甲方、监理及相关部门验收合格之日起开始计算。</w:t>
      </w:r>
    </w:p>
    <w:p w14:paraId="14D13A29">
      <w:pPr>
        <w:numPr>
          <w:ilvl w:val="0"/>
          <w:numId w:val="27"/>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质保期内若有施工质量问题、用量问题等，乙方必须在接到通知后的 24 个小时内派员维修并在24 小时内完成修复，因质量问题引起的损坏，乙方免收一切费用；对于质保范围外的维修，乙方承诺仅向甲方收取更换的材料、部件的成本费。若乙方在收到通知后不及时派员维修，甲方、物业管理公司可另请人员修理，费用在质保金中扣除，如质保金不足以支付的，甲方有权向乙方追偿。因质量问题给甲方或第三方造成损失的，乙方承担全部赔偿责任。</w:t>
      </w:r>
    </w:p>
    <w:p w14:paraId="7F496D0B">
      <w:pPr>
        <w:numPr>
          <w:ilvl w:val="0"/>
          <w:numId w:val="2"/>
        </w:numPr>
        <w:wordWrap/>
        <w:overflowPunct/>
        <w:topLinePunct w:val="0"/>
        <w:autoSpaceDE/>
        <w:spacing w:line="360" w:lineRule="auto"/>
        <w:ind w:left="-420" w:firstLine="420" w:firstLineChars="0"/>
        <w:outlineLvl w:val="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履约保证金</w:t>
      </w:r>
    </w:p>
    <w:p w14:paraId="6A539EC7">
      <w:pPr>
        <w:numPr>
          <w:ilvl w:val="0"/>
          <w:numId w:val="28"/>
        </w:numPr>
        <w:spacing w:before="156" w:beforeLines="50" w:after="156" w:afterLines="50" w:line="360" w:lineRule="auto"/>
        <w:ind w:left="665" w:hanging="425"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采用现金形式缴纳投标保证金的，在中标后自动转为履约保证金</w:t>
      </w:r>
      <w:r>
        <w:rPr>
          <w:rFonts w:hint="eastAsia" w:asciiTheme="minorEastAsia" w:hAnsiTheme="minorEastAsia" w:eastAsiaTheme="minorEastAsia" w:cstheme="minorEastAsia"/>
          <w:color w:val="auto"/>
          <w:sz w:val="24"/>
          <w:szCs w:val="24"/>
          <w:highlight w:val="none"/>
          <w:lang w:eastAsia="zh-CN"/>
        </w:rPr>
        <w:t>。</w:t>
      </w:r>
    </w:p>
    <w:p w14:paraId="6884A7D6">
      <w:pPr>
        <w:numPr>
          <w:ilvl w:val="0"/>
          <w:numId w:val="28"/>
        </w:numPr>
        <w:spacing w:before="156" w:beforeLines="50" w:after="156" w:afterLines="50" w:line="360" w:lineRule="auto"/>
        <w:ind w:left="665" w:hanging="425" w:firstLine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用银行保函形式的，在合同签订后20日历天内完成合同金额的0.5%现金履约保证金的缴纳或出具合同金额的1%的银行履约保函。逾期未现金缴纳或者未开具保函的，在第一次付款时按合同金额1%进行工程款扣除作为履约保证金。</w:t>
      </w:r>
    </w:p>
    <w:p w14:paraId="70B4DE72">
      <w:pPr>
        <w:numPr>
          <w:ilvl w:val="0"/>
          <w:numId w:val="28"/>
        </w:numPr>
        <w:wordWrap w:val="0"/>
        <w:overflowPunct w:val="0"/>
        <w:topLinePunct/>
        <w:autoSpaceDE w:val="0"/>
        <w:spacing w:before="156" w:beforeLines="50" w:after="156" w:afterLines="50" w:line="360" w:lineRule="auto"/>
        <w:ind w:left="665" w:hanging="425" w:firstLineChars="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color w:val="auto"/>
          <w:sz w:val="24"/>
          <w:szCs w:val="24"/>
          <w:highlight w:val="none"/>
        </w:rPr>
        <w:t>履约保证金的期限自合同签订之日起至施工完成且验收合格。</w:t>
      </w:r>
    </w:p>
    <w:p w14:paraId="72226095">
      <w:pPr>
        <w:numPr>
          <w:ilvl w:val="0"/>
          <w:numId w:val="28"/>
        </w:numPr>
        <w:overflowPunct w:val="0"/>
        <w:spacing w:line="360" w:lineRule="auto"/>
        <w:ind w:left="665" w:hanging="425" w:firstLineChars="0"/>
        <w:outlineLvl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现金保证金</w:t>
      </w:r>
      <w:r>
        <w:rPr>
          <w:rFonts w:hint="eastAsia" w:asciiTheme="minorEastAsia" w:hAnsiTheme="minorEastAsia" w:eastAsiaTheme="minorEastAsia" w:cstheme="minorEastAsia"/>
          <w:color w:val="auto"/>
          <w:sz w:val="24"/>
          <w:szCs w:val="24"/>
          <w:highlight w:val="none"/>
        </w:rPr>
        <w:t>全部工程施工完成经甲方、监理及相关部门验收合格后7日内</w:t>
      </w:r>
      <w:r>
        <w:rPr>
          <w:rFonts w:hint="eastAsia" w:asciiTheme="minorEastAsia" w:hAnsiTheme="minorEastAsia" w:eastAsiaTheme="minorEastAsia" w:cstheme="minorEastAsia"/>
          <w:color w:val="auto"/>
          <w:sz w:val="24"/>
          <w:szCs w:val="24"/>
          <w:highlight w:val="none"/>
          <w:lang w:eastAsia="zh-CN"/>
        </w:rPr>
        <w:t>由工程申请</w:t>
      </w:r>
      <w:r>
        <w:rPr>
          <w:rFonts w:hint="eastAsia" w:asciiTheme="minorEastAsia" w:hAnsiTheme="minorEastAsia" w:eastAsiaTheme="minorEastAsia" w:cstheme="minorEastAsia"/>
          <w:color w:val="auto"/>
          <w:sz w:val="24"/>
          <w:szCs w:val="24"/>
          <w:highlight w:val="none"/>
        </w:rPr>
        <w:t>无息退还剩余履约保证金（若有）。</w:t>
      </w:r>
    </w:p>
    <w:p w14:paraId="4D679C2C">
      <w:pPr>
        <w:numPr>
          <w:ilvl w:val="0"/>
          <w:numId w:val="28"/>
        </w:numPr>
        <w:spacing w:line="360" w:lineRule="auto"/>
        <w:ind w:left="665" w:hanging="425"/>
        <w:rPr>
          <w:rFonts w:hint="eastAsia"/>
          <w:color w:val="auto"/>
          <w:highlight w:val="none"/>
        </w:rPr>
      </w:pPr>
      <w:r>
        <w:rPr>
          <w:rFonts w:hint="eastAsia" w:asciiTheme="minorEastAsia" w:hAnsiTheme="minorEastAsia" w:eastAsiaTheme="minorEastAsia" w:cstheme="minorEastAsia"/>
          <w:color w:val="auto"/>
          <w:sz w:val="24"/>
          <w:szCs w:val="24"/>
          <w:highlight w:val="none"/>
        </w:rPr>
        <w:t xml:space="preserve">凡在工期、工程质量、安全文明施工等要求中，任何一项要求没有达到本合同约定，甲方有权按比例或全额扣除乙方履约保证金，乙方应7日内予以补足，否则，甲方有权在应付款项中暂时扣除用于补足履约保证金。 </w:t>
      </w:r>
    </w:p>
    <w:p w14:paraId="2212C29D">
      <w:pPr>
        <w:numPr>
          <w:ilvl w:val="0"/>
          <w:numId w:val="2"/>
        </w:numPr>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双方责任与义务</w:t>
      </w:r>
    </w:p>
    <w:p w14:paraId="389808FA">
      <w:pPr>
        <w:numPr>
          <w:ilvl w:val="0"/>
          <w:numId w:val="29"/>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甲方的责任与义务</w:t>
      </w:r>
    </w:p>
    <w:p w14:paraId="248B0CC7">
      <w:pPr>
        <w:numPr>
          <w:ilvl w:val="0"/>
          <w:numId w:val="30"/>
        </w:numPr>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遵守法律、法规和规章，甲方应在其实施本合同的全部工作中遵守与本合同有关的法律、法规和规章，并应承担由于其</w:t>
      </w:r>
      <w:r>
        <w:rPr>
          <w:rFonts w:hint="eastAsia" w:asciiTheme="minorEastAsia" w:hAnsiTheme="minorEastAsia" w:eastAsiaTheme="minorEastAsia" w:cstheme="minorEastAsia"/>
          <w:color w:val="auto"/>
          <w:highlight w:val="none"/>
        </w:rPr>
        <w:t>自身违反上述法律、法规和规章的责任。</w:t>
      </w:r>
    </w:p>
    <w:p w14:paraId="7C44F415">
      <w:pPr>
        <w:numPr>
          <w:ilvl w:val="0"/>
          <w:numId w:val="30"/>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甲方委派</w:t>
      </w:r>
      <w:r>
        <w:rPr>
          <w:rFonts w:hint="eastAsia" w:asciiTheme="minorEastAsia" w:hAnsiTheme="minorEastAsia" w:eastAsiaTheme="minorEastAsia" w:cstheme="minorEastAsia"/>
          <w:color w:val="auto"/>
          <w:kern w:val="2"/>
          <w:sz w:val="24"/>
          <w:szCs w:val="24"/>
          <w:highlight w:val="none"/>
          <w:u w:val="single"/>
          <w:lang w:val="en-US" w:eastAsia="zh-CN"/>
        </w:rPr>
        <w:t xml:space="preserve">胡涛 </w:t>
      </w:r>
      <w:r>
        <w:rPr>
          <w:rFonts w:hint="eastAsia" w:asciiTheme="minorEastAsia" w:hAnsiTheme="minorEastAsia" w:eastAsiaTheme="minorEastAsia" w:cstheme="minorEastAsia"/>
          <w:color w:val="auto"/>
          <w:kern w:val="2"/>
          <w:sz w:val="24"/>
          <w:szCs w:val="24"/>
          <w:highlight w:val="none"/>
          <w:u w:val="none"/>
        </w:rPr>
        <w:t>，</w:t>
      </w:r>
      <w:r>
        <w:rPr>
          <w:rFonts w:hint="eastAsia" w:asciiTheme="minorEastAsia" w:hAnsiTheme="minorEastAsia" w:eastAsiaTheme="minorEastAsia" w:cstheme="minorEastAsia"/>
          <w:color w:val="auto"/>
          <w:kern w:val="2"/>
          <w:sz w:val="24"/>
          <w:szCs w:val="24"/>
          <w:highlight w:val="none"/>
        </w:rPr>
        <w:t>电话：</w:t>
      </w:r>
      <w:r>
        <w:rPr>
          <w:rFonts w:hint="eastAsia" w:asciiTheme="minorEastAsia" w:hAnsiTheme="minorEastAsia" w:eastAsiaTheme="minorEastAsia" w:cstheme="minorEastAsia"/>
          <w:color w:val="auto"/>
          <w:kern w:val="2"/>
          <w:sz w:val="24"/>
          <w:szCs w:val="24"/>
          <w:highlight w:val="none"/>
          <w:u w:val="single"/>
          <w:lang w:val="en-US" w:eastAsia="zh-CN"/>
        </w:rPr>
        <w:t xml:space="preserve"> </w:t>
      </w:r>
      <w:r>
        <w:rPr>
          <w:rFonts w:hint="eastAsia" w:ascii="宋体" w:hAnsi="宋体" w:cs="宋体"/>
          <w:color w:val="auto"/>
          <w:szCs w:val="24"/>
          <w:highlight w:val="none"/>
          <w:u w:val="single"/>
          <w:lang w:val="en-US" w:eastAsia="zh-CN"/>
        </w:rPr>
        <w:t>15537157567</w:t>
      </w:r>
      <w:r>
        <w:rPr>
          <w:rFonts w:hint="eastAsia" w:ascii="宋体" w:hAnsi="宋体" w:cs="宋体"/>
          <w:color w:val="auto"/>
          <w:szCs w:val="24"/>
          <w:highlight w:val="none"/>
          <w:u w:val="single"/>
        </w:rPr>
        <w:t xml:space="preserve"> </w:t>
      </w:r>
      <w:r>
        <w:rPr>
          <w:rFonts w:hint="eastAsia" w:asciiTheme="minorEastAsia" w:hAnsiTheme="minorEastAsia" w:eastAsiaTheme="minorEastAsia" w:cstheme="minorEastAsia"/>
          <w:color w:val="auto"/>
          <w:kern w:val="2"/>
          <w:sz w:val="24"/>
          <w:szCs w:val="24"/>
          <w:highlight w:val="none"/>
          <w:u w:val="single"/>
          <w:lang w:val="en-US" w:eastAsia="zh-CN"/>
        </w:rPr>
        <w:t xml:space="preserve"> </w:t>
      </w:r>
      <w:r>
        <w:rPr>
          <w:rFonts w:hint="eastAsia" w:asciiTheme="minorEastAsia" w:hAnsiTheme="minorEastAsia" w:eastAsiaTheme="minorEastAsia" w:cstheme="minorEastAsia"/>
          <w:color w:val="auto"/>
          <w:kern w:val="2"/>
          <w:sz w:val="24"/>
          <w:szCs w:val="24"/>
          <w:highlight w:val="none"/>
          <w:u w:val="none"/>
          <w:lang w:val="en-US" w:eastAsia="zh-CN"/>
        </w:rPr>
        <w:t>，</w:t>
      </w:r>
      <w:r>
        <w:rPr>
          <w:rFonts w:hint="eastAsia" w:asciiTheme="minorEastAsia" w:hAnsiTheme="minorEastAsia" w:eastAsiaTheme="minorEastAsia" w:cstheme="minorEastAsia"/>
          <w:color w:val="auto"/>
          <w:sz w:val="24"/>
          <w:szCs w:val="24"/>
          <w:highlight w:val="none"/>
          <w:u w:val="none"/>
          <w:lang w:val="en-US" w:eastAsia="zh-CN"/>
        </w:rPr>
        <w:t>为现场代表，</w:t>
      </w:r>
      <w:r>
        <w:rPr>
          <w:rFonts w:hint="eastAsia" w:asciiTheme="minorEastAsia" w:hAnsiTheme="minorEastAsia" w:eastAsiaTheme="minorEastAsia" w:cstheme="minorEastAsia"/>
          <w:color w:val="auto"/>
          <w:szCs w:val="24"/>
          <w:highlight w:val="none"/>
        </w:rPr>
        <w:t>监督、检查产品、工程的质量，协调工作中发生的有关事宜，并参与产品、工程的初验、验收和签证工作。如现场代表变更则需及时通知乙方。</w:t>
      </w:r>
    </w:p>
    <w:p w14:paraId="528E65A5">
      <w:pPr>
        <w:numPr>
          <w:ilvl w:val="0"/>
          <w:numId w:val="30"/>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甲方应提供乙方所需工程建筑图、说明书、建筑平面图、变更图及有关技术文件等作为乙方产品设计和施工的有效依据。</w:t>
      </w:r>
    </w:p>
    <w:p w14:paraId="67124F12">
      <w:pPr>
        <w:numPr>
          <w:ilvl w:val="0"/>
          <w:numId w:val="30"/>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甲方协调乙方与土建单位施工配合问题，并督促工程进度。</w:t>
      </w:r>
    </w:p>
    <w:p w14:paraId="56D10B32">
      <w:pPr>
        <w:numPr>
          <w:ilvl w:val="0"/>
          <w:numId w:val="30"/>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签订合同时，甲方向乙方提供建筑施工图、变更通知及相关材料1套。</w:t>
      </w:r>
    </w:p>
    <w:p w14:paraId="4D609CD8">
      <w:pPr>
        <w:numPr>
          <w:ilvl w:val="0"/>
          <w:numId w:val="30"/>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甲方应及时按合同要求给乙方拨付工程款、组织工程竣工验收并按合同规定办理竣工结算。</w:t>
      </w:r>
    </w:p>
    <w:p w14:paraId="04482CE1">
      <w:pPr>
        <w:numPr>
          <w:ilvl w:val="0"/>
          <w:numId w:val="30"/>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进场材料及施工成品、半成品达不到标准要求的，甲方有权责令乙方调换。</w:t>
      </w:r>
    </w:p>
    <w:p w14:paraId="326573D8">
      <w:pPr>
        <w:numPr>
          <w:ilvl w:val="0"/>
          <w:numId w:val="30"/>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为乙方协调水源、电源接驳点。</w:t>
      </w:r>
    </w:p>
    <w:p w14:paraId="1AFFAB99">
      <w:pPr>
        <w:numPr>
          <w:ilvl w:val="0"/>
          <w:numId w:val="29"/>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乙方责任与义务</w:t>
      </w:r>
    </w:p>
    <w:p w14:paraId="0E53CD3F">
      <w:pPr>
        <w:numPr>
          <w:ilvl w:val="0"/>
          <w:numId w:val="3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遵守法律、法规和规章，乙方应在其负责的各项工作中遵守与本合同工程有关的法律、法规和规章，并保证甲方免于承担由于乙方违反上述法律、法规和规章的任何责任。</w:t>
      </w:r>
    </w:p>
    <w:p w14:paraId="17903BC4">
      <w:pPr>
        <w:numPr>
          <w:ilvl w:val="0"/>
          <w:numId w:val="3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乙方委派</w:t>
      </w:r>
      <w:r>
        <w:rPr>
          <w:rFonts w:hint="eastAsia" w:asciiTheme="minorEastAsia" w:hAnsiTheme="minorEastAsia" w:eastAsiaTheme="minorEastAsia" w:cstheme="minorEastAsia"/>
          <w:color w:val="auto"/>
          <w:szCs w:val="24"/>
          <w:highlight w:val="none"/>
          <w:u w:val="single"/>
          <w:lang w:eastAsia="zh-CN"/>
        </w:rPr>
        <w:t xml:space="preserve"> </w:t>
      </w:r>
      <w:r>
        <w:rPr>
          <w:rFonts w:hint="eastAsia" w:asciiTheme="minorEastAsia" w:hAnsiTheme="minorEastAsia" w:cstheme="minorEastAsia"/>
          <w:color w:val="auto"/>
          <w:sz w:val="21"/>
          <w:szCs w:val="21"/>
          <w:highlight w:val="none"/>
          <w:lang w:val="en-US" w:eastAsia="zh-CN"/>
        </w:rPr>
        <w:t>高腾飞</w:t>
      </w:r>
      <w:r>
        <w:rPr>
          <w:rFonts w:hint="eastAsia" w:asciiTheme="minorEastAsia" w:hAnsiTheme="minorEastAsia" w:eastAsiaTheme="minorEastAsia" w:cstheme="minorEastAsia"/>
          <w:color w:val="auto"/>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rPr>
        <w:t>为现场代表，电话</w:t>
      </w:r>
      <w:r>
        <w:rPr>
          <w:rFonts w:hint="eastAsia" w:asciiTheme="minorEastAsia" w:hAnsiTheme="minorEastAsia" w:eastAsiaTheme="minorEastAsia" w:cstheme="minorEastAsia"/>
          <w:color w:val="auto"/>
          <w:szCs w:val="24"/>
          <w:highlight w:val="none"/>
          <w:u w:val="none"/>
          <w:lang w:eastAsia="zh-CN"/>
        </w:rPr>
        <w:t>：</w:t>
      </w:r>
      <w:r>
        <w:rPr>
          <w:rFonts w:hint="eastAsia" w:asciiTheme="minorEastAsia" w:hAnsiTheme="minorEastAsia" w:eastAsiaTheme="minorEastAsia" w:cstheme="minorEastAsia"/>
          <w:color w:val="auto"/>
          <w:szCs w:val="24"/>
          <w:highlight w:val="none"/>
          <w:u w:val="single"/>
          <w:lang w:eastAsia="zh-CN"/>
        </w:rPr>
        <w:t xml:space="preserve"> </w:t>
      </w:r>
      <w:r>
        <w:rPr>
          <w:rFonts w:hint="eastAsia" w:asciiTheme="minorEastAsia" w:hAnsiTheme="minorEastAsia" w:eastAsiaTheme="minorEastAsia" w:cstheme="minorEastAsia"/>
          <w:color w:val="auto"/>
          <w:szCs w:val="24"/>
          <w:highlight w:val="none"/>
          <w:u w:val="single"/>
          <w:lang w:val="en-US" w:eastAsia="zh-CN"/>
        </w:rPr>
        <w:t xml:space="preserve">18003713013 </w:t>
      </w:r>
      <w:r>
        <w:rPr>
          <w:rFonts w:hint="eastAsia" w:asciiTheme="minorEastAsia" w:hAnsiTheme="minorEastAsia" w:eastAsiaTheme="minorEastAsia" w:cstheme="minorEastAsia"/>
          <w:color w:val="auto"/>
          <w:szCs w:val="24"/>
          <w:highlight w:val="none"/>
        </w:rPr>
        <w:t>，并须持有与工程项目相适应的资格证书，负责施工期间的施工质量、安全问题，协调工作中发生的有关事宜。如现场代表变更则需经甲方同意。</w:t>
      </w:r>
    </w:p>
    <w:p w14:paraId="65EB19E0">
      <w:pPr>
        <w:numPr>
          <w:ilvl w:val="0"/>
          <w:numId w:val="3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乙方应服从甲方、监理单位、总承包单位的管理，密切配合总承包单位施工，遵守工地的有关规定；严格实行工序开工前向监理报验制度。</w:t>
      </w:r>
    </w:p>
    <w:p w14:paraId="0F03907D">
      <w:pPr>
        <w:numPr>
          <w:ilvl w:val="0"/>
          <w:numId w:val="3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乙方需无条件配合其它二次单位（软装、智能化等）做好预留预埋工作。</w:t>
      </w:r>
    </w:p>
    <w:p w14:paraId="4A4A61F7">
      <w:pPr>
        <w:numPr>
          <w:ilvl w:val="0"/>
          <w:numId w:val="3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乙方不得将该工程转包或分包，否则甲方不支付乙方所发生的任何费用。</w:t>
      </w:r>
    </w:p>
    <w:p w14:paraId="4C9A91CC">
      <w:pPr>
        <w:numPr>
          <w:ilvl w:val="0"/>
          <w:numId w:val="3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按照施工安全规范的要求，采取相应的安全施工防护措施，对验收合格前的安全负全责，发生安全事故与甲方及总承包单位无关，一切责任由乙方承担，甲方因此承担责任的，乙方应负责赔偿；做到文明施工，工完料清、场清；乙方做好半成品保护工作。</w:t>
      </w:r>
    </w:p>
    <w:p w14:paraId="7ABD05D9">
      <w:pPr>
        <w:numPr>
          <w:ilvl w:val="0"/>
          <w:numId w:val="3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做好各项质量自检记录，参加竣工验收，编制工程结算。</w:t>
      </w:r>
    </w:p>
    <w:p w14:paraId="24AEEC60">
      <w:pPr>
        <w:numPr>
          <w:ilvl w:val="0"/>
          <w:numId w:val="3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遵守国家或地方政府及有关部门对施工现场管理规定；服从甲方的有关指令，积极配合甲方进度安排。</w:t>
      </w:r>
    </w:p>
    <w:p w14:paraId="05B312DD">
      <w:pPr>
        <w:numPr>
          <w:ilvl w:val="0"/>
          <w:numId w:val="3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依据规范要求，负责组织工程验收及检测，验收及检测费由乙方自理。</w:t>
      </w:r>
    </w:p>
    <w:p w14:paraId="7C1D101C">
      <w:pPr>
        <w:numPr>
          <w:ilvl w:val="0"/>
          <w:numId w:val="3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根据施工验收规范及甲方要求，及时向甲方和总承包单位提供该分项技术资料。</w:t>
      </w:r>
    </w:p>
    <w:p w14:paraId="5D0B9DB9">
      <w:pPr>
        <w:numPr>
          <w:ilvl w:val="0"/>
          <w:numId w:val="3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甲方告知水源电源接驳点，但是具体接驳工作及产生的水电费由乙方自行承担。乙方在施工中用水、用电耗直接向总承包单位缴纳（具体的计量计价方式由乙方和总承包单位自行协商确定）。</w:t>
      </w:r>
    </w:p>
    <w:p w14:paraId="2E550BFF">
      <w:pPr>
        <w:numPr>
          <w:ilvl w:val="0"/>
          <w:numId w:val="3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周边关系由乙方进行协调，包括协调的责任及相关费用。</w:t>
      </w:r>
    </w:p>
    <w:p w14:paraId="1AA54CCD">
      <w:pPr>
        <w:numPr>
          <w:ilvl w:val="0"/>
          <w:numId w:val="3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乙方负责电梯门洞及电梯控制箱周边的封堵。</w:t>
      </w:r>
    </w:p>
    <w:p w14:paraId="144A5286">
      <w:pPr>
        <w:numPr>
          <w:ilvl w:val="0"/>
          <w:numId w:val="3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乙方负责完工后异味去除、保洁、垃圾清理等收尾工作。</w:t>
      </w:r>
    </w:p>
    <w:p w14:paraId="287DB165">
      <w:pPr>
        <w:numPr>
          <w:ilvl w:val="0"/>
          <w:numId w:val="3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乙方承诺本项目不因其他项目的合作（付款）影响本项目的施工，否则自愿承担10万元违约金。</w:t>
      </w:r>
    </w:p>
    <w:p w14:paraId="27B56E2F">
      <w:pPr>
        <w:numPr>
          <w:ilvl w:val="0"/>
          <w:numId w:val="2"/>
        </w:numPr>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违约责任</w:t>
      </w:r>
    </w:p>
    <w:p w14:paraId="6A7A5B32">
      <w:pPr>
        <w:numPr>
          <w:ilvl w:val="0"/>
          <w:numId w:val="32"/>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除不可抗力外，甲乙双方应严格遵守本合同的条款，否则，违约方须承担违约责任。</w:t>
      </w:r>
    </w:p>
    <w:p w14:paraId="3BC8CDC3">
      <w:pPr>
        <w:numPr>
          <w:ilvl w:val="0"/>
          <w:numId w:val="32"/>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乙方逾期进场、完工的或单独楼栋、总体工程未能按本合同约定工期进场、完工的，视为乙方违约，每逾期一天，按2000元/天向甲方支付违约金，同时因施工逾期引起的相关损失由乙方承担。</w:t>
      </w:r>
    </w:p>
    <w:p w14:paraId="01F044F5">
      <w:pPr>
        <w:numPr>
          <w:ilvl w:val="0"/>
          <w:numId w:val="32"/>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乙方存在其他任何逾期违约行为但未达到甲方行使单方解除条件的，每逾期一日，按2000元/日向甲方支付违约金，本合同另有约定时除外。</w:t>
      </w:r>
    </w:p>
    <w:p w14:paraId="2B26AA49">
      <w:pPr>
        <w:numPr>
          <w:ilvl w:val="0"/>
          <w:numId w:val="32"/>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乙方存在其他违约行为但未达到甲方行使单方解除条件的，每存在一项/次违约行为，乙方应按2000元/次（项）向甲方支付违约金。</w:t>
      </w:r>
    </w:p>
    <w:p w14:paraId="6F095D60">
      <w:pPr>
        <w:numPr>
          <w:ilvl w:val="0"/>
          <w:numId w:val="32"/>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乙方提供产品的品牌、规格、型号等与本合同约定不符的，视为乙方违约，甲方有权拒绝验收，乙方应在5日内无偿更换。</w:t>
      </w:r>
    </w:p>
    <w:p w14:paraId="32C77064">
      <w:pPr>
        <w:numPr>
          <w:ilvl w:val="0"/>
          <w:numId w:val="32"/>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提供的产品质量、施工的工程质量、质保期服务质量未能达到本合同约定的质量要求和验收标准的，或进度上不符合甲方要求的，视为乙方违约，甲方有权拒绝验收；乙方应在甲方同意的期限内进行更换、维修、整改，因此造成逾期的，按逾期条款承担违约责任。</w:t>
      </w:r>
    </w:p>
    <w:p w14:paraId="32519D3A">
      <w:pPr>
        <w:numPr>
          <w:ilvl w:val="0"/>
          <w:numId w:val="32"/>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乙方违约导致甲方解除合同的，乙方所有人员必须在3日内撤离施工现场，甲方已支付的预付款（如有）需在3日内退还至甲方，由此造成的所有损失均由乙方负责。</w:t>
      </w:r>
    </w:p>
    <w:p w14:paraId="62BC0890">
      <w:pPr>
        <w:numPr>
          <w:ilvl w:val="0"/>
          <w:numId w:val="32"/>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乙方应向甲方支付的违约金等，甲方有权直接在甲方应付未付款中扣除，违约金不足以弥补甲方损失的，甲方可继续向乙方追偿。</w:t>
      </w:r>
    </w:p>
    <w:p w14:paraId="50D735DC">
      <w:pPr>
        <w:numPr>
          <w:ilvl w:val="0"/>
          <w:numId w:val="32"/>
        </w:numPr>
        <w:spacing w:line="360" w:lineRule="auto"/>
        <w:ind w:left="66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合同约定应由乙方完成的工作内容（包括但不限于：承包范围内防火门施工工程、图纸会审纪要、设计变更、现场签证等），如乙方拒绝施工或不能按合同要求的工期或质量标准完成施工，甲方可安排第三方实施，并按照另行委托造价的1.3倍从乙方下一次的付款节点中扣除，且影响工期的责任由乙方负责。</w:t>
      </w:r>
    </w:p>
    <w:p w14:paraId="69D2D830">
      <w:pPr>
        <w:numPr>
          <w:ilvl w:val="0"/>
          <w:numId w:val="2"/>
        </w:numPr>
        <w:wordWrap w:val="0"/>
        <w:topLinePunct/>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不可抗力</w:t>
      </w:r>
    </w:p>
    <w:p w14:paraId="3C57C57C">
      <w:pPr>
        <w:numPr>
          <w:ilvl w:val="0"/>
          <w:numId w:val="33"/>
        </w:numPr>
        <w:wordWrap w:val="0"/>
        <w:topLinePunct/>
        <w:autoSpaceDE w:val="0"/>
        <w:spacing w:line="360" w:lineRule="auto"/>
        <w:ind w:left="66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不可抗力指因战争、动乱、瘟疫、空中飞行物坠落或其他非双方责任造成的爆炸、火灾以及9级以上的台风、7级及7级以上的地震等。（以当地行业主管部门的公告为准 ）。</w:t>
      </w:r>
    </w:p>
    <w:p w14:paraId="2401ECC7">
      <w:pPr>
        <w:numPr>
          <w:ilvl w:val="0"/>
          <w:numId w:val="33"/>
        </w:numPr>
        <w:wordWrap w:val="0"/>
        <w:topLinePunct/>
        <w:autoSpaceDE w:val="0"/>
        <w:spacing w:line="360" w:lineRule="auto"/>
        <w:ind w:left="66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p>
    <w:p w14:paraId="79CAF201">
      <w:pPr>
        <w:numPr>
          <w:ilvl w:val="0"/>
          <w:numId w:val="33"/>
        </w:numPr>
        <w:wordWrap w:val="0"/>
        <w:topLinePunct/>
        <w:autoSpaceDE w:val="0"/>
        <w:spacing w:line="360" w:lineRule="auto"/>
        <w:ind w:left="66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费用承担：</w:t>
      </w:r>
    </w:p>
    <w:p w14:paraId="4ECD9C06">
      <w:pPr>
        <w:pStyle w:val="17"/>
        <w:numPr>
          <w:ilvl w:val="0"/>
          <w:numId w:val="34"/>
        </w:numPr>
        <w:wordWrap w:val="0"/>
        <w:topLinePunct/>
        <w:autoSpaceDE w:val="0"/>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人员伤亡由所属单位负责，并承担相应费用；</w:t>
      </w:r>
    </w:p>
    <w:p w14:paraId="3D86488F">
      <w:pPr>
        <w:pStyle w:val="17"/>
        <w:numPr>
          <w:ilvl w:val="0"/>
          <w:numId w:val="34"/>
        </w:numPr>
        <w:wordWrap w:val="0"/>
        <w:topLinePunct/>
        <w:autoSpaceDE w:val="0"/>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造成乙方工程设备、机械的损失等损失由乙方承担；</w:t>
      </w:r>
    </w:p>
    <w:p w14:paraId="47AF24D1">
      <w:pPr>
        <w:pStyle w:val="17"/>
        <w:numPr>
          <w:ilvl w:val="0"/>
          <w:numId w:val="34"/>
        </w:numPr>
        <w:wordWrap w:val="0"/>
        <w:topLinePunct/>
        <w:autoSpaceDE w:val="0"/>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所需清理修复工作的责任与费用的承担，双方另行商定。</w:t>
      </w:r>
    </w:p>
    <w:p w14:paraId="7A114C94">
      <w:pPr>
        <w:numPr>
          <w:ilvl w:val="0"/>
          <w:numId w:val="2"/>
        </w:numPr>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送达条款</w:t>
      </w:r>
    </w:p>
    <w:p w14:paraId="4FD2F846">
      <w:pPr>
        <w:numPr>
          <w:ilvl w:val="0"/>
          <w:numId w:val="35"/>
        </w:numPr>
        <w:wordWrap/>
        <w:topLinePunct w:val="0"/>
        <w:autoSpaceDE/>
        <w:spacing w:line="360" w:lineRule="auto"/>
        <w:ind w:left="66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甲乙双方明确送达信息如下：</w:t>
      </w:r>
    </w:p>
    <w:p w14:paraId="3153D974">
      <w:pPr>
        <w:tabs>
          <w:tab w:val="left" w:pos="1276"/>
        </w:tabs>
        <w:wordWrap w:val="0"/>
        <w:topLinePunct/>
        <w:autoSpaceDE w:val="0"/>
        <w:spacing w:line="360" w:lineRule="auto"/>
        <w:ind w:left="480" w:left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 xml:space="preserve">洛阳市洛龙区关林西路8号中浩德控股集团有限公司1楼 </w:t>
      </w:r>
      <w:r>
        <w:rPr>
          <w:rFonts w:hint="eastAsia" w:asciiTheme="minorEastAsia" w:hAnsiTheme="minorEastAsia" w:eastAsiaTheme="minorEastAsia" w:cstheme="minorEastAsia"/>
          <w:color w:val="auto"/>
          <w:szCs w:val="24"/>
          <w:highlight w:val="none"/>
        </w:rPr>
        <w:t>。           联系人：</w:t>
      </w:r>
      <w:r>
        <w:rPr>
          <w:rFonts w:hint="eastAsia" w:asciiTheme="minorEastAsia" w:hAnsiTheme="minorEastAsia" w:eastAsiaTheme="minorEastAsia" w:cstheme="minorEastAsia"/>
          <w:color w:val="auto"/>
          <w:szCs w:val="24"/>
          <w:highlight w:val="none"/>
          <w:u w:val="single"/>
        </w:rPr>
        <w:t>成本管理部</w:t>
      </w:r>
      <w:r>
        <w:rPr>
          <w:rFonts w:hint="eastAsia" w:asciiTheme="minorEastAsia" w:hAnsiTheme="minorEastAsia" w:eastAsiaTheme="minorEastAsia" w:cstheme="minorEastAsia"/>
          <w:color w:val="auto"/>
          <w:szCs w:val="24"/>
          <w:highlight w:val="none"/>
        </w:rPr>
        <w:t>；联系固话：</w:t>
      </w:r>
      <w:r>
        <w:rPr>
          <w:rFonts w:hint="eastAsia" w:asciiTheme="minorEastAsia" w:hAnsiTheme="minorEastAsia" w:eastAsiaTheme="minorEastAsia" w:cstheme="minorEastAsia"/>
          <w:color w:val="auto"/>
          <w:szCs w:val="24"/>
          <w:highlight w:val="none"/>
          <w:u w:val="single"/>
        </w:rPr>
        <w:t>0379-60667770</w:t>
      </w:r>
      <w:r>
        <w:rPr>
          <w:rFonts w:hint="eastAsia" w:asciiTheme="minorEastAsia" w:hAnsiTheme="minorEastAsia" w:eastAsiaTheme="minorEastAsia" w:cstheme="minorEastAsia"/>
          <w:color w:val="auto"/>
          <w:szCs w:val="24"/>
          <w:highlight w:val="none"/>
        </w:rPr>
        <w:t>；联系手机 ：</w:t>
      </w:r>
      <w:r>
        <w:rPr>
          <w:rFonts w:hint="eastAsia" w:asciiTheme="minorEastAsia" w:hAnsiTheme="minorEastAsia" w:eastAsiaTheme="minorEastAsia" w:cstheme="minorEastAsia"/>
          <w:color w:val="auto"/>
          <w:szCs w:val="24"/>
          <w:highlight w:val="none"/>
          <w:u w:val="single"/>
        </w:rPr>
        <w:t xml:space="preserve">   /   </w:t>
      </w:r>
      <w:r>
        <w:rPr>
          <w:rFonts w:hint="eastAsia" w:asciiTheme="minorEastAsia" w:hAnsiTheme="minorEastAsia" w:eastAsiaTheme="minorEastAsia" w:cstheme="minorEastAsia"/>
          <w:color w:val="auto"/>
          <w:szCs w:val="24"/>
          <w:highlight w:val="none"/>
        </w:rPr>
        <w:t xml:space="preserve">。      </w:t>
      </w:r>
    </w:p>
    <w:p w14:paraId="1F35502B">
      <w:pPr>
        <w:numPr>
          <w:ilvl w:val="0"/>
          <w:numId w:val="35"/>
        </w:numPr>
        <w:wordWrap/>
        <w:topLinePunct w:val="0"/>
        <w:autoSpaceDE/>
        <w:spacing w:line="360" w:lineRule="auto"/>
        <w:ind w:left="66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乙方确认的送达信息为：</w:t>
      </w:r>
    </w:p>
    <w:p w14:paraId="08A074A7">
      <w:pPr>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lang w:val="en-US" w:eastAsia="zh-CN"/>
        </w:rPr>
        <w:t xml:space="preserve">郑州市航海东路经开第二十大街7号中兴新业港40号楼   </w:t>
      </w:r>
      <w:r>
        <w:rPr>
          <w:rFonts w:hint="eastAsia" w:asciiTheme="minorEastAsia" w:hAnsiTheme="minorEastAsia" w:eastAsiaTheme="minorEastAsia" w:cstheme="minorEastAsia"/>
          <w:color w:val="auto"/>
          <w:szCs w:val="24"/>
          <w:highlight w:val="none"/>
        </w:rPr>
        <w:t>。</w:t>
      </w:r>
    </w:p>
    <w:p w14:paraId="03B2908D">
      <w:pPr>
        <w:pStyle w:val="17"/>
        <w:wordWrap w:val="0"/>
        <w:topLinePunct/>
        <w:autoSpaceDE w:val="0"/>
        <w:ind w:left="480" w:left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联系人： </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lang w:val="en-US" w:eastAsia="zh-CN"/>
        </w:rPr>
        <w:t xml:space="preserve"> 尹供安</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；联系固话：</w:t>
      </w:r>
      <w:r>
        <w:rPr>
          <w:rFonts w:hint="eastAsia" w:asciiTheme="minorEastAsia" w:hAnsiTheme="minorEastAsia" w:eastAsiaTheme="minorEastAsia" w:cstheme="minorEastAsia"/>
          <w:color w:val="auto"/>
          <w:szCs w:val="24"/>
          <w:highlight w:val="none"/>
          <w:u w:val="single"/>
        </w:rPr>
        <w:t xml:space="preserve">   /  </w:t>
      </w:r>
      <w:r>
        <w:rPr>
          <w:rFonts w:hint="eastAsia" w:asciiTheme="minorEastAsia" w:hAnsiTheme="minorEastAsia" w:eastAsiaTheme="minorEastAsia" w:cstheme="minorEastAsia"/>
          <w:color w:val="auto"/>
          <w:szCs w:val="24"/>
          <w:highlight w:val="none"/>
        </w:rPr>
        <w:t>；联系手机 ：</w:t>
      </w:r>
      <w:r>
        <w:rPr>
          <w:rFonts w:hint="eastAsia" w:asciiTheme="minorEastAsia" w:hAnsiTheme="minorEastAsia" w:eastAsiaTheme="minorEastAsia" w:cstheme="minorEastAsia"/>
          <w:color w:val="auto"/>
          <w:szCs w:val="24"/>
          <w:highlight w:val="none"/>
          <w:u w:val="single"/>
          <w:lang w:val="en-US" w:eastAsia="zh-CN"/>
        </w:rPr>
        <w:t xml:space="preserve"> 15737185339 </w:t>
      </w:r>
      <w:r>
        <w:rPr>
          <w:rFonts w:hint="eastAsia" w:asciiTheme="minorEastAsia" w:hAnsiTheme="minorEastAsia" w:eastAsiaTheme="minorEastAsia" w:cstheme="minorEastAsia"/>
          <w:color w:val="auto"/>
          <w:szCs w:val="24"/>
          <w:highlight w:val="none"/>
        </w:rPr>
        <w:t xml:space="preserve">。   </w:t>
      </w:r>
    </w:p>
    <w:p w14:paraId="6CD92995">
      <w:pPr>
        <w:numPr>
          <w:ilvl w:val="0"/>
          <w:numId w:val="35"/>
        </w:numPr>
        <w:spacing w:line="360" w:lineRule="auto"/>
        <w:ind w:left="66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双方在此共同确认，上述送达信息将作为双方在合同项下邮寄往来通知、函件等任何文件资料及法院送达法律文书的唯一有效送达地址及联系信息。任何一方变更送达信息，应当提前10日书面通知对方，否则视为未变更。任何一方按照上述送达信息向对方邮寄任何文件资料，自邮件发出后的第3日视为已经有效送达对方并产生相应的法律后果，不论该邮件是否已经由对方实际签收。</w:t>
      </w:r>
    </w:p>
    <w:p w14:paraId="1352B60D">
      <w:pPr>
        <w:numPr>
          <w:ilvl w:val="0"/>
          <w:numId w:val="2"/>
        </w:numPr>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合同解约条款</w:t>
      </w:r>
    </w:p>
    <w:p w14:paraId="325BC194">
      <w:pPr>
        <w:numPr>
          <w:ilvl w:val="0"/>
          <w:numId w:val="36"/>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存在如下任一情况的，甲方有权要求乙方按照合同总价的20%支付违约金（本合同另有约定时除外），且有权解除本合同，解除通知到达乙方之日生效，该违约金不足以弥补甲方损失，乙方还应继续承担赔偿责任。</w:t>
      </w:r>
    </w:p>
    <w:p w14:paraId="48E0FD73">
      <w:pPr>
        <w:numPr>
          <w:ilvl w:val="0"/>
          <w:numId w:val="37"/>
        </w:numPr>
        <w:tabs>
          <w:tab w:val="left" w:pos="900"/>
        </w:tabs>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本工程不能通过验收的；</w:t>
      </w:r>
    </w:p>
    <w:p w14:paraId="169F9846">
      <w:pPr>
        <w:numPr>
          <w:ilvl w:val="0"/>
          <w:numId w:val="37"/>
        </w:numPr>
        <w:tabs>
          <w:tab w:val="left" w:pos="900"/>
        </w:tabs>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乙方未能按时进场施工的，在甲方发出书面通知后的5日内仍未进场施工的；</w:t>
      </w:r>
    </w:p>
    <w:p w14:paraId="4DA23BAE">
      <w:pPr>
        <w:numPr>
          <w:ilvl w:val="0"/>
          <w:numId w:val="37"/>
        </w:numPr>
        <w:tabs>
          <w:tab w:val="left" w:pos="900"/>
        </w:tabs>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乙方在施工过程中非因不可抗力或甲方原因造成连续停工7日以上或累计达7日的；</w:t>
      </w:r>
    </w:p>
    <w:p w14:paraId="4C04668A">
      <w:pPr>
        <w:numPr>
          <w:ilvl w:val="0"/>
          <w:numId w:val="37"/>
        </w:numPr>
        <w:tabs>
          <w:tab w:val="left" w:pos="900"/>
        </w:tabs>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乙方逾期竣工、向甲方提交竣工结算书及完整的竣工结算资料、核对工程价款或其他逾期行为达7日及以上的；</w:t>
      </w:r>
    </w:p>
    <w:p w14:paraId="268E09B1">
      <w:pPr>
        <w:numPr>
          <w:ilvl w:val="0"/>
          <w:numId w:val="37"/>
        </w:numPr>
        <w:tabs>
          <w:tab w:val="left" w:pos="900"/>
        </w:tabs>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乙方人员在施工区内出现打架斗殴行为至警察出警、立案、相关行为人收到行政处罚或刑事处罚的；</w:t>
      </w:r>
    </w:p>
    <w:p w14:paraId="18D19A49">
      <w:pPr>
        <w:numPr>
          <w:ilvl w:val="0"/>
          <w:numId w:val="37"/>
        </w:numPr>
        <w:tabs>
          <w:tab w:val="left" w:pos="900"/>
        </w:tabs>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乙方擅自把工程分包或转包给其他任何单位的；</w:t>
      </w:r>
    </w:p>
    <w:p w14:paraId="2C1CDCE5">
      <w:pPr>
        <w:numPr>
          <w:ilvl w:val="0"/>
          <w:numId w:val="37"/>
        </w:numPr>
        <w:tabs>
          <w:tab w:val="left" w:pos="900"/>
        </w:tabs>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乙方与甲方工作人员串通、虚构事实或使用其他方式虚报工程量的；</w:t>
      </w:r>
    </w:p>
    <w:p w14:paraId="23DB3AF4">
      <w:pPr>
        <w:numPr>
          <w:ilvl w:val="0"/>
          <w:numId w:val="37"/>
        </w:numPr>
        <w:tabs>
          <w:tab w:val="left" w:pos="900"/>
        </w:tabs>
        <w:spacing w:line="360" w:lineRule="auto"/>
        <w:ind w:left="90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甲方或监理方对同一施工问题连续下发三次整改通知书后乙方无作为或整改问题未在整改通知书要求的期限内解决；</w:t>
      </w:r>
    </w:p>
    <w:p w14:paraId="4183B79B">
      <w:pPr>
        <w:numPr>
          <w:ilvl w:val="0"/>
          <w:numId w:val="37"/>
        </w:numPr>
        <w:tabs>
          <w:tab w:val="left" w:pos="900"/>
        </w:tabs>
        <w:spacing w:line="360" w:lineRule="auto"/>
        <w:ind w:left="90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乙方购置不符合合同约定的品牌、厂家、产地、材质、工艺、规格、型号等标准的产品或者假冒伪劣产品用于本工程；</w:t>
      </w:r>
    </w:p>
    <w:p w14:paraId="62717573">
      <w:pPr>
        <w:numPr>
          <w:ilvl w:val="0"/>
          <w:numId w:val="37"/>
        </w:numPr>
        <w:tabs>
          <w:tab w:val="left" w:pos="900"/>
        </w:tabs>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乙方存在其他违约行为，经甲方书面通知之日7日内仍未纠正的。</w:t>
      </w:r>
    </w:p>
    <w:p w14:paraId="3AA57B0D">
      <w:pPr>
        <w:numPr>
          <w:ilvl w:val="0"/>
          <w:numId w:val="36"/>
        </w:numPr>
        <w:spacing w:line="360" w:lineRule="auto"/>
        <w:ind w:left="66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合同解除后，对于乙方已完工部分且质量合格的按照实际工程量给予结算70%；对于不合格部分责令整改，整改合格后给予结算工程70%。若乙方拒绝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p>
    <w:p w14:paraId="48C2BD1E">
      <w:pPr>
        <w:numPr>
          <w:ilvl w:val="0"/>
          <w:numId w:val="36"/>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val="0"/>
          <w:color w:val="auto"/>
          <w:szCs w:val="22"/>
          <w:highlight w:val="none"/>
        </w:rPr>
        <w:t>如合同解约甲方有权委托其他公司进行施工。</w:t>
      </w:r>
    </w:p>
    <w:p w14:paraId="297ADF17">
      <w:pPr>
        <w:numPr>
          <w:ilvl w:val="0"/>
          <w:numId w:val="2"/>
        </w:numPr>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争议的解决</w:t>
      </w:r>
    </w:p>
    <w:p w14:paraId="3006855F">
      <w:pPr>
        <w:wordWrap w:val="0"/>
        <w:topLinePunct/>
        <w:autoSpaceDE w:val="0"/>
        <w:spacing w:line="360" w:lineRule="auto"/>
        <w:ind w:firstLine="512"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color w:val="auto"/>
          <w:spacing w:val="8"/>
          <w:szCs w:val="24"/>
          <w:highlight w:val="none"/>
        </w:rPr>
        <w:t>本合同履行过程中发生争议或纠纷的，由当事人双方协商解决。协商不成时，双方同意向合同签约地人民法院提起诉讼。</w:t>
      </w:r>
    </w:p>
    <w:p w14:paraId="68CF23AB">
      <w:pPr>
        <w:numPr>
          <w:ilvl w:val="0"/>
          <w:numId w:val="2"/>
        </w:numPr>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其他</w:t>
      </w:r>
    </w:p>
    <w:p w14:paraId="756CA958">
      <w:pPr>
        <w:numPr>
          <w:ilvl w:val="0"/>
          <w:numId w:val="38"/>
        </w:numPr>
        <w:wordWrap/>
        <w:topLinePunct w:val="0"/>
        <w:autoSpaceDE/>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本合同未尽事宜双方协商解决或另签补充协议，补充协议与本合同具有同等法律效力。</w:t>
      </w:r>
    </w:p>
    <w:p w14:paraId="0245CBF9">
      <w:pPr>
        <w:numPr>
          <w:ilvl w:val="0"/>
          <w:numId w:val="38"/>
        </w:numPr>
        <w:wordWrap/>
        <w:topLinePunct w:val="0"/>
        <w:autoSpaceDE/>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本合同一式柒份，甲方伍份，乙方贰份，均具有同等法律效力。</w:t>
      </w:r>
    </w:p>
    <w:p w14:paraId="6EDBF893">
      <w:pPr>
        <w:numPr>
          <w:ilvl w:val="0"/>
          <w:numId w:val="38"/>
        </w:numPr>
        <w:wordWrap/>
        <w:topLinePunct w:val="0"/>
        <w:autoSpaceDE/>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本合同及其补充协议自双方盖章之日起生效。</w:t>
      </w:r>
    </w:p>
    <w:p w14:paraId="6C128435">
      <w:pPr>
        <w:numPr>
          <w:ilvl w:val="0"/>
          <w:numId w:val="38"/>
        </w:numPr>
        <w:wordWrap w:val="0"/>
        <w:topLinePunct/>
        <w:autoSpaceDE w:val="0"/>
        <w:spacing w:line="360" w:lineRule="auto"/>
        <w:ind w:left="665" w:hanging="425" w:firstLineChars="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0"/>
          <w:szCs w:val="22"/>
          <w:highlight w:val="none"/>
        </w:rPr>
        <w:t>合同签订地点：洛阳市洛龙区关林西路8号中浩德控股集团有限公司1楼</w:t>
      </w:r>
      <w:r>
        <w:rPr>
          <w:rFonts w:hint="eastAsia" w:asciiTheme="minorEastAsia" w:hAnsiTheme="minorEastAsia" w:eastAsiaTheme="minorEastAsia" w:cstheme="minorEastAsia"/>
          <w:color w:val="auto"/>
          <w:spacing w:val="8"/>
          <w:szCs w:val="24"/>
          <w:highlight w:val="none"/>
        </w:rPr>
        <w:t xml:space="preserve">。 </w:t>
      </w:r>
    </w:p>
    <w:p w14:paraId="3977608B">
      <w:pPr>
        <w:numPr>
          <w:ilvl w:val="0"/>
          <w:numId w:val="2"/>
        </w:numPr>
        <w:wordWrap w:val="0"/>
        <w:topLinePunct/>
        <w:autoSpaceDE w:val="0"/>
        <w:spacing w:line="360" w:lineRule="auto"/>
        <w:ind w:left="-420" w:firstLine="482" w:firstLineChars="20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合同附件</w:t>
      </w:r>
    </w:p>
    <w:p w14:paraId="44BD20B6">
      <w:pPr>
        <w:numPr>
          <w:ilvl w:val="0"/>
          <w:numId w:val="39"/>
        </w:numPr>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合同附件一《廉政合作协议》</w:t>
      </w:r>
    </w:p>
    <w:p w14:paraId="6E2FAA91">
      <w:pPr>
        <w:numPr>
          <w:ilvl w:val="0"/>
          <w:numId w:val="39"/>
        </w:numPr>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合同附件二《乙方派驻本工程人员名单表》</w:t>
      </w:r>
    </w:p>
    <w:p w14:paraId="2F1576F0">
      <w:pPr>
        <w:numPr>
          <w:ilvl w:val="0"/>
          <w:numId w:val="39"/>
        </w:numPr>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合同附件三《材料品牌表》</w:t>
      </w:r>
    </w:p>
    <w:p w14:paraId="7DF7B2F7">
      <w:pPr>
        <w:numPr>
          <w:ilvl w:val="0"/>
          <w:numId w:val="39"/>
        </w:numPr>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合同附件四《装修工程外观验收标准》</w:t>
      </w:r>
    </w:p>
    <w:p w14:paraId="0D0BDD3A">
      <w:pPr>
        <w:numPr>
          <w:ilvl w:val="0"/>
          <w:numId w:val="39"/>
        </w:numPr>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合同附件五《工程完工清洁移交标准》</w:t>
      </w:r>
    </w:p>
    <w:p w14:paraId="748BEA22">
      <w:pPr>
        <w:numPr>
          <w:ilvl w:val="0"/>
          <w:numId w:val="39"/>
        </w:numPr>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合同附件六《成品保护标准》</w:t>
      </w:r>
    </w:p>
    <w:p w14:paraId="4BA3FBC1">
      <w:pPr>
        <w:numPr>
          <w:ilvl w:val="0"/>
          <w:numId w:val="39"/>
        </w:numPr>
        <w:overflowPunct/>
        <w:spacing w:line="360" w:lineRule="auto"/>
        <w:ind w:left="665" w:hanging="425" w:firstLineChars="0"/>
        <w:rPr>
          <w:rFonts w:hint="eastAsia" w:asciiTheme="minorEastAsia" w:hAnsiTheme="minorEastAsia" w:eastAsiaTheme="minorEastAsia" w:cstheme="minorEastAsia"/>
          <w:color w:val="auto"/>
          <w:spacing w:val="0"/>
          <w:szCs w:val="22"/>
          <w:highlight w:val="none"/>
          <w:lang w:val="en-US" w:eastAsia="zh-CN"/>
        </w:rPr>
      </w:pPr>
      <w:r>
        <w:rPr>
          <w:rFonts w:hint="eastAsia" w:asciiTheme="minorEastAsia" w:hAnsiTheme="minorEastAsia" w:eastAsiaTheme="minorEastAsia" w:cstheme="minorEastAsia"/>
          <w:color w:val="auto"/>
          <w:spacing w:val="0"/>
          <w:szCs w:val="22"/>
          <w:highlight w:val="none"/>
        </w:rPr>
        <w:t>合同附件七</w:t>
      </w:r>
      <w:r>
        <w:rPr>
          <w:rFonts w:hint="eastAsia" w:asciiTheme="minorEastAsia" w:hAnsiTheme="minorEastAsia" w:eastAsiaTheme="minorEastAsia" w:cstheme="minorEastAsia"/>
          <w:color w:val="auto"/>
          <w:spacing w:val="0"/>
          <w:szCs w:val="22"/>
          <w:highlight w:val="none"/>
          <w:lang w:eastAsia="zh-CN"/>
        </w:rPr>
        <w:t>《</w:t>
      </w:r>
      <w:r>
        <w:rPr>
          <w:rFonts w:hint="eastAsia" w:asciiTheme="minorEastAsia" w:hAnsiTheme="minorEastAsia" w:eastAsiaTheme="minorEastAsia" w:cstheme="minorEastAsia"/>
          <w:color w:val="auto"/>
          <w:spacing w:val="0"/>
          <w:szCs w:val="22"/>
          <w:highlight w:val="none"/>
          <w:lang w:val="en-US" w:eastAsia="zh-CN"/>
        </w:rPr>
        <w:t>招标答疑及回复</w:t>
      </w:r>
      <w:r>
        <w:rPr>
          <w:rFonts w:hint="eastAsia" w:asciiTheme="minorEastAsia" w:hAnsiTheme="minorEastAsia" w:eastAsiaTheme="minorEastAsia" w:cstheme="minorEastAsia"/>
          <w:color w:val="auto"/>
          <w:spacing w:val="0"/>
          <w:szCs w:val="22"/>
          <w:highlight w:val="none"/>
          <w:lang w:eastAsia="zh-CN"/>
        </w:rPr>
        <w:t>》</w:t>
      </w:r>
    </w:p>
    <w:p w14:paraId="06D2CAD5">
      <w:pPr>
        <w:numPr>
          <w:ilvl w:val="0"/>
          <w:numId w:val="39"/>
        </w:numPr>
        <w:overflowPunct/>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合同附件</w:t>
      </w:r>
      <w:r>
        <w:rPr>
          <w:rFonts w:hint="eastAsia" w:asciiTheme="minorEastAsia" w:hAnsiTheme="minorEastAsia" w:eastAsiaTheme="minorEastAsia" w:cstheme="minorEastAsia"/>
          <w:color w:val="auto"/>
          <w:spacing w:val="0"/>
          <w:szCs w:val="22"/>
          <w:highlight w:val="none"/>
          <w:lang w:eastAsia="zh-CN"/>
        </w:rPr>
        <w:t>八</w:t>
      </w:r>
      <w:r>
        <w:rPr>
          <w:rFonts w:hint="eastAsia" w:asciiTheme="minorEastAsia" w:hAnsiTheme="minorEastAsia" w:eastAsiaTheme="minorEastAsia" w:cstheme="minorEastAsia"/>
          <w:color w:val="auto"/>
          <w:spacing w:val="0"/>
          <w:szCs w:val="22"/>
          <w:highlight w:val="none"/>
        </w:rPr>
        <w:t>《价格清单》（单独打印后附装订）</w:t>
      </w:r>
    </w:p>
    <w:p w14:paraId="7E788DDA">
      <w:pPr>
        <w:spacing w:line="360" w:lineRule="auto"/>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color w:val="auto"/>
          <w:szCs w:val="28"/>
          <w:highlight w:val="none"/>
        </w:rPr>
        <w:t>（以下无正文）</w:t>
      </w:r>
    </w:p>
    <w:p w14:paraId="2590F8C6">
      <w:pPr>
        <w:spacing w:line="360" w:lineRule="auto"/>
        <w:ind w:firstLine="480"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bCs/>
          <w:color w:val="auto"/>
          <w:szCs w:val="24"/>
          <w:highlight w:val="none"/>
        </w:rPr>
        <w:t>甲方：（盖章）</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bCs/>
          <w:color w:val="auto"/>
          <w:szCs w:val="24"/>
          <w:highlight w:val="none"/>
        </w:rPr>
        <w:t>乙方：（盖章）</w:t>
      </w:r>
    </w:p>
    <w:p w14:paraId="76AA9FD3">
      <w:pPr>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 xml:space="preserve">法定代表人：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 xml:space="preserve"> 法定代表人：</w:t>
      </w:r>
    </w:p>
    <w:p w14:paraId="515E2837">
      <w:pPr>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委托代理人：                      委托代理人：</w:t>
      </w:r>
    </w:p>
    <w:p w14:paraId="629A9A35">
      <w:pPr>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纳税人识别号：</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 xml:space="preserve"> 纳税人识别号：91410103MA9KBNQ42M</w:t>
      </w:r>
    </w:p>
    <w:p w14:paraId="4F117191">
      <w:pPr>
        <w:spacing w:line="360" w:lineRule="auto"/>
        <w:ind w:left="6286" w:leftChars="166" w:hanging="5888" w:hangingChars="23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 xml:space="preserve">开户行：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开户行：上海浦东发展银行股份有限公</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 xml:space="preserve">司郑州郑东新区支行                     </w:t>
      </w:r>
    </w:p>
    <w:p w14:paraId="0823D598">
      <w:pPr>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 xml:space="preserve">账号：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 xml:space="preserve">账号：76190078801100002217 </w:t>
      </w:r>
    </w:p>
    <w:p w14:paraId="16ADB34B">
      <w:pPr>
        <w:wordWrap/>
        <w:topLinePunct w:val="0"/>
        <w:autoSpaceDE/>
        <w:spacing w:line="360" w:lineRule="auto"/>
        <w:ind w:firstLine="480"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Cs/>
          <w:color w:val="auto"/>
          <w:szCs w:val="24"/>
          <w:highlight w:val="none"/>
        </w:rPr>
        <w:t>签订日期：</w:t>
      </w:r>
      <w:r>
        <w:rPr>
          <w:rFonts w:hint="eastAsia" w:asciiTheme="minorEastAsia" w:hAnsiTheme="minorEastAsia" w:eastAsiaTheme="minorEastAsia" w:cstheme="minorEastAsia"/>
          <w:bCs/>
          <w:color w:val="auto"/>
          <w:szCs w:val="24"/>
          <w:highlight w:val="none"/>
          <w:lang w:val="en-US" w:eastAsia="zh-CN"/>
        </w:rPr>
        <w:t xml:space="preserve">   </w:t>
      </w:r>
      <w:r>
        <w:rPr>
          <w:rFonts w:hint="eastAsia" w:asciiTheme="minorEastAsia" w:hAnsiTheme="minorEastAsia" w:eastAsiaTheme="minorEastAsia" w:cstheme="minorEastAsia"/>
          <w:bCs/>
          <w:color w:val="auto"/>
          <w:szCs w:val="24"/>
          <w:highlight w:val="none"/>
          <w:u w:val="single"/>
          <w:lang w:val="en-US" w:eastAsia="zh-CN"/>
        </w:rPr>
        <w:t xml:space="preserve">  </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 xml:space="preserve">  </w:t>
      </w:r>
      <w:r>
        <w:rPr>
          <w:rFonts w:hint="eastAsia" w:asciiTheme="minorEastAsia" w:hAnsiTheme="minorEastAsia" w:eastAsiaTheme="minorEastAsia" w:cstheme="minorEastAsia"/>
          <w:bCs/>
          <w:color w:val="auto"/>
          <w:szCs w:val="24"/>
          <w:highlight w:val="none"/>
        </w:rPr>
        <w:t>月</w:t>
      </w:r>
      <w:r>
        <w:rPr>
          <w:rFonts w:hint="eastAsia" w:asciiTheme="minorEastAsia" w:hAnsiTheme="minorEastAsia" w:eastAsiaTheme="minorEastAsia" w:cstheme="minorEastAsia"/>
          <w:bCs/>
          <w:color w:val="auto"/>
          <w:szCs w:val="24"/>
          <w:highlight w:val="none"/>
          <w:u w:val="single"/>
          <w:lang w:val="en-US" w:eastAsia="zh-CN"/>
        </w:rPr>
        <w:t xml:space="preserve">  </w:t>
      </w:r>
      <w:r>
        <w:rPr>
          <w:rFonts w:hint="eastAsia" w:asciiTheme="minorEastAsia" w:hAnsiTheme="minorEastAsia" w:eastAsiaTheme="minorEastAsia" w:cstheme="minorEastAsia"/>
          <w:bCs/>
          <w:color w:val="auto"/>
          <w:szCs w:val="24"/>
          <w:highlight w:val="none"/>
        </w:rPr>
        <w:t>日             签订日期：</w:t>
      </w:r>
      <w:r>
        <w:rPr>
          <w:rFonts w:hint="eastAsia" w:asciiTheme="minorEastAsia" w:hAnsiTheme="minorEastAsia" w:eastAsiaTheme="minorEastAsia" w:cstheme="minorEastAsia"/>
          <w:bCs/>
          <w:color w:val="auto"/>
          <w:szCs w:val="24"/>
          <w:highlight w:val="none"/>
          <w:lang w:val="en-US" w:eastAsia="zh-CN"/>
        </w:rPr>
        <w:t xml:space="preserve">  </w:t>
      </w:r>
      <w:r>
        <w:rPr>
          <w:rFonts w:hint="eastAsia" w:asciiTheme="minorEastAsia" w:hAnsiTheme="minorEastAsia" w:eastAsiaTheme="minorEastAsia" w:cstheme="minorEastAsia"/>
          <w:bCs/>
          <w:color w:val="auto"/>
          <w:szCs w:val="24"/>
          <w:highlight w:val="none"/>
          <w:u w:val="single"/>
          <w:lang w:val="en-US" w:eastAsia="zh-CN"/>
        </w:rPr>
        <w:t xml:space="preserve">  </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 xml:space="preserve">  </w:t>
      </w:r>
      <w:r>
        <w:rPr>
          <w:rFonts w:hint="eastAsia" w:asciiTheme="minorEastAsia" w:hAnsiTheme="minorEastAsia" w:eastAsiaTheme="minorEastAsia" w:cstheme="minorEastAsia"/>
          <w:bCs/>
          <w:color w:val="auto"/>
          <w:szCs w:val="24"/>
          <w:highlight w:val="none"/>
        </w:rPr>
        <w:t>月</w:t>
      </w:r>
      <w:r>
        <w:rPr>
          <w:rFonts w:hint="eastAsia" w:asciiTheme="minorEastAsia" w:hAnsiTheme="minorEastAsia" w:eastAsiaTheme="minorEastAsia" w:cstheme="minorEastAsia"/>
          <w:bCs/>
          <w:color w:val="auto"/>
          <w:szCs w:val="24"/>
          <w:highlight w:val="none"/>
          <w:u w:val="single"/>
          <w:lang w:val="en-US" w:eastAsia="zh-CN"/>
        </w:rPr>
        <w:t xml:space="preserve">   </w:t>
      </w:r>
      <w:r>
        <w:rPr>
          <w:rFonts w:hint="eastAsia" w:asciiTheme="minorEastAsia" w:hAnsiTheme="minorEastAsia" w:eastAsiaTheme="minorEastAsia" w:cstheme="minorEastAsia"/>
          <w:bCs/>
          <w:color w:val="auto"/>
          <w:szCs w:val="24"/>
          <w:highlight w:val="none"/>
        </w:rPr>
        <w:t>日</w:t>
      </w:r>
    </w:p>
    <w:p w14:paraId="2E19AC47">
      <w:pPr>
        <w:spacing w:line="360" w:lineRule="auto"/>
        <w:rPr>
          <w:rFonts w:hint="eastAsia" w:asciiTheme="minorEastAsia" w:hAnsiTheme="minorEastAsia" w:eastAsiaTheme="minorEastAsia" w:cstheme="minorEastAsia"/>
          <w:b/>
          <w:color w:val="auto"/>
          <w:szCs w:val="24"/>
          <w:highlight w:val="none"/>
        </w:rPr>
      </w:pPr>
    </w:p>
    <w:p w14:paraId="488BFBAD">
      <w:pPr>
        <w:spacing w:line="360" w:lineRule="auto"/>
        <w:rPr>
          <w:rFonts w:hint="eastAsia" w:asciiTheme="minorEastAsia" w:hAnsiTheme="minorEastAsia" w:eastAsiaTheme="minorEastAsia" w:cstheme="minorEastAsia"/>
          <w:color w:val="auto"/>
          <w:highlight w:val="none"/>
        </w:rPr>
      </w:pPr>
    </w:p>
    <w:p w14:paraId="459A6A57">
      <w:pPr>
        <w:spacing w:line="360" w:lineRule="auto"/>
        <w:rPr>
          <w:rFonts w:hint="eastAsia" w:asciiTheme="minorEastAsia" w:hAnsiTheme="minorEastAsia" w:eastAsiaTheme="minorEastAsia" w:cstheme="minorEastAsia"/>
          <w:color w:val="auto"/>
          <w:highlight w:val="none"/>
        </w:rPr>
      </w:pPr>
    </w:p>
    <w:p w14:paraId="73BD6A99">
      <w:pPr>
        <w:spacing w:line="360" w:lineRule="auto"/>
        <w:rPr>
          <w:rFonts w:hint="eastAsia" w:asciiTheme="minorEastAsia" w:hAnsiTheme="minorEastAsia" w:eastAsiaTheme="minorEastAsia" w:cstheme="minorEastAsia"/>
          <w:color w:val="auto"/>
          <w:highlight w:val="none"/>
        </w:rPr>
      </w:pPr>
    </w:p>
    <w:p w14:paraId="25EA645D">
      <w:pPr>
        <w:spacing w:line="360" w:lineRule="auto"/>
        <w:rPr>
          <w:rFonts w:hint="eastAsia" w:asciiTheme="minorEastAsia" w:hAnsiTheme="minorEastAsia" w:eastAsiaTheme="minorEastAsia" w:cstheme="minorEastAsia"/>
          <w:color w:val="auto"/>
          <w:highlight w:val="none"/>
        </w:rPr>
      </w:pPr>
    </w:p>
    <w:p w14:paraId="13D4EE0F">
      <w:pPr>
        <w:spacing w:line="360" w:lineRule="auto"/>
        <w:rPr>
          <w:rFonts w:hint="eastAsia" w:asciiTheme="minorEastAsia" w:hAnsiTheme="minorEastAsia" w:eastAsiaTheme="minorEastAsia" w:cstheme="minorEastAsia"/>
          <w:color w:val="auto"/>
          <w:highlight w:val="none"/>
        </w:rPr>
      </w:pPr>
    </w:p>
    <w:p w14:paraId="1DB950B7">
      <w:pPr>
        <w:spacing w:line="360" w:lineRule="auto"/>
        <w:rPr>
          <w:rFonts w:hint="eastAsia" w:asciiTheme="minorEastAsia" w:hAnsiTheme="minorEastAsia" w:eastAsiaTheme="minorEastAsia" w:cstheme="minorEastAsia"/>
          <w:color w:val="auto"/>
          <w:highlight w:val="none"/>
        </w:rPr>
      </w:pPr>
    </w:p>
    <w:p w14:paraId="173A2496">
      <w:pPr>
        <w:spacing w:line="360" w:lineRule="auto"/>
        <w:rPr>
          <w:rFonts w:hint="eastAsia" w:asciiTheme="minorEastAsia" w:hAnsiTheme="minorEastAsia" w:eastAsiaTheme="minorEastAsia" w:cstheme="minorEastAsia"/>
          <w:color w:val="auto"/>
          <w:highlight w:val="none"/>
        </w:rPr>
      </w:pPr>
    </w:p>
    <w:p w14:paraId="7E4CA7A8">
      <w:pPr>
        <w:spacing w:line="360" w:lineRule="auto"/>
        <w:rPr>
          <w:rFonts w:hint="eastAsia" w:asciiTheme="minorEastAsia" w:hAnsiTheme="minorEastAsia" w:eastAsiaTheme="minorEastAsia" w:cstheme="minorEastAsia"/>
          <w:color w:val="auto"/>
          <w:highlight w:val="none"/>
        </w:rPr>
      </w:pPr>
    </w:p>
    <w:p w14:paraId="64424187">
      <w:pPr>
        <w:spacing w:line="360" w:lineRule="auto"/>
        <w:rPr>
          <w:rFonts w:hint="eastAsia" w:asciiTheme="minorEastAsia" w:hAnsiTheme="minorEastAsia" w:eastAsiaTheme="minorEastAsia" w:cstheme="minorEastAsia"/>
          <w:color w:val="auto"/>
          <w:highlight w:val="none"/>
        </w:rPr>
      </w:pPr>
    </w:p>
    <w:p w14:paraId="1A49DFED">
      <w:pPr>
        <w:spacing w:line="360" w:lineRule="auto"/>
        <w:rPr>
          <w:rFonts w:hint="eastAsia" w:asciiTheme="minorEastAsia" w:hAnsiTheme="minorEastAsia" w:eastAsiaTheme="minorEastAsia" w:cstheme="minorEastAsia"/>
          <w:color w:val="auto"/>
          <w:highlight w:val="none"/>
        </w:rPr>
      </w:pPr>
    </w:p>
    <w:p w14:paraId="61A2E108">
      <w:pPr>
        <w:spacing w:line="360" w:lineRule="auto"/>
        <w:rPr>
          <w:rFonts w:hint="eastAsia" w:asciiTheme="minorEastAsia" w:hAnsiTheme="minorEastAsia" w:eastAsiaTheme="minorEastAsia" w:cstheme="minorEastAsia"/>
          <w:color w:val="auto"/>
          <w:highlight w:val="none"/>
        </w:rPr>
      </w:pPr>
    </w:p>
    <w:p w14:paraId="790C8B97">
      <w:pPr>
        <w:spacing w:line="360" w:lineRule="auto"/>
        <w:rPr>
          <w:rFonts w:hint="eastAsia" w:asciiTheme="minorEastAsia" w:hAnsiTheme="minorEastAsia" w:eastAsiaTheme="minorEastAsia" w:cstheme="minorEastAsia"/>
          <w:color w:val="auto"/>
          <w:highlight w:val="none"/>
        </w:rPr>
      </w:pPr>
    </w:p>
    <w:p w14:paraId="36CADDA4">
      <w:pPr>
        <w:spacing w:line="360" w:lineRule="auto"/>
        <w:rPr>
          <w:rFonts w:hint="eastAsia" w:asciiTheme="minorEastAsia" w:hAnsiTheme="minorEastAsia" w:eastAsiaTheme="minorEastAsia" w:cstheme="minorEastAsia"/>
          <w:color w:val="auto"/>
          <w:highlight w:val="none"/>
        </w:rPr>
      </w:pPr>
    </w:p>
    <w:p w14:paraId="4C1A2392">
      <w:pPr>
        <w:tabs>
          <w:tab w:val="left" w:pos="4465"/>
        </w:tabs>
        <w:spacing w:line="360" w:lineRule="auto"/>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附件一、廉政合作协议</w:t>
      </w:r>
    </w:p>
    <w:p w14:paraId="3E7BCFFC">
      <w:pPr>
        <w:spacing w:line="360" w:lineRule="auto"/>
        <w:ind w:firstLine="292" w:firstLineChars="91"/>
        <w:jc w:val="center"/>
        <w:rPr>
          <w:rFonts w:hint="eastAsia" w:asciiTheme="minorEastAsia" w:hAnsiTheme="minorEastAsia" w:eastAsiaTheme="minorEastAsia" w:cstheme="minorEastAsia"/>
          <w:b/>
          <w:bCs/>
          <w:color w:val="auto"/>
          <w:sz w:val="32"/>
          <w:szCs w:val="32"/>
          <w:highlight w:val="none"/>
          <w:lang w:val="zh-CN"/>
        </w:rPr>
      </w:pPr>
      <w:r>
        <w:rPr>
          <w:rFonts w:hint="eastAsia" w:asciiTheme="minorEastAsia" w:hAnsiTheme="minorEastAsia" w:eastAsiaTheme="minorEastAsia" w:cstheme="minorEastAsia"/>
          <w:b/>
          <w:bCs/>
          <w:color w:val="auto"/>
          <w:sz w:val="32"/>
          <w:szCs w:val="32"/>
          <w:highlight w:val="none"/>
          <w:lang w:val="zh-CN"/>
        </w:rPr>
        <w:t>廉政合作协议</w:t>
      </w:r>
    </w:p>
    <w:p w14:paraId="11402391">
      <w:pPr>
        <w:spacing w:line="360" w:lineRule="auto"/>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甲方：</w:t>
      </w:r>
      <w:r>
        <w:rPr>
          <w:rFonts w:hint="eastAsia" w:ascii="宋体" w:hAnsi="宋体" w:eastAsia="宋体" w:cs="宋体"/>
          <w:b/>
          <w:bCs/>
          <w:sz w:val="24"/>
          <w:szCs w:val="24"/>
          <w:u w:val="single"/>
          <w:lang w:eastAsia="zh-CN"/>
        </w:rPr>
        <w:t>栾川县浩德颐康文旅有限公司</w:t>
      </w:r>
    </w:p>
    <w:p w14:paraId="54FA4A01">
      <w:pPr>
        <w:spacing w:line="360" w:lineRule="auto"/>
        <w:rPr>
          <w:rFonts w:hint="default" w:asciiTheme="minorEastAsia" w:hAnsiTheme="minorEastAsia" w:eastAsiaTheme="minorEastAsia" w:cstheme="minorEastAsia"/>
          <w:color w:val="auto"/>
          <w:spacing w:val="8"/>
          <w:szCs w:val="24"/>
          <w:highlight w:val="none"/>
          <w:u w:val="single"/>
          <w:lang w:val="en-US" w:eastAsia="zh-CN"/>
        </w:rPr>
      </w:pPr>
      <w:r>
        <w:rPr>
          <w:rFonts w:hint="eastAsia" w:asciiTheme="minorEastAsia" w:hAnsiTheme="minorEastAsia" w:eastAsiaTheme="minorEastAsia" w:cstheme="minorEastAsia"/>
          <w:b/>
          <w:color w:val="auto"/>
          <w:szCs w:val="24"/>
          <w:highlight w:val="none"/>
        </w:rPr>
        <w:t>乙方：</w:t>
      </w:r>
      <w:r>
        <w:rPr>
          <w:rFonts w:hint="eastAsia" w:ascii="宋体" w:hAnsi="宋体" w:eastAsia="宋体" w:cs="宋体"/>
          <w:b/>
          <w:bCs/>
          <w:sz w:val="24"/>
          <w:szCs w:val="24"/>
          <w:u w:val="single"/>
          <w:lang w:val="en-US" w:eastAsia="zh-CN"/>
        </w:rPr>
        <w:t>中豫阳光建设河南有限公司</w:t>
      </w:r>
    </w:p>
    <w:p w14:paraId="3AECAC90">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为加强工程项目建设期间的廉政管理，确保项目高效优质按期竣工，甲、乙双方经协商签订本协议并作为双方共同遵守的廉政行为准则。</w:t>
      </w:r>
    </w:p>
    <w:p w14:paraId="09ED4677">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一．甲方责任</w:t>
      </w:r>
    </w:p>
    <w:p w14:paraId="022F757E">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1．甲方有责任向乙方介绍本单位有关廉政管理的各项制度和规定。</w:t>
      </w:r>
    </w:p>
    <w:p w14:paraId="6E5333AD">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2．甲方有责任对本单位项目管理人员进行廉政教育。</w:t>
      </w:r>
    </w:p>
    <w:p w14:paraId="651A0F65">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3．甲方人员应严格遵守本单位有关廉政管理的规定，不得接受乙方的宴请，不得接受任何形式的实物、现金或礼券。</w:t>
      </w:r>
    </w:p>
    <w:p w14:paraId="74F0CC1A">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4．甲方在项目建设期间发现甲方人员任何形式的索贿受贿行为，均应及时采取措施予以制止，并及时通报乙方单位领导。</w:t>
      </w:r>
    </w:p>
    <w:p w14:paraId="529CB0EC">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5．甲方人员如违反廉政管理制度及本协议规定，甲方应视情节轻重、影响大小给予处罚。</w:t>
      </w:r>
    </w:p>
    <w:p w14:paraId="6730B011">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6．对于乙方举报甲方人员违反廉政规定的情况，甲方应及时进行调查，根据调查情况进行处理。</w:t>
      </w:r>
    </w:p>
    <w:p w14:paraId="33A54D99">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二．乙方责任</w:t>
      </w:r>
    </w:p>
    <w:p w14:paraId="5136A3DF">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1．乙方应保证乙方有关人员了解甲方有关廉政管理的各项制度及本协议的规定，并遵照执行。</w:t>
      </w:r>
    </w:p>
    <w:p w14:paraId="18A043F7">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2．乙方不得宴请甲方人员，不得以任何形式赠送实物、现金或礼券。</w:t>
      </w:r>
    </w:p>
    <w:p w14:paraId="2A308E5F">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3．乙方在项目建设期间发现乙方人员任何向甲方人员行贿行为，均应及时采取措施予以制止，并及时通报甲方单位领导。</w:t>
      </w:r>
    </w:p>
    <w:p w14:paraId="36735E38">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4．乙方有责任接受甲方对乙方在项目建设期间廉政管理执行情况的监督。</w:t>
      </w:r>
    </w:p>
    <w:p w14:paraId="7F628056">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14:paraId="21186219">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6．如因乙方或其人员在项目建设期间贿赂甲方人员，被检察机关立案查处的，甲方有权终止合同履行或解除合同，由此给甲方造成的损失，均由乙方负责赔偿。</w:t>
      </w:r>
    </w:p>
    <w:p w14:paraId="6C62D224">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 xml:space="preserve"> 三、为维护甲乙双方的合法利益，营造良好的商务环境，甲方建立多种举报渠道（如下）。甲方风控部人员将恪守职业道德，严格履行保密义务！</w:t>
      </w:r>
    </w:p>
    <w:p w14:paraId="2BD2C5B1">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（1）微信小程序举报（扫描右侧二维码进入程序，举报信息直达集团董事长）；</w:t>
      </w:r>
    </w:p>
    <w:p w14:paraId="21C9E1E7">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drawing>
          <wp:anchor distT="0" distB="0" distL="114300" distR="114300" simplePos="0" relativeHeight="251660288" behindDoc="0" locked="0" layoutInCell="1" allowOverlap="1">
            <wp:simplePos x="0" y="0"/>
            <wp:positionH relativeFrom="column">
              <wp:posOffset>4453255</wp:posOffset>
            </wp:positionH>
            <wp:positionV relativeFrom="paragraph">
              <wp:posOffset>221615</wp:posOffset>
            </wp:positionV>
            <wp:extent cx="935990" cy="935990"/>
            <wp:effectExtent l="0" t="0" r="8890" b="8890"/>
            <wp:wrapNone/>
            <wp:docPr id="1" name="图片 2"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说明: 32dc313b898daf07a491037a11ba2c8"/>
                    <pic:cNvPicPr>
                      <a:picLocks noChangeAspect="1"/>
                    </pic:cNvPicPr>
                  </pic:nvPicPr>
                  <pic:blipFill>
                    <a:blip r:embed="rId6"/>
                    <a:stretch>
                      <a:fillRect/>
                    </a:stretch>
                  </pic:blipFill>
                  <pic:spPr>
                    <a:xfrm>
                      <a:off x="0" y="0"/>
                      <a:ext cx="935990" cy="935990"/>
                    </a:xfrm>
                    <a:prstGeom prst="rect">
                      <a:avLst/>
                    </a:prstGeom>
                    <a:noFill/>
                    <a:ln>
                      <a:noFill/>
                    </a:ln>
                  </pic:spPr>
                </pic:pic>
              </a:graphicData>
            </a:graphic>
          </wp:anchor>
        </w:drawing>
      </w:r>
      <w:r>
        <w:rPr>
          <w:rFonts w:hint="eastAsia" w:asciiTheme="minorEastAsia" w:hAnsiTheme="minorEastAsia" w:eastAsiaTheme="minorEastAsia" w:cstheme="minorEastAsia"/>
          <w:color w:val="auto"/>
          <w:szCs w:val="28"/>
          <w:highlight w:val="none"/>
        </w:rPr>
        <w:t>（2）邮箱：shenji@chinahonden.com</w:t>
      </w:r>
    </w:p>
    <w:p w14:paraId="533D2671">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（3）电话：风控总监毛政辉：13693798532</w:t>
      </w:r>
    </w:p>
    <w:p w14:paraId="208EDEC0">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（4）电话：审计监察副总监齐全中：18137710188</w:t>
      </w:r>
    </w:p>
    <w:p w14:paraId="07503C71">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（5）电话：审计监察高级经理苏文倩：18839528225</w:t>
      </w:r>
    </w:p>
    <w:p w14:paraId="105B61C7">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（6）信件举报邮寄地址：洛阳市洛龙区关林西路8号中浩德控股集团有限公司审计监察部（收）。</w:t>
      </w:r>
    </w:p>
    <w:p w14:paraId="3F5C322B">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四、甲乙双方发现对方工作人员有下列行为之一的，可通过第三条约定的渠道进行举报：</w:t>
      </w:r>
    </w:p>
    <w:p w14:paraId="6DA3658A">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1.推诿扯皮、有责不负、处事消极、渎职失职、弄虚作假等行为。</w:t>
      </w:r>
    </w:p>
    <w:p w14:paraId="2A6C7036">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2.以权谋私、滥用职权、处事不公、隐瞒事故、违章指挥造成公司严重事故隐患的行为。</w:t>
      </w:r>
    </w:p>
    <w:p w14:paraId="289E2E70">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3.贪污、受贿、盗窃、欺上瞒下等违法乱纪行为。</w:t>
      </w:r>
    </w:p>
    <w:p w14:paraId="7E16AA46">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4.出卖、泄露公司商业机密等危害公司行为。</w:t>
      </w:r>
    </w:p>
    <w:p w14:paraId="26D81A6E">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5.重大经济活动未按公司制度、流程执行的违规违纪行为。</w:t>
      </w:r>
    </w:p>
    <w:p w14:paraId="7036DECE">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6.利用职权，任人唯亲，拉帮结派，搞小利益团体或对同事正当行使权利进行打击报复的行为。</w:t>
      </w:r>
    </w:p>
    <w:p w14:paraId="068AB106">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7.故意涂改公司文件或以公司名义谋私利，损害公司荣誉和利益的行为。</w:t>
      </w:r>
    </w:p>
    <w:p w14:paraId="6F5ACBDD">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8.私自侵占、挪用公司财物，损坏公司重要设备或资产的行为。</w:t>
      </w:r>
    </w:p>
    <w:p w14:paraId="201A4D1E">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9.破坏团队和谐，故意挑拨员工之间关系，对同事恶意侮辱、陷害、制造事端的行为。</w:t>
      </w:r>
    </w:p>
    <w:p w14:paraId="78609CD7">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10.妄议集团经营、管理、决策部署、会议决议，对正当行使职权的执法部门、员工进行设置障碍、诋毁、恶意侮辱的行为。</w:t>
      </w:r>
    </w:p>
    <w:p w14:paraId="0522F6D3">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8"/>
          <w:highlight w:val="none"/>
        </w:rPr>
        <w:t>11.其他违反法律或者甲方公司相关制度的行为。</w:t>
      </w:r>
    </w:p>
    <w:p w14:paraId="253BFD40">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（以下无正文）</w:t>
      </w:r>
    </w:p>
    <w:p w14:paraId="19D703CA">
      <w:pPr>
        <w:autoSpaceDN w:val="0"/>
        <w:spacing w:line="360" w:lineRule="auto"/>
        <w:ind w:firstLine="480" w:firstLineChars="200"/>
        <w:rPr>
          <w:rFonts w:hint="eastAsia" w:asciiTheme="minorEastAsia" w:hAnsiTheme="minorEastAsia" w:eastAsiaTheme="minorEastAsia" w:cstheme="minorEastAsia"/>
          <w:color w:val="auto"/>
          <w:szCs w:val="28"/>
          <w:highlight w:val="none"/>
        </w:rPr>
      </w:pPr>
    </w:p>
    <w:p w14:paraId="6DE552CB">
      <w:pPr>
        <w:spacing w:line="360" w:lineRule="auto"/>
        <w:ind w:left="0" w:firstLine="0" w:firstLineChars="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甲方（盖章）：</w:t>
      </w:r>
      <w:r>
        <w:rPr>
          <w:rFonts w:hint="eastAsia" w:asciiTheme="minorEastAsia" w:hAnsiTheme="minorEastAsia" w:eastAsiaTheme="minorEastAsia" w:cstheme="minorEastAsia"/>
          <w:b w:val="0"/>
          <w:bCs w:val="0"/>
          <w:color w:val="auto"/>
          <w:sz w:val="24"/>
          <w:szCs w:val="28"/>
          <w:highlight w:val="none"/>
          <w:u w:val="none"/>
          <w:lang w:eastAsia="zh-CN"/>
        </w:rPr>
        <w:t>栾川县浩德颐康文旅有限公司</w:t>
      </w:r>
      <w:r>
        <w:rPr>
          <w:rFonts w:hint="eastAsia" w:asciiTheme="minorEastAsia" w:hAnsiTheme="minorEastAsia" w:eastAsiaTheme="minorEastAsia" w:cstheme="minorEastAsia"/>
          <w:color w:val="auto"/>
          <w:szCs w:val="28"/>
          <w:highlight w:val="none"/>
          <w:lang w:val="en-US" w:eastAsia="zh-CN"/>
        </w:rPr>
        <w:t xml:space="preserve"> </w:t>
      </w:r>
      <w:r>
        <w:rPr>
          <w:rFonts w:hint="eastAsia" w:asciiTheme="minorEastAsia" w:hAnsiTheme="minorEastAsia" w:eastAsiaTheme="minorEastAsia" w:cstheme="minorEastAsia"/>
          <w:color w:val="auto"/>
          <w:szCs w:val="28"/>
          <w:highlight w:val="none"/>
        </w:rPr>
        <w:t xml:space="preserve"> 乙方（盖章）：</w:t>
      </w:r>
      <w:r>
        <w:rPr>
          <w:rFonts w:hint="eastAsia" w:asciiTheme="minorEastAsia" w:hAnsiTheme="minorEastAsia" w:eastAsiaTheme="minorEastAsia" w:cstheme="minorEastAsia"/>
          <w:b w:val="0"/>
          <w:bCs w:val="0"/>
          <w:color w:val="auto"/>
          <w:sz w:val="24"/>
          <w:szCs w:val="28"/>
          <w:highlight w:val="none"/>
          <w:lang w:val="en-US" w:eastAsia="zh-CN"/>
        </w:rPr>
        <w:t>中豫阳光建设河南有限公司</w:t>
      </w:r>
    </w:p>
    <w:p w14:paraId="71FC93FF">
      <w:pPr>
        <w:spacing w:line="360" w:lineRule="auto"/>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签订日期：</w:t>
      </w:r>
      <w:r>
        <w:rPr>
          <w:rFonts w:hint="eastAsia" w:asciiTheme="minorEastAsia" w:hAnsiTheme="minorEastAsia" w:eastAsiaTheme="minorEastAsia" w:cstheme="minorEastAsia"/>
          <w:color w:val="auto"/>
          <w:szCs w:val="28"/>
          <w:highlight w:val="none"/>
          <w:u w:val="single"/>
          <w:lang w:val="en-US" w:eastAsia="zh-CN"/>
        </w:rPr>
        <w:t xml:space="preserve">      </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u w:val="single"/>
          <w:lang w:val="en-US" w:eastAsia="zh-CN"/>
        </w:rPr>
        <w:t xml:space="preserve">     </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 xml:space="preserve">    </w:t>
      </w:r>
      <w:r>
        <w:rPr>
          <w:rFonts w:hint="eastAsia" w:asciiTheme="minorEastAsia" w:hAnsiTheme="minorEastAsia" w:eastAsiaTheme="minorEastAsia" w:cstheme="minorEastAsia"/>
          <w:color w:val="auto"/>
          <w:szCs w:val="28"/>
          <w:highlight w:val="none"/>
        </w:rPr>
        <w:t>日             签订日期：</w:t>
      </w:r>
      <w:r>
        <w:rPr>
          <w:rFonts w:hint="eastAsia" w:asciiTheme="minorEastAsia" w:hAnsiTheme="minorEastAsia" w:eastAsiaTheme="minorEastAsia" w:cstheme="minorEastAsia"/>
          <w:color w:val="auto"/>
          <w:szCs w:val="28"/>
          <w:highlight w:val="none"/>
          <w:u w:val="single"/>
          <w:lang w:val="en-US" w:eastAsia="zh-CN"/>
        </w:rPr>
        <w:t xml:space="preserve">      </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u w:val="single"/>
          <w:lang w:val="en-US" w:eastAsia="zh-CN"/>
        </w:rPr>
        <w:t xml:space="preserve">   </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 xml:space="preserve">     </w:t>
      </w:r>
      <w:r>
        <w:rPr>
          <w:rFonts w:hint="eastAsia" w:asciiTheme="minorEastAsia" w:hAnsiTheme="minorEastAsia" w:eastAsiaTheme="minorEastAsia" w:cstheme="minorEastAsia"/>
          <w:color w:val="auto"/>
          <w:szCs w:val="28"/>
          <w:highlight w:val="none"/>
        </w:rPr>
        <w:t xml:space="preserve">日  </w:t>
      </w:r>
    </w:p>
    <w:p w14:paraId="66081B01">
      <w:pPr>
        <w:pStyle w:val="54"/>
        <w:spacing w:line="360" w:lineRule="auto"/>
        <w:rPr>
          <w:rFonts w:hint="eastAsia" w:asciiTheme="minorEastAsia" w:hAnsiTheme="minorEastAsia" w:eastAsiaTheme="minorEastAsia" w:cstheme="minorEastAsia"/>
          <w:bCs/>
          <w:color w:val="auto"/>
          <w:szCs w:val="28"/>
          <w:highlight w:val="none"/>
        </w:rPr>
      </w:pPr>
    </w:p>
    <w:p w14:paraId="0E87981A">
      <w:pPr>
        <w:tabs>
          <w:tab w:val="left" w:pos="6587"/>
        </w:tabs>
        <w:spacing w:line="360" w:lineRule="auto"/>
        <w:jc w:val="left"/>
        <w:rPr>
          <w:rFonts w:hint="eastAsia" w:asciiTheme="minorEastAsia" w:hAnsiTheme="minorEastAsia" w:eastAsiaTheme="minorEastAsia" w:cstheme="minorEastAsia"/>
          <w:color w:val="auto"/>
          <w:highlight w:val="none"/>
        </w:rPr>
      </w:pPr>
    </w:p>
    <w:p w14:paraId="69B30E56">
      <w:pPr>
        <w:tabs>
          <w:tab w:val="left" w:pos="6587"/>
        </w:tabs>
        <w:spacing w:line="360" w:lineRule="auto"/>
        <w:jc w:val="left"/>
        <w:rPr>
          <w:rFonts w:hint="eastAsia" w:asciiTheme="minorEastAsia" w:hAnsiTheme="minorEastAsia" w:eastAsiaTheme="minorEastAsia" w:cstheme="minorEastAsia"/>
          <w:color w:val="auto"/>
          <w:highlight w:val="none"/>
        </w:rPr>
      </w:pPr>
    </w:p>
    <w:p w14:paraId="695983D2">
      <w:pPr>
        <w:tabs>
          <w:tab w:val="left" w:pos="6587"/>
        </w:tabs>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ab/>
      </w:r>
    </w:p>
    <w:p w14:paraId="04589239">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附件二、《乙方派驻本工程人员名单表》</w:t>
      </w:r>
    </w:p>
    <w:tbl>
      <w:tblPr>
        <w:tblStyle w:val="47"/>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315"/>
        <w:gridCol w:w="1152"/>
        <w:gridCol w:w="1584"/>
        <w:gridCol w:w="1132"/>
        <w:gridCol w:w="1229"/>
        <w:gridCol w:w="1744"/>
      </w:tblGrid>
      <w:tr w14:paraId="4A4A7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000" w:type="dxa"/>
            <w:gridSpan w:val="7"/>
            <w:vAlign w:val="center"/>
          </w:tcPr>
          <w:p w14:paraId="5BAFE637">
            <w:pPr>
              <w:pStyle w:val="101"/>
              <w:spacing w:before="132" w:line="360" w:lineRule="auto"/>
              <w:ind w:left="39"/>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b/>
                <w:color w:val="auto"/>
                <w:kern w:val="0"/>
                <w:szCs w:val="20"/>
                <w:highlight w:val="none"/>
                <w:lang w:val="en-US" w:bidi="ar-SA"/>
              </w:rPr>
              <w:t>《</w:t>
            </w:r>
            <w:r>
              <w:rPr>
                <w:rFonts w:hint="eastAsia" w:asciiTheme="minorEastAsia" w:hAnsiTheme="minorEastAsia" w:eastAsiaTheme="minorEastAsia" w:cstheme="minorEastAsia"/>
                <w:b/>
                <w:bCs/>
                <w:color w:val="auto"/>
                <w:szCs w:val="28"/>
                <w:highlight w:val="none"/>
              </w:rPr>
              <w:t>乙方派驻本工程</w:t>
            </w:r>
            <w:r>
              <w:rPr>
                <w:rFonts w:hint="eastAsia" w:asciiTheme="minorEastAsia" w:hAnsiTheme="minorEastAsia" w:eastAsiaTheme="minorEastAsia" w:cstheme="minorEastAsia"/>
                <w:b/>
                <w:bCs/>
                <w:color w:val="auto"/>
                <w:szCs w:val="28"/>
                <w:highlight w:val="none"/>
                <w:lang w:val="en-US"/>
              </w:rPr>
              <w:t>人员名单表</w:t>
            </w:r>
            <w:r>
              <w:rPr>
                <w:rFonts w:hint="eastAsia" w:asciiTheme="minorEastAsia" w:hAnsiTheme="minorEastAsia" w:eastAsiaTheme="minorEastAsia" w:cstheme="minorEastAsia"/>
                <w:b/>
                <w:color w:val="auto"/>
                <w:kern w:val="0"/>
                <w:szCs w:val="20"/>
                <w:highlight w:val="none"/>
                <w:lang w:val="en-US" w:bidi="ar-SA"/>
              </w:rPr>
              <w:t>》</w:t>
            </w:r>
          </w:p>
        </w:tc>
      </w:tr>
      <w:tr w14:paraId="2FA62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844" w:type="dxa"/>
            <w:vAlign w:val="center"/>
          </w:tcPr>
          <w:p w14:paraId="6E1FB925">
            <w:pPr>
              <w:pStyle w:val="101"/>
              <w:spacing w:before="132" w:line="360" w:lineRule="auto"/>
              <w:ind w:left="51" w:right="44"/>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序号</w:t>
            </w:r>
          </w:p>
        </w:tc>
        <w:tc>
          <w:tcPr>
            <w:tcW w:w="1315" w:type="dxa"/>
            <w:vAlign w:val="center"/>
          </w:tcPr>
          <w:p w14:paraId="52EE02F8">
            <w:pPr>
              <w:pStyle w:val="101"/>
              <w:spacing w:before="132" w:line="360" w:lineRule="auto"/>
              <w:ind w:right="167"/>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专业</w:t>
            </w:r>
          </w:p>
        </w:tc>
        <w:tc>
          <w:tcPr>
            <w:tcW w:w="1152" w:type="dxa"/>
            <w:vAlign w:val="center"/>
          </w:tcPr>
          <w:p w14:paraId="04CE3E0E">
            <w:pPr>
              <w:pStyle w:val="101"/>
              <w:spacing w:before="132" w:line="360" w:lineRule="auto"/>
              <w:ind w:left="201" w:right="178"/>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姓名</w:t>
            </w:r>
          </w:p>
        </w:tc>
        <w:tc>
          <w:tcPr>
            <w:tcW w:w="1584" w:type="dxa"/>
            <w:vAlign w:val="center"/>
          </w:tcPr>
          <w:p w14:paraId="1372CD23">
            <w:pPr>
              <w:pStyle w:val="101"/>
              <w:spacing w:before="132" w:line="360" w:lineRule="auto"/>
              <w:ind w:left="41" w:right="31"/>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职称</w:t>
            </w:r>
          </w:p>
        </w:tc>
        <w:tc>
          <w:tcPr>
            <w:tcW w:w="1132" w:type="dxa"/>
            <w:vAlign w:val="center"/>
          </w:tcPr>
          <w:p w14:paraId="5DAD64DF">
            <w:pPr>
              <w:pStyle w:val="101"/>
              <w:spacing w:before="132" w:line="360" w:lineRule="auto"/>
              <w:ind w:right="95"/>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学历</w:t>
            </w:r>
          </w:p>
        </w:tc>
        <w:tc>
          <w:tcPr>
            <w:tcW w:w="1229" w:type="dxa"/>
            <w:vAlign w:val="center"/>
          </w:tcPr>
          <w:p w14:paraId="30BDA3C1">
            <w:pPr>
              <w:pStyle w:val="101"/>
              <w:spacing w:before="132" w:line="360" w:lineRule="auto"/>
              <w:ind w:left="189" w:right="183"/>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工作年限</w:t>
            </w:r>
          </w:p>
        </w:tc>
        <w:tc>
          <w:tcPr>
            <w:tcW w:w="1744" w:type="dxa"/>
            <w:vAlign w:val="center"/>
          </w:tcPr>
          <w:p w14:paraId="59D116CE">
            <w:pPr>
              <w:pStyle w:val="101"/>
              <w:spacing w:before="132" w:line="360" w:lineRule="auto"/>
              <w:ind w:left="39"/>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担任本工程</w:t>
            </w:r>
          </w:p>
          <w:p w14:paraId="7F3F9B4D">
            <w:pPr>
              <w:pStyle w:val="101"/>
              <w:spacing w:before="132" w:line="360" w:lineRule="auto"/>
              <w:ind w:left="39"/>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的职务</w:t>
            </w:r>
          </w:p>
        </w:tc>
      </w:tr>
      <w:tr w14:paraId="6EDBE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0914F3AB">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1</w:t>
            </w:r>
          </w:p>
        </w:tc>
        <w:tc>
          <w:tcPr>
            <w:tcW w:w="1315" w:type="dxa"/>
            <w:vAlign w:val="center"/>
          </w:tcPr>
          <w:p w14:paraId="00BBE80C">
            <w:pPr>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color w:val="auto"/>
                <w:szCs w:val="24"/>
                <w:highlight w:val="none"/>
              </w:rPr>
              <w:t>建筑工程</w:t>
            </w:r>
          </w:p>
        </w:tc>
        <w:tc>
          <w:tcPr>
            <w:tcW w:w="1152" w:type="dxa"/>
            <w:vAlign w:val="center"/>
          </w:tcPr>
          <w:p w14:paraId="7F196A7C">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cstheme="minorEastAsia"/>
                <w:color w:val="auto"/>
                <w:sz w:val="21"/>
                <w:szCs w:val="21"/>
                <w:highlight w:val="none"/>
                <w:lang w:val="en-US" w:eastAsia="zh-CN"/>
              </w:rPr>
              <w:t>高腾飞</w:t>
            </w:r>
          </w:p>
        </w:tc>
        <w:tc>
          <w:tcPr>
            <w:tcW w:w="1584" w:type="dxa"/>
            <w:vAlign w:val="center"/>
          </w:tcPr>
          <w:p w14:paraId="1EE70193">
            <w:pPr>
              <w:spacing w:line="360" w:lineRule="auto"/>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助工</w:t>
            </w:r>
          </w:p>
        </w:tc>
        <w:tc>
          <w:tcPr>
            <w:tcW w:w="1132" w:type="dxa"/>
            <w:vAlign w:val="center"/>
          </w:tcPr>
          <w:p w14:paraId="2F998D48">
            <w:pPr>
              <w:spacing w:line="360" w:lineRule="auto"/>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本科</w:t>
            </w:r>
          </w:p>
        </w:tc>
        <w:tc>
          <w:tcPr>
            <w:tcW w:w="1229" w:type="dxa"/>
            <w:vAlign w:val="center"/>
          </w:tcPr>
          <w:p w14:paraId="3D811254">
            <w:pPr>
              <w:spacing w:line="360" w:lineRule="auto"/>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10</w:t>
            </w:r>
          </w:p>
        </w:tc>
        <w:tc>
          <w:tcPr>
            <w:tcW w:w="1744" w:type="dxa"/>
            <w:vAlign w:val="center"/>
          </w:tcPr>
          <w:p w14:paraId="249CCADE">
            <w:pPr>
              <w:spacing w:line="360" w:lineRule="auto"/>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项目经理</w:t>
            </w:r>
          </w:p>
        </w:tc>
      </w:tr>
      <w:tr w14:paraId="0EEB4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6286AB82">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2</w:t>
            </w:r>
          </w:p>
        </w:tc>
        <w:tc>
          <w:tcPr>
            <w:tcW w:w="1315" w:type="dxa"/>
          </w:tcPr>
          <w:p w14:paraId="2B292840">
            <w:pPr>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color w:val="auto"/>
                <w:szCs w:val="24"/>
                <w:highlight w:val="none"/>
              </w:rPr>
              <w:t>建筑工程</w:t>
            </w:r>
          </w:p>
        </w:tc>
        <w:tc>
          <w:tcPr>
            <w:tcW w:w="1152" w:type="dxa"/>
          </w:tcPr>
          <w:p w14:paraId="6FFE48C2">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 w:val="24"/>
                <w:szCs w:val="24"/>
                <w:highlight w:val="none"/>
                <w:lang w:val="en-US" w:eastAsia="zh-CN"/>
              </w:rPr>
              <w:t>苏晓柯</w:t>
            </w:r>
          </w:p>
        </w:tc>
        <w:tc>
          <w:tcPr>
            <w:tcW w:w="1584" w:type="dxa"/>
          </w:tcPr>
          <w:p w14:paraId="59192E2A">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 w:val="24"/>
                <w:szCs w:val="24"/>
                <w:highlight w:val="none"/>
                <w:lang w:val="en-US" w:eastAsia="zh-CN"/>
              </w:rPr>
              <w:t>助工</w:t>
            </w:r>
          </w:p>
        </w:tc>
        <w:tc>
          <w:tcPr>
            <w:tcW w:w="1132" w:type="dxa"/>
          </w:tcPr>
          <w:p w14:paraId="5B6476D2">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 w:val="24"/>
                <w:szCs w:val="24"/>
                <w:highlight w:val="none"/>
                <w:lang w:val="en-US" w:eastAsia="zh-CN"/>
              </w:rPr>
              <w:t>大专</w:t>
            </w:r>
          </w:p>
        </w:tc>
        <w:tc>
          <w:tcPr>
            <w:tcW w:w="1229" w:type="dxa"/>
          </w:tcPr>
          <w:p w14:paraId="38430EE8">
            <w:pPr>
              <w:spacing w:line="360" w:lineRule="auto"/>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11</w:t>
            </w:r>
          </w:p>
        </w:tc>
        <w:tc>
          <w:tcPr>
            <w:tcW w:w="1744" w:type="dxa"/>
          </w:tcPr>
          <w:p w14:paraId="4F9F9D25">
            <w:pPr>
              <w:spacing w:line="360" w:lineRule="auto"/>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技术负责人</w:t>
            </w:r>
          </w:p>
        </w:tc>
      </w:tr>
      <w:tr w14:paraId="5F3EC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428C4680">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3</w:t>
            </w:r>
          </w:p>
        </w:tc>
        <w:tc>
          <w:tcPr>
            <w:tcW w:w="1315" w:type="dxa"/>
          </w:tcPr>
          <w:p w14:paraId="516E2E97">
            <w:pPr>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color w:val="auto"/>
                <w:szCs w:val="24"/>
                <w:highlight w:val="none"/>
              </w:rPr>
              <w:t>建筑工程</w:t>
            </w:r>
          </w:p>
        </w:tc>
        <w:tc>
          <w:tcPr>
            <w:tcW w:w="1152" w:type="dxa"/>
            <w:shd w:val="clear" w:color="auto" w:fill="auto"/>
            <w:vAlign w:val="center"/>
          </w:tcPr>
          <w:p w14:paraId="30FE8EDC">
            <w:pPr>
              <w:widowControl/>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黄俊涛</w:t>
            </w:r>
          </w:p>
        </w:tc>
        <w:tc>
          <w:tcPr>
            <w:tcW w:w="1584" w:type="dxa"/>
            <w:shd w:val="clear" w:color="auto" w:fill="auto"/>
            <w:vAlign w:val="center"/>
          </w:tcPr>
          <w:p w14:paraId="1DA618F3">
            <w:pPr>
              <w:widowControl/>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w:t>
            </w:r>
          </w:p>
        </w:tc>
        <w:tc>
          <w:tcPr>
            <w:tcW w:w="1132" w:type="dxa"/>
            <w:shd w:val="clear" w:color="auto" w:fill="auto"/>
            <w:vAlign w:val="center"/>
          </w:tcPr>
          <w:p w14:paraId="009AC58F">
            <w:pPr>
              <w:snapToGrid w:val="0"/>
              <w:jc w:val="center"/>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sz w:val="24"/>
                <w:highlight w:val="none"/>
                <w:lang w:val="en-US" w:eastAsia="zh-CN"/>
              </w:rPr>
              <w:t>大专</w:t>
            </w:r>
          </w:p>
        </w:tc>
        <w:tc>
          <w:tcPr>
            <w:tcW w:w="1229" w:type="dxa"/>
            <w:shd w:val="clear" w:color="auto" w:fill="auto"/>
            <w:vAlign w:val="center"/>
          </w:tcPr>
          <w:p w14:paraId="48881C64">
            <w:pPr>
              <w:widowControl/>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8</w:t>
            </w:r>
          </w:p>
        </w:tc>
        <w:tc>
          <w:tcPr>
            <w:tcW w:w="1744" w:type="dxa"/>
            <w:shd w:val="clear" w:color="auto" w:fill="auto"/>
            <w:vAlign w:val="center"/>
          </w:tcPr>
          <w:p w14:paraId="687E7786">
            <w:pPr>
              <w:widowControl/>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安全员</w:t>
            </w:r>
          </w:p>
        </w:tc>
      </w:tr>
      <w:tr w14:paraId="43973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1B1DF6BA">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4</w:t>
            </w:r>
          </w:p>
        </w:tc>
        <w:tc>
          <w:tcPr>
            <w:tcW w:w="1315" w:type="dxa"/>
          </w:tcPr>
          <w:p w14:paraId="49FF89D3">
            <w:pPr>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color w:val="auto"/>
                <w:szCs w:val="24"/>
                <w:highlight w:val="none"/>
              </w:rPr>
              <w:t>建筑工程</w:t>
            </w:r>
          </w:p>
        </w:tc>
        <w:tc>
          <w:tcPr>
            <w:tcW w:w="1152" w:type="dxa"/>
            <w:shd w:val="clear" w:color="auto" w:fill="auto"/>
            <w:vAlign w:val="center"/>
          </w:tcPr>
          <w:p w14:paraId="48426F85">
            <w:pPr>
              <w:widowControl/>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潘志富</w:t>
            </w:r>
          </w:p>
        </w:tc>
        <w:tc>
          <w:tcPr>
            <w:tcW w:w="1584" w:type="dxa"/>
            <w:shd w:val="clear" w:color="auto" w:fill="auto"/>
            <w:vAlign w:val="center"/>
          </w:tcPr>
          <w:p w14:paraId="5ADECD31">
            <w:pPr>
              <w:widowControl/>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w:t>
            </w:r>
          </w:p>
        </w:tc>
        <w:tc>
          <w:tcPr>
            <w:tcW w:w="1132" w:type="dxa"/>
            <w:shd w:val="clear" w:color="auto" w:fill="auto"/>
            <w:vAlign w:val="center"/>
          </w:tcPr>
          <w:p w14:paraId="1290142A">
            <w:pPr>
              <w:snapToGrid w:val="0"/>
              <w:jc w:val="center"/>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sz w:val="24"/>
                <w:highlight w:val="none"/>
                <w:lang w:val="en-US" w:eastAsia="zh-CN"/>
              </w:rPr>
              <w:t>大专</w:t>
            </w:r>
          </w:p>
        </w:tc>
        <w:tc>
          <w:tcPr>
            <w:tcW w:w="1229" w:type="dxa"/>
            <w:shd w:val="clear" w:color="auto" w:fill="auto"/>
            <w:vAlign w:val="center"/>
          </w:tcPr>
          <w:p w14:paraId="303019F2">
            <w:pPr>
              <w:widowControl/>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6</w:t>
            </w:r>
          </w:p>
        </w:tc>
        <w:tc>
          <w:tcPr>
            <w:tcW w:w="1744" w:type="dxa"/>
            <w:shd w:val="clear" w:color="auto" w:fill="auto"/>
            <w:vAlign w:val="center"/>
          </w:tcPr>
          <w:p w14:paraId="2D1D4534">
            <w:pPr>
              <w:widowControl/>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资料员</w:t>
            </w:r>
          </w:p>
        </w:tc>
      </w:tr>
      <w:tr w14:paraId="739D2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7C4E98B3">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5</w:t>
            </w:r>
          </w:p>
        </w:tc>
        <w:tc>
          <w:tcPr>
            <w:tcW w:w="1315" w:type="dxa"/>
          </w:tcPr>
          <w:p w14:paraId="13922555">
            <w:pPr>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color w:val="auto"/>
                <w:szCs w:val="24"/>
                <w:highlight w:val="none"/>
              </w:rPr>
              <w:t>建筑工程</w:t>
            </w:r>
          </w:p>
        </w:tc>
        <w:tc>
          <w:tcPr>
            <w:tcW w:w="1152" w:type="dxa"/>
            <w:shd w:val="clear" w:color="auto" w:fill="auto"/>
            <w:vAlign w:val="center"/>
          </w:tcPr>
          <w:p w14:paraId="02A5FD5C">
            <w:pPr>
              <w:widowControl/>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夏永根</w:t>
            </w:r>
          </w:p>
        </w:tc>
        <w:tc>
          <w:tcPr>
            <w:tcW w:w="1584" w:type="dxa"/>
            <w:shd w:val="clear" w:color="auto" w:fill="auto"/>
            <w:vAlign w:val="center"/>
          </w:tcPr>
          <w:p w14:paraId="45E52D75">
            <w:pPr>
              <w:widowControl/>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w:t>
            </w:r>
          </w:p>
        </w:tc>
        <w:tc>
          <w:tcPr>
            <w:tcW w:w="1132" w:type="dxa"/>
            <w:shd w:val="clear" w:color="auto" w:fill="auto"/>
            <w:vAlign w:val="center"/>
          </w:tcPr>
          <w:p w14:paraId="51E3F167">
            <w:pPr>
              <w:snapToGrid w:val="0"/>
              <w:jc w:val="center"/>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sz w:val="24"/>
                <w:highlight w:val="none"/>
                <w:lang w:val="en-US" w:eastAsia="zh-CN"/>
              </w:rPr>
              <w:t>大专</w:t>
            </w:r>
          </w:p>
        </w:tc>
        <w:tc>
          <w:tcPr>
            <w:tcW w:w="1229" w:type="dxa"/>
            <w:shd w:val="clear" w:color="auto" w:fill="auto"/>
            <w:vAlign w:val="center"/>
          </w:tcPr>
          <w:p w14:paraId="1EB36787">
            <w:pPr>
              <w:widowControl/>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9</w:t>
            </w:r>
          </w:p>
        </w:tc>
        <w:tc>
          <w:tcPr>
            <w:tcW w:w="1744" w:type="dxa"/>
            <w:shd w:val="clear" w:color="auto" w:fill="auto"/>
            <w:vAlign w:val="center"/>
          </w:tcPr>
          <w:p w14:paraId="0ACAB975">
            <w:pPr>
              <w:widowControl/>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材料员</w:t>
            </w:r>
          </w:p>
        </w:tc>
      </w:tr>
      <w:tr w14:paraId="6BC39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460BE005">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6</w:t>
            </w:r>
          </w:p>
        </w:tc>
        <w:tc>
          <w:tcPr>
            <w:tcW w:w="1315" w:type="dxa"/>
          </w:tcPr>
          <w:p w14:paraId="5D42A2F5">
            <w:pPr>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color w:val="auto"/>
                <w:szCs w:val="24"/>
                <w:highlight w:val="none"/>
              </w:rPr>
              <w:t>建筑工程</w:t>
            </w:r>
          </w:p>
        </w:tc>
        <w:tc>
          <w:tcPr>
            <w:tcW w:w="1152" w:type="dxa"/>
            <w:shd w:val="clear" w:color="auto" w:fill="auto"/>
            <w:vAlign w:val="center"/>
          </w:tcPr>
          <w:p w14:paraId="0C449F09">
            <w:pPr>
              <w:widowControl/>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蒋雪倩</w:t>
            </w:r>
          </w:p>
        </w:tc>
        <w:tc>
          <w:tcPr>
            <w:tcW w:w="1584" w:type="dxa"/>
            <w:shd w:val="clear" w:color="auto" w:fill="auto"/>
            <w:vAlign w:val="center"/>
          </w:tcPr>
          <w:p w14:paraId="68976AED">
            <w:pPr>
              <w:widowControl/>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w:t>
            </w:r>
          </w:p>
        </w:tc>
        <w:tc>
          <w:tcPr>
            <w:tcW w:w="1132" w:type="dxa"/>
            <w:shd w:val="clear" w:color="auto" w:fill="auto"/>
            <w:vAlign w:val="center"/>
          </w:tcPr>
          <w:p w14:paraId="1837A0DD">
            <w:pPr>
              <w:snapToGrid w:val="0"/>
              <w:jc w:val="center"/>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sz w:val="24"/>
                <w:highlight w:val="none"/>
                <w:lang w:val="en-US" w:eastAsia="zh-CN"/>
              </w:rPr>
              <w:t>本科</w:t>
            </w:r>
          </w:p>
        </w:tc>
        <w:tc>
          <w:tcPr>
            <w:tcW w:w="1229" w:type="dxa"/>
            <w:shd w:val="clear" w:color="auto" w:fill="auto"/>
            <w:vAlign w:val="center"/>
          </w:tcPr>
          <w:p w14:paraId="2ED3BBFE">
            <w:pPr>
              <w:widowControl/>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3</w:t>
            </w:r>
          </w:p>
        </w:tc>
        <w:tc>
          <w:tcPr>
            <w:tcW w:w="1744" w:type="dxa"/>
            <w:shd w:val="clear" w:color="auto" w:fill="auto"/>
            <w:vAlign w:val="center"/>
          </w:tcPr>
          <w:p w14:paraId="14FBA2A6">
            <w:pPr>
              <w:widowControl/>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质量员</w:t>
            </w:r>
          </w:p>
        </w:tc>
      </w:tr>
      <w:tr w14:paraId="34342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1F41E229">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7</w:t>
            </w:r>
          </w:p>
        </w:tc>
        <w:tc>
          <w:tcPr>
            <w:tcW w:w="1315" w:type="dxa"/>
          </w:tcPr>
          <w:p w14:paraId="1044807A">
            <w:pPr>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color w:val="auto"/>
                <w:szCs w:val="24"/>
                <w:highlight w:val="none"/>
              </w:rPr>
              <w:t>建筑工程</w:t>
            </w:r>
          </w:p>
        </w:tc>
        <w:tc>
          <w:tcPr>
            <w:tcW w:w="1152" w:type="dxa"/>
          </w:tcPr>
          <w:p w14:paraId="2B5383D5">
            <w:pPr>
              <w:spacing w:line="360" w:lineRule="auto"/>
              <w:jc w:val="center"/>
              <w:rPr>
                <w:rFonts w:hint="eastAsia" w:asciiTheme="minorEastAsia" w:hAnsiTheme="minorEastAsia" w:eastAsiaTheme="minorEastAsia" w:cstheme="minorEastAsia"/>
                <w:color w:val="auto"/>
                <w:szCs w:val="24"/>
                <w:highlight w:val="none"/>
              </w:rPr>
            </w:pPr>
          </w:p>
        </w:tc>
        <w:tc>
          <w:tcPr>
            <w:tcW w:w="1584" w:type="dxa"/>
          </w:tcPr>
          <w:p w14:paraId="1FCE8BE1">
            <w:pPr>
              <w:spacing w:line="360" w:lineRule="auto"/>
              <w:jc w:val="center"/>
              <w:rPr>
                <w:rFonts w:hint="eastAsia" w:asciiTheme="minorEastAsia" w:hAnsiTheme="minorEastAsia" w:eastAsiaTheme="minorEastAsia" w:cstheme="minorEastAsia"/>
                <w:color w:val="auto"/>
                <w:szCs w:val="24"/>
                <w:highlight w:val="none"/>
              </w:rPr>
            </w:pPr>
          </w:p>
        </w:tc>
        <w:tc>
          <w:tcPr>
            <w:tcW w:w="1132" w:type="dxa"/>
          </w:tcPr>
          <w:p w14:paraId="6F06F31E">
            <w:pPr>
              <w:spacing w:line="360" w:lineRule="auto"/>
              <w:jc w:val="center"/>
              <w:rPr>
                <w:rFonts w:hint="eastAsia" w:asciiTheme="minorEastAsia" w:hAnsiTheme="minorEastAsia" w:eastAsiaTheme="minorEastAsia" w:cstheme="minorEastAsia"/>
                <w:color w:val="auto"/>
                <w:szCs w:val="24"/>
                <w:highlight w:val="none"/>
              </w:rPr>
            </w:pPr>
          </w:p>
        </w:tc>
        <w:tc>
          <w:tcPr>
            <w:tcW w:w="1229" w:type="dxa"/>
          </w:tcPr>
          <w:p w14:paraId="5B8FC2CB">
            <w:pPr>
              <w:spacing w:line="360" w:lineRule="auto"/>
              <w:jc w:val="center"/>
              <w:rPr>
                <w:rFonts w:hint="eastAsia" w:asciiTheme="minorEastAsia" w:hAnsiTheme="minorEastAsia" w:eastAsiaTheme="minorEastAsia" w:cstheme="minorEastAsia"/>
                <w:color w:val="auto"/>
                <w:szCs w:val="24"/>
                <w:highlight w:val="none"/>
              </w:rPr>
            </w:pPr>
          </w:p>
        </w:tc>
        <w:tc>
          <w:tcPr>
            <w:tcW w:w="1744" w:type="dxa"/>
          </w:tcPr>
          <w:p w14:paraId="50D8F1C4">
            <w:pPr>
              <w:spacing w:line="360" w:lineRule="auto"/>
              <w:jc w:val="center"/>
              <w:rPr>
                <w:rFonts w:hint="eastAsia" w:asciiTheme="minorEastAsia" w:hAnsiTheme="minorEastAsia" w:eastAsiaTheme="minorEastAsia" w:cstheme="minorEastAsia"/>
                <w:color w:val="auto"/>
                <w:szCs w:val="24"/>
                <w:highlight w:val="none"/>
              </w:rPr>
            </w:pPr>
          </w:p>
        </w:tc>
      </w:tr>
      <w:tr w14:paraId="73334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44" w:type="dxa"/>
            <w:vAlign w:val="center"/>
          </w:tcPr>
          <w:p w14:paraId="7198FD68">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8</w:t>
            </w:r>
          </w:p>
        </w:tc>
        <w:tc>
          <w:tcPr>
            <w:tcW w:w="1315" w:type="dxa"/>
            <w:vAlign w:val="center"/>
          </w:tcPr>
          <w:p w14:paraId="3C8D6E95">
            <w:pPr>
              <w:spacing w:line="360" w:lineRule="auto"/>
              <w:jc w:val="center"/>
              <w:rPr>
                <w:rFonts w:hint="eastAsia" w:asciiTheme="minorEastAsia" w:hAnsiTheme="minorEastAsia" w:eastAsiaTheme="minorEastAsia" w:cstheme="minorEastAsia"/>
                <w:color w:val="auto"/>
                <w:szCs w:val="24"/>
                <w:highlight w:val="none"/>
              </w:rPr>
            </w:pPr>
          </w:p>
        </w:tc>
        <w:tc>
          <w:tcPr>
            <w:tcW w:w="1152" w:type="dxa"/>
            <w:vAlign w:val="center"/>
          </w:tcPr>
          <w:p w14:paraId="5683E9EC">
            <w:pPr>
              <w:spacing w:line="360" w:lineRule="auto"/>
              <w:jc w:val="center"/>
              <w:rPr>
                <w:rFonts w:hint="eastAsia" w:asciiTheme="minorEastAsia" w:hAnsiTheme="minorEastAsia" w:eastAsiaTheme="minorEastAsia" w:cstheme="minorEastAsia"/>
                <w:color w:val="auto"/>
                <w:szCs w:val="24"/>
                <w:highlight w:val="none"/>
              </w:rPr>
            </w:pPr>
          </w:p>
        </w:tc>
        <w:tc>
          <w:tcPr>
            <w:tcW w:w="1584" w:type="dxa"/>
            <w:vAlign w:val="center"/>
          </w:tcPr>
          <w:p w14:paraId="39AE4EBD">
            <w:pPr>
              <w:spacing w:line="360" w:lineRule="auto"/>
              <w:jc w:val="center"/>
              <w:rPr>
                <w:rFonts w:hint="eastAsia" w:asciiTheme="minorEastAsia" w:hAnsiTheme="minorEastAsia" w:eastAsiaTheme="minorEastAsia" w:cstheme="minorEastAsia"/>
                <w:color w:val="auto"/>
                <w:szCs w:val="24"/>
                <w:highlight w:val="none"/>
              </w:rPr>
            </w:pPr>
          </w:p>
        </w:tc>
        <w:tc>
          <w:tcPr>
            <w:tcW w:w="1132" w:type="dxa"/>
            <w:vAlign w:val="center"/>
          </w:tcPr>
          <w:p w14:paraId="06140DB7">
            <w:pPr>
              <w:spacing w:line="360" w:lineRule="auto"/>
              <w:jc w:val="center"/>
              <w:rPr>
                <w:rFonts w:hint="eastAsia" w:asciiTheme="minorEastAsia" w:hAnsiTheme="minorEastAsia" w:eastAsiaTheme="minorEastAsia" w:cstheme="minorEastAsia"/>
                <w:color w:val="auto"/>
                <w:szCs w:val="24"/>
                <w:highlight w:val="none"/>
              </w:rPr>
            </w:pPr>
          </w:p>
        </w:tc>
        <w:tc>
          <w:tcPr>
            <w:tcW w:w="1229" w:type="dxa"/>
            <w:vAlign w:val="center"/>
          </w:tcPr>
          <w:p w14:paraId="69507A3A">
            <w:pPr>
              <w:spacing w:line="360" w:lineRule="auto"/>
              <w:jc w:val="center"/>
              <w:rPr>
                <w:rFonts w:hint="eastAsia" w:asciiTheme="minorEastAsia" w:hAnsiTheme="minorEastAsia" w:eastAsiaTheme="minorEastAsia" w:cstheme="minorEastAsia"/>
                <w:color w:val="auto"/>
                <w:szCs w:val="24"/>
                <w:highlight w:val="none"/>
              </w:rPr>
            </w:pPr>
          </w:p>
        </w:tc>
        <w:tc>
          <w:tcPr>
            <w:tcW w:w="1744" w:type="dxa"/>
            <w:vAlign w:val="center"/>
          </w:tcPr>
          <w:p w14:paraId="770AD063">
            <w:pPr>
              <w:spacing w:line="360" w:lineRule="auto"/>
              <w:jc w:val="center"/>
              <w:rPr>
                <w:rFonts w:hint="eastAsia" w:asciiTheme="minorEastAsia" w:hAnsiTheme="minorEastAsia" w:eastAsiaTheme="minorEastAsia" w:cstheme="minorEastAsia"/>
                <w:color w:val="auto"/>
                <w:szCs w:val="24"/>
                <w:highlight w:val="none"/>
              </w:rPr>
            </w:pPr>
          </w:p>
        </w:tc>
      </w:tr>
    </w:tbl>
    <w:p w14:paraId="46212F73">
      <w:pPr>
        <w:pStyle w:val="54"/>
        <w:spacing w:line="360" w:lineRule="auto"/>
        <w:rPr>
          <w:rFonts w:hint="eastAsia" w:asciiTheme="minorEastAsia" w:hAnsiTheme="minorEastAsia" w:eastAsiaTheme="minorEastAsia" w:cstheme="minorEastAsia"/>
          <w:bCs/>
          <w:color w:val="auto"/>
          <w:szCs w:val="28"/>
          <w:highlight w:val="none"/>
        </w:rPr>
      </w:pPr>
    </w:p>
    <w:p w14:paraId="286BCE89">
      <w:pPr>
        <w:pStyle w:val="54"/>
        <w:spacing w:line="360" w:lineRule="auto"/>
        <w:rPr>
          <w:rFonts w:hint="eastAsia" w:asciiTheme="minorEastAsia" w:hAnsiTheme="minorEastAsia" w:eastAsiaTheme="minorEastAsia" w:cstheme="minorEastAsia"/>
          <w:bCs/>
          <w:color w:val="auto"/>
          <w:szCs w:val="28"/>
          <w:highlight w:val="none"/>
        </w:rPr>
      </w:pPr>
    </w:p>
    <w:p w14:paraId="44BECA2E">
      <w:pPr>
        <w:pStyle w:val="54"/>
        <w:spacing w:line="360" w:lineRule="auto"/>
        <w:rPr>
          <w:rFonts w:hint="eastAsia" w:asciiTheme="minorEastAsia" w:hAnsiTheme="minorEastAsia" w:eastAsiaTheme="minorEastAsia" w:cstheme="minorEastAsia"/>
          <w:bCs/>
          <w:color w:val="auto"/>
          <w:szCs w:val="28"/>
          <w:highlight w:val="none"/>
        </w:rPr>
      </w:pPr>
    </w:p>
    <w:p w14:paraId="1DC0FAEB">
      <w:pPr>
        <w:pStyle w:val="54"/>
        <w:spacing w:line="360" w:lineRule="auto"/>
        <w:rPr>
          <w:rFonts w:hint="eastAsia" w:asciiTheme="minorEastAsia" w:hAnsiTheme="minorEastAsia" w:eastAsiaTheme="minorEastAsia" w:cstheme="minorEastAsia"/>
          <w:bCs/>
          <w:color w:val="auto"/>
          <w:szCs w:val="28"/>
          <w:highlight w:val="none"/>
        </w:rPr>
      </w:pPr>
    </w:p>
    <w:p w14:paraId="34864268">
      <w:pPr>
        <w:pStyle w:val="54"/>
        <w:spacing w:line="360" w:lineRule="auto"/>
        <w:rPr>
          <w:rFonts w:hint="eastAsia" w:asciiTheme="minorEastAsia" w:hAnsiTheme="minorEastAsia" w:eastAsiaTheme="minorEastAsia" w:cstheme="minorEastAsia"/>
          <w:bCs/>
          <w:color w:val="auto"/>
          <w:szCs w:val="28"/>
          <w:highlight w:val="none"/>
        </w:rPr>
      </w:pPr>
    </w:p>
    <w:p w14:paraId="357EB1E0">
      <w:pPr>
        <w:pStyle w:val="54"/>
        <w:spacing w:line="360" w:lineRule="auto"/>
        <w:rPr>
          <w:rFonts w:hint="eastAsia" w:asciiTheme="minorEastAsia" w:hAnsiTheme="minorEastAsia" w:eastAsiaTheme="minorEastAsia" w:cstheme="minorEastAsia"/>
          <w:bCs/>
          <w:color w:val="auto"/>
          <w:szCs w:val="28"/>
          <w:highlight w:val="none"/>
        </w:rPr>
      </w:pPr>
    </w:p>
    <w:p w14:paraId="5B3A1A65">
      <w:pPr>
        <w:pStyle w:val="54"/>
        <w:spacing w:line="360" w:lineRule="auto"/>
        <w:rPr>
          <w:rFonts w:hint="eastAsia" w:asciiTheme="minorEastAsia" w:hAnsiTheme="minorEastAsia" w:eastAsiaTheme="minorEastAsia" w:cstheme="minorEastAsia"/>
          <w:bCs/>
          <w:color w:val="auto"/>
          <w:szCs w:val="28"/>
          <w:highlight w:val="none"/>
        </w:rPr>
      </w:pPr>
    </w:p>
    <w:p w14:paraId="73B1EFF8">
      <w:pPr>
        <w:pStyle w:val="54"/>
        <w:spacing w:line="360" w:lineRule="auto"/>
        <w:rPr>
          <w:rFonts w:hint="eastAsia" w:asciiTheme="minorEastAsia" w:hAnsiTheme="minorEastAsia" w:eastAsiaTheme="minorEastAsia" w:cstheme="minorEastAsia"/>
          <w:bCs/>
          <w:color w:val="auto"/>
          <w:szCs w:val="28"/>
          <w:highlight w:val="none"/>
        </w:rPr>
      </w:pPr>
    </w:p>
    <w:p w14:paraId="28F8715A">
      <w:pPr>
        <w:pStyle w:val="54"/>
        <w:spacing w:line="360" w:lineRule="auto"/>
        <w:rPr>
          <w:rFonts w:hint="eastAsia" w:asciiTheme="minorEastAsia" w:hAnsiTheme="minorEastAsia" w:eastAsiaTheme="minorEastAsia" w:cstheme="minorEastAsia"/>
          <w:bCs/>
          <w:color w:val="auto"/>
          <w:szCs w:val="28"/>
          <w:highlight w:val="none"/>
        </w:rPr>
      </w:pPr>
    </w:p>
    <w:p w14:paraId="4DDD05F2">
      <w:pPr>
        <w:pStyle w:val="54"/>
        <w:spacing w:line="360" w:lineRule="auto"/>
        <w:rPr>
          <w:rFonts w:hint="eastAsia" w:asciiTheme="minorEastAsia" w:hAnsiTheme="minorEastAsia" w:eastAsiaTheme="minorEastAsia" w:cstheme="minorEastAsia"/>
          <w:bCs/>
          <w:color w:val="auto"/>
          <w:szCs w:val="28"/>
          <w:highlight w:val="none"/>
        </w:rPr>
      </w:pPr>
    </w:p>
    <w:p w14:paraId="4EF645DE">
      <w:pPr>
        <w:pStyle w:val="54"/>
        <w:spacing w:line="360" w:lineRule="auto"/>
        <w:rPr>
          <w:rFonts w:hint="eastAsia" w:asciiTheme="minorEastAsia" w:hAnsiTheme="minorEastAsia" w:eastAsiaTheme="minorEastAsia" w:cstheme="minorEastAsia"/>
          <w:bCs/>
          <w:color w:val="auto"/>
          <w:szCs w:val="28"/>
          <w:highlight w:val="none"/>
        </w:rPr>
      </w:pPr>
    </w:p>
    <w:p w14:paraId="7D10E541">
      <w:pPr>
        <w:pStyle w:val="54"/>
        <w:spacing w:line="360" w:lineRule="auto"/>
        <w:rPr>
          <w:rFonts w:hint="eastAsia" w:asciiTheme="minorEastAsia" w:hAnsiTheme="minorEastAsia" w:eastAsiaTheme="minorEastAsia" w:cstheme="minorEastAsia"/>
          <w:bCs/>
          <w:color w:val="auto"/>
          <w:szCs w:val="28"/>
          <w:highlight w:val="none"/>
        </w:rPr>
      </w:pPr>
    </w:p>
    <w:p w14:paraId="0E84702B">
      <w:pPr>
        <w:pStyle w:val="54"/>
        <w:spacing w:line="360" w:lineRule="auto"/>
        <w:rPr>
          <w:rFonts w:hint="eastAsia" w:asciiTheme="minorEastAsia" w:hAnsiTheme="minorEastAsia" w:eastAsiaTheme="minorEastAsia" w:cstheme="minorEastAsia"/>
          <w:bCs/>
          <w:color w:val="auto"/>
          <w:szCs w:val="28"/>
          <w:highlight w:val="none"/>
        </w:rPr>
      </w:pPr>
    </w:p>
    <w:p w14:paraId="3679FE40">
      <w:pPr>
        <w:pStyle w:val="54"/>
        <w:spacing w:line="360" w:lineRule="auto"/>
        <w:rPr>
          <w:rFonts w:hint="eastAsia" w:asciiTheme="minorEastAsia" w:hAnsiTheme="minorEastAsia" w:eastAsiaTheme="minorEastAsia" w:cstheme="minorEastAsia"/>
          <w:bCs/>
          <w:color w:val="auto"/>
          <w:szCs w:val="28"/>
          <w:highlight w:val="none"/>
        </w:rPr>
      </w:pPr>
    </w:p>
    <w:p w14:paraId="3B764365">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附件三、材料品牌表</w:t>
      </w:r>
    </w:p>
    <w:tbl>
      <w:tblPr>
        <w:tblStyle w:val="47"/>
        <w:tblW w:w="9840" w:type="dxa"/>
        <w:tblInd w:w="93" w:type="dxa"/>
        <w:tblLayout w:type="autofit"/>
        <w:tblCellMar>
          <w:top w:w="0" w:type="dxa"/>
          <w:left w:w="108" w:type="dxa"/>
          <w:bottom w:w="0" w:type="dxa"/>
          <w:right w:w="108" w:type="dxa"/>
        </w:tblCellMar>
      </w:tblPr>
      <w:tblGrid>
        <w:gridCol w:w="612"/>
        <w:gridCol w:w="2398"/>
        <w:gridCol w:w="1490"/>
        <w:gridCol w:w="3457"/>
        <w:gridCol w:w="1883"/>
      </w:tblGrid>
      <w:tr w14:paraId="6BC8F4EE">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0CB20">
            <w:pPr>
              <w:widowControl/>
              <w:spacing w:line="360" w:lineRule="auto"/>
              <w:jc w:val="center"/>
              <w:textAlignment w:val="center"/>
              <w:rPr>
                <w:rFonts w:hint="eastAsia" w:asciiTheme="minorEastAsia" w:hAnsiTheme="minorEastAsia" w:eastAsiaTheme="minorEastAsia" w:cstheme="minorEastAsia"/>
                <w:b/>
                <w:bCs/>
                <w:color w:val="auto"/>
                <w:sz w:val="22"/>
                <w:highlight w:val="none"/>
              </w:rPr>
            </w:pPr>
            <w:r>
              <w:rPr>
                <w:rFonts w:hint="eastAsia" w:asciiTheme="minorEastAsia" w:hAnsiTheme="minorEastAsia" w:eastAsiaTheme="minorEastAsia" w:cstheme="minorEastAsia"/>
                <w:b/>
                <w:bCs/>
                <w:color w:val="auto"/>
                <w:kern w:val="0"/>
                <w:sz w:val="22"/>
                <w:highlight w:val="none"/>
                <w:lang w:bidi="ar"/>
              </w:rPr>
              <w:t>序号</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B6953">
            <w:pPr>
              <w:widowControl/>
              <w:spacing w:line="360" w:lineRule="auto"/>
              <w:jc w:val="center"/>
              <w:textAlignment w:val="center"/>
              <w:rPr>
                <w:rFonts w:hint="eastAsia" w:asciiTheme="minorEastAsia" w:hAnsiTheme="minorEastAsia" w:eastAsiaTheme="minorEastAsia" w:cstheme="minorEastAsia"/>
                <w:b/>
                <w:bCs/>
                <w:color w:val="auto"/>
                <w:sz w:val="22"/>
                <w:highlight w:val="none"/>
              </w:rPr>
            </w:pPr>
            <w:r>
              <w:rPr>
                <w:rFonts w:hint="eastAsia" w:asciiTheme="minorEastAsia" w:hAnsiTheme="minorEastAsia" w:eastAsiaTheme="minorEastAsia" w:cstheme="minorEastAsia"/>
                <w:b/>
                <w:bCs/>
                <w:color w:val="auto"/>
                <w:kern w:val="0"/>
                <w:sz w:val="22"/>
                <w:highlight w:val="none"/>
                <w:lang w:bidi="ar"/>
              </w:rPr>
              <w:t>材料名称</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91E6">
            <w:pPr>
              <w:widowControl/>
              <w:spacing w:line="360" w:lineRule="auto"/>
              <w:jc w:val="center"/>
              <w:textAlignment w:val="center"/>
              <w:rPr>
                <w:rFonts w:hint="eastAsia" w:asciiTheme="minorEastAsia" w:hAnsiTheme="minorEastAsia" w:eastAsiaTheme="minorEastAsia" w:cstheme="minorEastAsia"/>
                <w:b/>
                <w:bCs/>
                <w:color w:val="auto"/>
                <w:sz w:val="22"/>
                <w:highlight w:val="none"/>
              </w:rPr>
            </w:pPr>
            <w:r>
              <w:rPr>
                <w:rFonts w:hint="eastAsia" w:asciiTheme="minorEastAsia" w:hAnsiTheme="minorEastAsia" w:eastAsiaTheme="minorEastAsia" w:cstheme="minorEastAsia"/>
                <w:b/>
                <w:bCs/>
                <w:color w:val="auto"/>
                <w:kern w:val="0"/>
                <w:sz w:val="22"/>
                <w:highlight w:val="none"/>
                <w:lang w:bidi="ar"/>
              </w:rPr>
              <w:t>供应方式</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1D54">
            <w:pPr>
              <w:widowControl/>
              <w:spacing w:line="360" w:lineRule="auto"/>
              <w:jc w:val="center"/>
              <w:textAlignment w:val="center"/>
              <w:rPr>
                <w:rFonts w:hint="eastAsia" w:asciiTheme="minorEastAsia" w:hAnsiTheme="minorEastAsia" w:eastAsiaTheme="minorEastAsia" w:cstheme="minorEastAsia"/>
                <w:b/>
                <w:bCs/>
                <w:color w:val="auto"/>
                <w:sz w:val="22"/>
                <w:highlight w:val="none"/>
              </w:rPr>
            </w:pPr>
            <w:r>
              <w:rPr>
                <w:rFonts w:hint="eastAsia" w:asciiTheme="minorEastAsia" w:hAnsiTheme="minorEastAsia" w:eastAsiaTheme="minorEastAsia" w:cstheme="minorEastAsia"/>
                <w:b/>
                <w:bCs/>
                <w:color w:val="auto"/>
                <w:kern w:val="0"/>
                <w:sz w:val="22"/>
                <w:highlight w:val="none"/>
                <w:lang w:bidi="ar"/>
              </w:rPr>
              <w:t>限定品牌范围</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6FE65">
            <w:pPr>
              <w:widowControl/>
              <w:spacing w:line="360" w:lineRule="auto"/>
              <w:jc w:val="center"/>
              <w:textAlignment w:val="center"/>
              <w:rPr>
                <w:rFonts w:hint="eastAsia" w:asciiTheme="minorEastAsia" w:hAnsiTheme="minorEastAsia" w:eastAsiaTheme="minorEastAsia" w:cstheme="minorEastAsia"/>
                <w:b/>
                <w:bCs/>
                <w:color w:val="auto"/>
                <w:sz w:val="22"/>
                <w:highlight w:val="none"/>
              </w:rPr>
            </w:pPr>
            <w:r>
              <w:rPr>
                <w:rFonts w:hint="eastAsia" w:asciiTheme="minorEastAsia" w:hAnsiTheme="minorEastAsia" w:eastAsiaTheme="minorEastAsia" w:cstheme="minorEastAsia"/>
                <w:b/>
                <w:bCs/>
                <w:color w:val="auto"/>
                <w:kern w:val="0"/>
                <w:sz w:val="22"/>
                <w:highlight w:val="none"/>
                <w:lang w:bidi="ar"/>
              </w:rPr>
              <w:t>乙方选定品牌</w:t>
            </w:r>
          </w:p>
        </w:tc>
      </w:tr>
      <w:tr w14:paraId="51D2C003">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087A">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454B3">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墙地砖</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8E9C5">
            <w:pPr>
              <w:widowControl/>
              <w:spacing w:line="360" w:lineRule="auto"/>
              <w:jc w:val="center"/>
              <w:textAlignment w:val="center"/>
              <w:rPr>
                <w:rFonts w:hint="eastAsia" w:asciiTheme="minorEastAsia" w:hAnsiTheme="minorEastAsia" w:eastAsiaTheme="minorEastAsia" w:cstheme="minorEastAsia"/>
                <w:color w:val="auto"/>
                <w:sz w:val="22"/>
                <w:highlight w:val="none"/>
                <w:lang w:val="en-US" w:eastAsia="zh-CN"/>
              </w:rPr>
            </w:pPr>
            <w:r>
              <w:rPr>
                <w:rFonts w:hint="eastAsia" w:asciiTheme="minorEastAsia" w:hAnsiTheme="minorEastAsia" w:eastAsiaTheme="minorEastAsia" w:cstheme="minorEastAsia"/>
                <w:color w:val="auto"/>
                <w:sz w:val="22"/>
                <w:highlight w:val="none"/>
                <w:lang w:val="en-US" w:eastAsia="zh-CN"/>
              </w:rPr>
              <w:t>乙供</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39F3">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东鹏、马可波罗、冠珠、金意陶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79F2">
            <w:pPr>
              <w:spacing w:line="360" w:lineRule="auto"/>
              <w:jc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东鹏、冠珠、金意陶</w:t>
            </w:r>
          </w:p>
        </w:tc>
      </w:tr>
      <w:tr w14:paraId="50CF743A">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A3AE">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3D93">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木饰面</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6B5F">
            <w:pPr>
              <w:widowControl/>
              <w:spacing w:line="360" w:lineRule="auto"/>
              <w:jc w:val="center"/>
              <w:textAlignment w:val="center"/>
              <w:rPr>
                <w:rFonts w:hint="eastAsia" w:asciiTheme="minorEastAsia" w:hAnsiTheme="minorEastAsia" w:eastAsiaTheme="minorEastAsia" w:cstheme="minorEastAsia"/>
                <w:color w:val="auto"/>
                <w:sz w:val="22"/>
                <w:highlight w:val="none"/>
                <w:lang w:val="en-US" w:eastAsia="zh-CN"/>
              </w:rPr>
            </w:pPr>
            <w:r>
              <w:rPr>
                <w:rFonts w:hint="eastAsia" w:asciiTheme="minorEastAsia" w:hAnsiTheme="minorEastAsia" w:eastAsiaTheme="minorEastAsia" w:cstheme="minorEastAsia"/>
                <w:color w:val="auto"/>
                <w:sz w:val="22"/>
                <w:highlight w:val="none"/>
                <w:lang w:val="en-US" w:eastAsia="zh-CN"/>
              </w:rPr>
              <w:t>乙供</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86739">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43F5">
            <w:pPr>
              <w:spacing w:line="360" w:lineRule="auto"/>
              <w:jc w:val="center"/>
              <w:rPr>
                <w:rFonts w:hint="eastAsia" w:asciiTheme="minorEastAsia" w:hAnsiTheme="minorEastAsia" w:eastAsiaTheme="minorEastAsia" w:cstheme="minorEastAsia"/>
                <w:color w:val="auto"/>
                <w:sz w:val="22"/>
                <w:highlight w:val="none"/>
                <w:lang w:val="en-US" w:eastAsia="zh-CN"/>
              </w:rPr>
            </w:pPr>
            <w:r>
              <w:rPr>
                <w:rFonts w:hint="eastAsia" w:asciiTheme="minorEastAsia" w:hAnsiTheme="minorEastAsia" w:eastAsiaTheme="minorEastAsia" w:cstheme="minorEastAsia"/>
                <w:color w:val="auto"/>
                <w:sz w:val="22"/>
                <w:highlight w:val="none"/>
                <w:lang w:val="en-US" w:eastAsia="zh-CN"/>
              </w:rPr>
              <w:t>国标</w:t>
            </w:r>
          </w:p>
        </w:tc>
      </w:tr>
      <w:tr w14:paraId="125D51C8">
        <w:tblPrEx>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2F30">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EFCF4">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灯具（工艺吊灯除外）</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9FE14">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lang w:val="en-US" w:eastAsia="zh-CN"/>
              </w:rPr>
              <w:t>乙供</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A44B">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雷士、欧普、飞利浦</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AA6A">
            <w:pPr>
              <w:spacing w:line="360" w:lineRule="auto"/>
              <w:jc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雷士、欧普</w:t>
            </w:r>
          </w:p>
        </w:tc>
      </w:tr>
      <w:tr w14:paraId="64884246">
        <w:tblPrEx>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30B7">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88E62">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开关插座</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ECC2">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lang w:val="en-US" w:eastAsia="zh-CN"/>
              </w:rPr>
              <w:t>乙供</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9874E">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罗格朗、西蒙、西门子、施耐德</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E0A9">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罗格朗、施耐德</w:t>
            </w:r>
          </w:p>
        </w:tc>
      </w:tr>
      <w:tr w14:paraId="7E1CC796">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96E6">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39E5">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电线电缆</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85C64">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lang w:val="en-US" w:eastAsia="zh-CN"/>
              </w:rPr>
              <w:t>乙供</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5255D">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EB53B">
            <w:pPr>
              <w:spacing w:line="360" w:lineRule="auto"/>
              <w:jc w:val="center"/>
              <w:rPr>
                <w:rFonts w:hint="default" w:asciiTheme="minorEastAsia" w:hAnsiTheme="minorEastAsia" w:eastAsiaTheme="minorEastAsia" w:cstheme="minorEastAsia"/>
                <w:color w:val="auto"/>
                <w:sz w:val="22"/>
                <w:highlight w:val="none"/>
                <w:lang w:val="en-US" w:eastAsia="zh-CN"/>
              </w:rPr>
            </w:pPr>
            <w:r>
              <w:rPr>
                <w:rFonts w:hint="eastAsia" w:asciiTheme="minorEastAsia" w:hAnsiTheme="minorEastAsia" w:eastAsiaTheme="minorEastAsia" w:cstheme="minorEastAsia"/>
                <w:color w:val="auto"/>
                <w:sz w:val="22"/>
                <w:highlight w:val="none"/>
                <w:lang w:val="en-US" w:eastAsia="zh-CN"/>
              </w:rPr>
              <w:t>郑星、金水</w:t>
            </w:r>
          </w:p>
        </w:tc>
      </w:tr>
      <w:tr w14:paraId="31888462">
        <w:tblPrEx>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A6D6">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C8E64">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防水石膏板、普通石膏板</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34E0">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lang w:val="en-US" w:eastAsia="zh-CN"/>
              </w:rPr>
              <w:t>乙供</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0402">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泰山等同档次</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F3D99">
            <w:pPr>
              <w:spacing w:line="360" w:lineRule="auto"/>
              <w:jc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泰山等同档次</w:t>
            </w:r>
          </w:p>
        </w:tc>
      </w:tr>
      <w:tr w14:paraId="0C7FE4DE">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58B0">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7</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466B5">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轻钢龙骨</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EF483">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lang w:val="en-US" w:eastAsia="zh-CN"/>
              </w:rPr>
              <w:t>乙供</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B4D7">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国标</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DE9F">
            <w:pPr>
              <w:spacing w:line="360" w:lineRule="auto"/>
              <w:jc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泰山等同档次</w:t>
            </w:r>
          </w:p>
        </w:tc>
      </w:tr>
      <w:tr w14:paraId="14A7BAD8">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46DA">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8</w:t>
            </w:r>
          </w:p>
        </w:tc>
        <w:tc>
          <w:tcPr>
            <w:tcW w:w="2398" w:type="dxa"/>
            <w:tcBorders>
              <w:top w:val="single" w:color="000000" w:sz="4" w:space="0"/>
              <w:left w:val="single" w:color="000000" w:sz="4" w:space="0"/>
              <w:bottom w:val="nil"/>
              <w:right w:val="single" w:color="000000" w:sz="4" w:space="0"/>
            </w:tcBorders>
            <w:shd w:val="clear" w:color="auto" w:fill="auto"/>
            <w:vAlign w:val="center"/>
          </w:tcPr>
          <w:p w14:paraId="2C9F7BD0">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乳胶漆</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BF66">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lang w:val="en-US" w:eastAsia="zh-CN"/>
              </w:rPr>
              <w:t>乙供</w:t>
            </w:r>
          </w:p>
        </w:tc>
        <w:tc>
          <w:tcPr>
            <w:tcW w:w="3457" w:type="dxa"/>
            <w:tcBorders>
              <w:top w:val="single" w:color="000000" w:sz="4" w:space="0"/>
              <w:left w:val="single" w:color="000000" w:sz="4" w:space="0"/>
              <w:bottom w:val="nil"/>
              <w:right w:val="single" w:color="000000" w:sz="4" w:space="0"/>
            </w:tcBorders>
            <w:shd w:val="clear" w:color="auto" w:fill="auto"/>
            <w:vAlign w:val="center"/>
          </w:tcPr>
          <w:p w14:paraId="2E0DF1A8">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立邦、三棵树、嘉宝莉</w:t>
            </w:r>
          </w:p>
        </w:tc>
        <w:tc>
          <w:tcPr>
            <w:tcW w:w="1883" w:type="dxa"/>
            <w:tcBorders>
              <w:top w:val="single" w:color="000000" w:sz="4" w:space="0"/>
              <w:left w:val="single" w:color="000000" w:sz="4" w:space="0"/>
              <w:bottom w:val="nil"/>
              <w:right w:val="single" w:color="000000" w:sz="4" w:space="0"/>
            </w:tcBorders>
            <w:shd w:val="clear" w:color="auto" w:fill="auto"/>
            <w:vAlign w:val="center"/>
          </w:tcPr>
          <w:p w14:paraId="70706AB3">
            <w:pPr>
              <w:spacing w:line="360" w:lineRule="auto"/>
              <w:jc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立邦、嘉宝莉</w:t>
            </w:r>
          </w:p>
        </w:tc>
      </w:tr>
      <w:tr w14:paraId="7C8A21C8">
        <w:tblPrEx>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5707">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9</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550BD">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铝合金门窗内墙密封胶</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85EF">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D892">
            <w:pPr>
              <w:spacing w:line="360" w:lineRule="auto"/>
              <w:jc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2D62">
            <w:pPr>
              <w:spacing w:line="360" w:lineRule="auto"/>
              <w:jc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w:t>
            </w:r>
          </w:p>
        </w:tc>
      </w:tr>
      <w:tr w14:paraId="2D811651">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9008">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10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5953D">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给排水管</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2575">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lang w:val="en-US" w:eastAsia="zh-CN"/>
              </w:rPr>
              <w:t>乙供</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0B1E">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金牛、日丰、保利、伟星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12323">
            <w:pPr>
              <w:spacing w:line="360" w:lineRule="auto"/>
              <w:jc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日丰、保利</w:t>
            </w:r>
          </w:p>
        </w:tc>
      </w:tr>
      <w:tr w14:paraId="0A8C5F41">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A215F">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11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CAE4">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地暖管材</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F41F">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lang w:val="en-US" w:eastAsia="zh-CN"/>
              </w:rPr>
              <w:t>乙供</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98A5">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金牛、日丰、保利、伟星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3A65">
            <w:pPr>
              <w:spacing w:line="360" w:lineRule="auto"/>
              <w:jc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日丰、保利</w:t>
            </w:r>
          </w:p>
        </w:tc>
      </w:tr>
      <w:tr w14:paraId="5DC1D2DA">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8845">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12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55307">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石膏阴角线</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25DE4">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lang w:val="en-US" w:eastAsia="zh-CN"/>
              </w:rPr>
              <w:t>乙供</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20ED">
            <w:pPr>
              <w:spacing w:line="360" w:lineRule="auto"/>
              <w:jc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4D04">
            <w:pPr>
              <w:spacing w:line="360" w:lineRule="auto"/>
              <w:jc w:val="center"/>
              <w:rPr>
                <w:rFonts w:hint="eastAsia" w:asciiTheme="minorEastAsia" w:hAnsiTheme="minorEastAsia" w:eastAsiaTheme="minorEastAsia" w:cstheme="minorEastAsia"/>
                <w:color w:val="auto"/>
                <w:sz w:val="22"/>
                <w:highlight w:val="none"/>
                <w:lang w:val="en-US" w:eastAsia="zh-CN"/>
              </w:rPr>
            </w:pPr>
            <w:r>
              <w:rPr>
                <w:rFonts w:hint="eastAsia" w:asciiTheme="minorEastAsia" w:hAnsiTheme="minorEastAsia" w:eastAsiaTheme="minorEastAsia" w:cstheme="minorEastAsia"/>
                <w:color w:val="auto"/>
                <w:sz w:val="22"/>
                <w:highlight w:val="none"/>
                <w:lang w:val="en-US" w:eastAsia="zh-CN"/>
              </w:rPr>
              <w:t>国标</w:t>
            </w:r>
          </w:p>
        </w:tc>
      </w:tr>
      <w:tr w14:paraId="64BCC2C0">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0921">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13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A148">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石材</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123DF">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lang w:val="en-US" w:eastAsia="zh-CN"/>
              </w:rPr>
              <w:t>乙供</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C9C3">
            <w:pPr>
              <w:spacing w:line="360" w:lineRule="auto"/>
              <w:jc w:val="center"/>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rPr>
              <w:t>\</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CF83">
            <w:pPr>
              <w:spacing w:line="360" w:lineRule="auto"/>
              <w:jc w:val="center"/>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sz w:val="22"/>
                <w:highlight w:val="none"/>
                <w:lang w:val="en-US" w:eastAsia="zh-CN"/>
              </w:rPr>
              <w:t>国标</w:t>
            </w:r>
          </w:p>
        </w:tc>
      </w:tr>
      <w:tr w14:paraId="2F1700A4">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BB0D">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14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9068D">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内墙腻子</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78E5">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lang w:val="en-US" w:eastAsia="zh-CN"/>
              </w:rPr>
              <w:t>乙供</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DE424">
            <w:pPr>
              <w:spacing w:line="360" w:lineRule="auto"/>
              <w:jc w:val="center"/>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rPr>
              <w:t>\</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4B4D">
            <w:pPr>
              <w:spacing w:line="360" w:lineRule="auto"/>
              <w:jc w:val="center"/>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sz w:val="22"/>
                <w:highlight w:val="none"/>
                <w:lang w:val="en-US" w:eastAsia="zh-CN"/>
              </w:rPr>
              <w:t>国标</w:t>
            </w:r>
          </w:p>
        </w:tc>
      </w:tr>
      <w:tr w14:paraId="5A17C4E8">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AA7F">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15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B4AB">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沙、石</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9FA06">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lang w:val="en-US" w:eastAsia="zh-CN"/>
              </w:rPr>
              <w:t>乙供</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48FA">
            <w:pPr>
              <w:spacing w:line="360" w:lineRule="auto"/>
              <w:jc w:val="center"/>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rPr>
              <w:t>\</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E9776">
            <w:pPr>
              <w:spacing w:line="360" w:lineRule="auto"/>
              <w:jc w:val="center"/>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sz w:val="22"/>
                <w:highlight w:val="none"/>
                <w:lang w:val="en-US" w:eastAsia="zh-CN"/>
              </w:rPr>
              <w:t>国标</w:t>
            </w:r>
          </w:p>
        </w:tc>
      </w:tr>
      <w:tr w14:paraId="250F6ECB">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963C2">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16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14B2">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lang w:bidi="ar"/>
              </w:rPr>
              <w:t>防水材料</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FE22">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lang w:val="en-US" w:eastAsia="zh-CN"/>
              </w:rPr>
              <w:t>乙供</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C303">
            <w:pPr>
              <w:widowControl/>
              <w:spacing w:line="360" w:lineRule="auto"/>
              <w:jc w:val="center"/>
              <w:textAlignment w:val="center"/>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4"/>
                <w:szCs w:val="24"/>
                <w:highlight w:val="none"/>
                <w:lang w:val="en-US" w:eastAsia="zh-CN"/>
              </w:rPr>
              <w:t>\</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E714">
            <w:pPr>
              <w:spacing w:line="360" w:lineRule="auto"/>
              <w:jc w:val="center"/>
              <w:rPr>
                <w:rFonts w:hint="default" w:asciiTheme="minorEastAsia" w:hAnsiTheme="minorEastAsia" w:eastAsiaTheme="minorEastAsia" w:cstheme="minorEastAsia"/>
                <w:color w:val="auto"/>
                <w:sz w:val="22"/>
                <w:highlight w:val="none"/>
                <w:lang w:val="en-US" w:eastAsia="zh-CN"/>
              </w:rPr>
            </w:pPr>
            <w:r>
              <w:rPr>
                <w:rFonts w:hint="eastAsia" w:asciiTheme="minorEastAsia" w:hAnsiTheme="minorEastAsia" w:eastAsiaTheme="minorEastAsia" w:cstheme="minorEastAsia"/>
                <w:color w:val="auto"/>
                <w:sz w:val="22"/>
                <w:highlight w:val="none"/>
                <w:lang w:val="en-US" w:eastAsia="zh-CN"/>
              </w:rPr>
              <w:t>雨虹等同档次</w:t>
            </w:r>
          </w:p>
        </w:tc>
      </w:tr>
    </w:tbl>
    <w:p w14:paraId="67E465BE">
      <w:pPr>
        <w:pStyle w:val="54"/>
        <w:spacing w:line="360" w:lineRule="auto"/>
        <w:rPr>
          <w:rFonts w:hint="eastAsia" w:asciiTheme="minorEastAsia" w:hAnsiTheme="minorEastAsia" w:eastAsiaTheme="minorEastAsia" w:cstheme="minorEastAsia"/>
          <w:bCs/>
          <w:color w:val="auto"/>
          <w:szCs w:val="28"/>
          <w:highlight w:val="none"/>
        </w:rPr>
      </w:pPr>
    </w:p>
    <w:p w14:paraId="7180A3AF">
      <w:pPr>
        <w:pStyle w:val="54"/>
        <w:spacing w:line="360" w:lineRule="auto"/>
        <w:rPr>
          <w:rFonts w:hint="eastAsia" w:asciiTheme="minorEastAsia" w:hAnsiTheme="minorEastAsia" w:eastAsiaTheme="minorEastAsia" w:cstheme="minorEastAsia"/>
          <w:bCs/>
          <w:color w:val="auto"/>
          <w:szCs w:val="28"/>
          <w:highlight w:val="none"/>
        </w:rPr>
      </w:pPr>
    </w:p>
    <w:p w14:paraId="08D0FD5A">
      <w:pPr>
        <w:pStyle w:val="54"/>
        <w:spacing w:line="360" w:lineRule="auto"/>
        <w:rPr>
          <w:rFonts w:hint="eastAsia" w:asciiTheme="minorEastAsia" w:hAnsiTheme="minorEastAsia" w:eastAsiaTheme="minorEastAsia" w:cstheme="minorEastAsia"/>
          <w:bCs/>
          <w:color w:val="auto"/>
          <w:szCs w:val="28"/>
          <w:highlight w:val="none"/>
        </w:rPr>
      </w:pPr>
    </w:p>
    <w:p w14:paraId="17823ED0">
      <w:pPr>
        <w:pStyle w:val="54"/>
        <w:spacing w:line="360" w:lineRule="auto"/>
        <w:rPr>
          <w:rFonts w:hint="eastAsia" w:asciiTheme="minorEastAsia" w:hAnsiTheme="minorEastAsia" w:eastAsiaTheme="minorEastAsia" w:cstheme="minorEastAsia"/>
          <w:bCs/>
          <w:color w:val="auto"/>
          <w:szCs w:val="28"/>
          <w:highlight w:val="none"/>
        </w:rPr>
      </w:pPr>
    </w:p>
    <w:p w14:paraId="09620DF7">
      <w:pPr>
        <w:pStyle w:val="54"/>
        <w:spacing w:line="360" w:lineRule="auto"/>
        <w:rPr>
          <w:rFonts w:hint="eastAsia" w:asciiTheme="minorEastAsia" w:hAnsiTheme="minorEastAsia" w:eastAsiaTheme="minorEastAsia" w:cstheme="minorEastAsia"/>
          <w:bCs/>
          <w:color w:val="auto"/>
          <w:szCs w:val="28"/>
          <w:highlight w:val="none"/>
        </w:rPr>
      </w:pPr>
    </w:p>
    <w:p w14:paraId="06DE82A0">
      <w:pPr>
        <w:pStyle w:val="54"/>
        <w:spacing w:line="360" w:lineRule="auto"/>
        <w:rPr>
          <w:rFonts w:hint="eastAsia" w:asciiTheme="minorEastAsia" w:hAnsiTheme="minorEastAsia" w:eastAsiaTheme="minorEastAsia" w:cstheme="minorEastAsia"/>
          <w:bCs/>
          <w:color w:val="auto"/>
          <w:szCs w:val="28"/>
          <w:highlight w:val="none"/>
        </w:rPr>
      </w:pPr>
    </w:p>
    <w:p w14:paraId="35C6E129">
      <w:pPr>
        <w:pStyle w:val="54"/>
        <w:spacing w:line="360" w:lineRule="auto"/>
        <w:rPr>
          <w:rFonts w:hint="eastAsia" w:asciiTheme="minorEastAsia" w:hAnsiTheme="minorEastAsia" w:eastAsiaTheme="minorEastAsia" w:cstheme="minorEastAsia"/>
          <w:bCs/>
          <w:color w:val="auto"/>
          <w:szCs w:val="28"/>
          <w:highlight w:val="none"/>
        </w:rPr>
      </w:pPr>
    </w:p>
    <w:p w14:paraId="5BE5B9DE">
      <w:pPr>
        <w:pStyle w:val="54"/>
        <w:spacing w:line="360" w:lineRule="auto"/>
        <w:rPr>
          <w:rFonts w:hint="eastAsia" w:asciiTheme="minorEastAsia" w:hAnsiTheme="minorEastAsia" w:eastAsiaTheme="minorEastAsia" w:cstheme="minorEastAsia"/>
          <w:bCs/>
          <w:color w:val="auto"/>
          <w:szCs w:val="28"/>
          <w:highlight w:val="none"/>
        </w:rPr>
      </w:pPr>
    </w:p>
    <w:p w14:paraId="03CFCC92">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附件四、《装修工程外观验收标准》</w:t>
      </w:r>
    </w:p>
    <w:tbl>
      <w:tblPr>
        <w:tblStyle w:val="47"/>
        <w:tblW w:w="9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820"/>
        <w:gridCol w:w="7501"/>
      </w:tblGrid>
      <w:tr w14:paraId="0D43A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093" w:type="dxa"/>
          </w:tcPr>
          <w:p w14:paraId="51319442">
            <w:pPr>
              <w:pStyle w:val="101"/>
              <w:spacing w:before="37" w:line="360" w:lineRule="auto"/>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检查内容</w:t>
            </w:r>
          </w:p>
        </w:tc>
        <w:tc>
          <w:tcPr>
            <w:tcW w:w="8321" w:type="dxa"/>
            <w:gridSpan w:val="2"/>
          </w:tcPr>
          <w:p w14:paraId="5CFB0ABE">
            <w:pPr>
              <w:pStyle w:val="101"/>
              <w:spacing w:before="37"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检查标准</w:t>
            </w:r>
          </w:p>
        </w:tc>
      </w:tr>
      <w:tr w14:paraId="34C07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tcPr>
          <w:p w14:paraId="0F71825F">
            <w:pPr>
              <w:pStyle w:val="101"/>
              <w:spacing w:before="20" w:line="360" w:lineRule="auto"/>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交楼标准</w:t>
            </w:r>
          </w:p>
        </w:tc>
        <w:tc>
          <w:tcPr>
            <w:tcW w:w="8321" w:type="dxa"/>
            <w:gridSpan w:val="2"/>
          </w:tcPr>
          <w:p w14:paraId="1FB1727E">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是否符合</w:t>
            </w:r>
          </w:p>
        </w:tc>
      </w:tr>
      <w:tr w14:paraId="2B459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tcPr>
          <w:p w14:paraId="3ACC3DE2">
            <w:pPr>
              <w:pStyle w:val="101"/>
              <w:spacing w:line="360" w:lineRule="auto"/>
              <w:rPr>
                <w:rFonts w:hint="eastAsia" w:asciiTheme="minorEastAsia" w:hAnsiTheme="minorEastAsia" w:eastAsiaTheme="minorEastAsia" w:cstheme="minorEastAsia"/>
                <w:b/>
                <w:color w:val="auto"/>
                <w:szCs w:val="24"/>
                <w:highlight w:val="none"/>
              </w:rPr>
            </w:pPr>
          </w:p>
          <w:p w14:paraId="74EB6F79">
            <w:pPr>
              <w:pStyle w:val="101"/>
              <w:spacing w:line="360" w:lineRule="auto"/>
              <w:rPr>
                <w:rFonts w:hint="eastAsia" w:asciiTheme="minorEastAsia" w:hAnsiTheme="minorEastAsia" w:eastAsiaTheme="minorEastAsia" w:cstheme="minorEastAsia"/>
                <w:b/>
                <w:color w:val="auto"/>
                <w:szCs w:val="24"/>
                <w:highlight w:val="none"/>
              </w:rPr>
            </w:pPr>
          </w:p>
          <w:p w14:paraId="5AC479EB">
            <w:pPr>
              <w:pStyle w:val="101"/>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地面</w:t>
            </w:r>
          </w:p>
        </w:tc>
        <w:tc>
          <w:tcPr>
            <w:tcW w:w="820" w:type="dxa"/>
            <w:vMerge w:val="restart"/>
          </w:tcPr>
          <w:p w14:paraId="37C0A17D">
            <w:pPr>
              <w:pStyle w:val="101"/>
              <w:spacing w:line="360" w:lineRule="auto"/>
              <w:ind w:left="219"/>
              <w:jc w:val="left"/>
              <w:rPr>
                <w:rFonts w:hint="eastAsia" w:asciiTheme="minorEastAsia" w:hAnsiTheme="minorEastAsia" w:eastAsiaTheme="minorEastAsia" w:cstheme="minorEastAsia"/>
                <w:color w:val="auto"/>
                <w:szCs w:val="24"/>
                <w:highlight w:val="none"/>
              </w:rPr>
            </w:pPr>
          </w:p>
          <w:p w14:paraId="0F3FF9DE">
            <w:pPr>
              <w:pStyle w:val="101"/>
              <w:spacing w:line="360" w:lineRule="auto"/>
              <w:ind w:left="219"/>
              <w:jc w:val="left"/>
              <w:rPr>
                <w:rFonts w:hint="eastAsia" w:asciiTheme="minorEastAsia" w:hAnsiTheme="minorEastAsia" w:eastAsiaTheme="minorEastAsia" w:cstheme="minorEastAsia"/>
                <w:color w:val="auto"/>
                <w:szCs w:val="24"/>
                <w:highlight w:val="none"/>
              </w:rPr>
            </w:pPr>
          </w:p>
          <w:p w14:paraId="309BDE86">
            <w:pPr>
              <w:pStyle w:val="101"/>
              <w:spacing w:line="360" w:lineRule="auto"/>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瓷 </w:t>
            </w:r>
            <w:r>
              <w:rPr>
                <w:rFonts w:hint="eastAsia" w:asciiTheme="minorEastAsia" w:hAnsiTheme="minorEastAsia" w:eastAsiaTheme="minorEastAsia" w:cstheme="minorEastAsia"/>
                <w:color w:val="auto"/>
                <w:spacing w:val="-16"/>
                <w:szCs w:val="24"/>
                <w:highlight w:val="none"/>
              </w:rPr>
              <w:t>砖</w:t>
            </w:r>
          </w:p>
        </w:tc>
        <w:tc>
          <w:tcPr>
            <w:tcW w:w="7501" w:type="dxa"/>
          </w:tcPr>
          <w:p w14:paraId="359B2588">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瓷砖铺贴平整、对缝整齐，无空鼓、开裂、缺棱、掉角、色差、污染。</w:t>
            </w:r>
          </w:p>
        </w:tc>
      </w:tr>
      <w:tr w14:paraId="0C2D1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0F2CE665">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66B8806A">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6C825868">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地漏口须设置在对角裁开的方砖正中，且收边美观、圆滑。</w:t>
            </w:r>
          </w:p>
        </w:tc>
      </w:tr>
      <w:tr w14:paraId="2C4D7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72EBB868">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149FC404">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4BF00320">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厨卫和阳台地面肉眼可见明显坡向地漏，须放水检验排水畅通、不积水、不渗漏。</w:t>
            </w:r>
          </w:p>
        </w:tc>
      </w:tr>
      <w:tr w14:paraId="4D93B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4138BAB0">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368B8861">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065E7719">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地漏不应设在厨房菜盆、灶台、冰箱、卫生间洗脸盆的前方或阳台上经常行走的部位。</w:t>
            </w:r>
          </w:p>
        </w:tc>
      </w:tr>
      <w:tr w14:paraId="57519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6D3C3016">
            <w:pPr>
              <w:spacing w:line="360" w:lineRule="auto"/>
              <w:rPr>
                <w:rFonts w:hint="eastAsia" w:asciiTheme="minorEastAsia" w:hAnsiTheme="minorEastAsia" w:eastAsiaTheme="minorEastAsia" w:cstheme="minorEastAsia"/>
                <w:color w:val="auto"/>
                <w:szCs w:val="24"/>
                <w:highlight w:val="none"/>
              </w:rPr>
            </w:pPr>
          </w:p>
        </w:tc>
        <w:tc>
          <w:tcPr>
            <w:tcW w:w="820" w:type="dxa"/>
            <w:vMerge w:val="restart"/>
          </w:tcPr>
          <w:p w14:paraId="65B5B093">
            <w:pPr>
              <w:pStyle w:val="101"/>
              <w:spacing w:before="11" w:line="360" w:lineRule="auto"/>
              <w:jc w:val="left"/>
              <w:rPr>
                <w:rFonts w:hint="eastAsia" w:asciiTheme="minorEastAsia" w:hAnsiTheme="minorEastAsia" w:eastAsiaTheme="minorEastAsia" w:cstheme="minorEastAsia"/>
                <w:b/>
                <w:color w:val="auto"/>
                <w:szCs w:val="24"/>
                <w:highlight w:val="none"/>
              </w:rPr>
            </w:pPr>
          </w:p>
          <w:p w14:paraId="3D911738">
            <w:pPr>
              <w:pStyle w:val="101"/>
              <w:spacing w:line="360" w:lineRule="auto"/>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木地板</w:t>
            </w:r>
          </w:p>
        </w:tc>
        <w:tc>
          <w:tcPr>
            <w:tcW w:w="7501" w:type="dxa"/>
          </w:tcPr>
          <w:p w14:paraId="30256383">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表面平直，颜色、木纹协调一致，洁净无胶痕。</w:t>
            </w:r>
          </w:p>
        </w:tc>
      </w:tr>
      <w:tr w14:paraId="1F0B9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1A786A96">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6C5DABEF">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06CE8F89">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地板无松动、爆裂或撞凹，行走时无吱吱作响声。</w:t>
            </w:r>
          </w:p>
        </w:tc>
      </w:tr>
      <w:tr w14:paraId="3D5BB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5DC96D69">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63CB958C">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5C035ABF">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地脚线接口，无松动现象。</w:t>
            </w:r>
          </w:p>
        </w:tc>
      </w:tr>
      <w:tr w14:paraId="62827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tcPr>
          <w:p w14:paraId="30095A1A">
            <w:pPr>
              <w:pStyle w:val="101"/>
              <w:spacing w:line="360" w:lineRule="auto"/>
              <w:rPr>
                <w:rFonts w:hint="eastAsia" w:asciiTheme="minorEastAsia" w:hAnsiTheme="minorEastAsia" w:eastAsiaTheme="minorEastAsia" w:cstheme="minorEastAsia"/>
                <w:b/>
                <w:color w:val="auto"/>
                <w:szCs w:val="24"/>
                <w:highlight w:val="none"/>
              </w:rPr>
            </w:pPr>
          </w:p>
          <w:p w14:paraId="0DD84D37">
            <w:pPr>
              <w:pStyle w:val="101"/>
              <w:spacing w:before="1" w:line="360" w:lineRule="auto"/>
              <w:rPr>
                <w:rFonts w:hint="eastAsia" w:asciiTheme="minorEastAsia" w:hAnsiTheme="minorEastAsia" w:eastAsiaTheme="minorEastAsia" w:cstheme="minorEastAsia"/>
                <w:color w:val="auto"/>
                <w:szCs w:val="24"/>
                <w:highlight w:val="none"/>
              </w:rPr>
            </w:pPr>
          </w:p>
          <w:p w14:paraId="0BAA56DE">
            <w:pPr>
              <w:pStyle w:val="101"/>
              <w:spacing w:before="1"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墙面</w:t>
            </w:r>
          </w:p>
        </w:tc>
        <w:tc>
          <w:tcPr>
            <w:tcW w:w="820" w:type="dxa"/>
            <w:vMerge w:val="restart"/>
          </w:tcPr>
          <w:p w14:paraId="7EF0ACBC">
            <w:pPr>
              <w:pStyle w:val="101"/>
              <w:spacing w:before="4" w:line="360" w:lineRule="auto"/>
              <w:jc w:val="left"/>
              <w:rPr>
                <w:rFonts w:hint="eastAsia" w:asciiTheme="minorEastAsia" w:hAnsiTheme="minorEastAsia" w:eastAsiaTheme="minorEastAsia" w:cstheme="minorEastAsia"/>
                <w:b/>
                <w:color w:val="auto"/>
                <w:szCs w:val="24"/>
                <w:highlight w:val="none"/>
              </w:rPr>
            </w:pPr>
          </w:p>
          <w:p w14:paraId="37270459">
            <w:pPr>
              <w:pStyle w:val="101"/>
              <w:spacing w:line="360"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乳胶漆墙面</w:t>
            </w:r>
          </w:p>
        </w:tc>
        <w:tc>
          <w:tcPr>
            <w:tcW w:w="7501" w:type="dxa"/>
          </w:tcPr>
          <w:p w14:paraId="4BC1ECD9">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14:paraId="7F4E9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093" w:type="dxa"/>
            <w:vMerge w:val="continue"/>
            <w:tcBorders>
              <w:top w:val="nil"/>
            </w:tcBorders>
          </w:tcPr>
          <w:p w14:paraId="492E1DF5">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6BE7CD16">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3F954253">
            <w:pPr>
              <w:pStyle w:val="101"/>
              <w:spacing w:before="52"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14:paraId="73543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20EC2104">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6A40EB2E">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2A8ED0D5">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阴阳角线条清晰、方正顺直。</w:t>
            </w:r>
          </w:p>
        </w:tc>
      </w:tr>
      <w:tr w14:paraId="6C757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018E7365">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14C780CF">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56E0D5FC">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14:paraId="758DC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2C261F38">
            <w:pPr>
              <w:spacing w:line="360" w:lineRule="auto"/>
              <w:rPr>
                <w:rFonts w:hint="eastAsia" w:asciiTheme="minorEastAsia" w:hAnsiTheme="minorEastAsia" w:eastAsiaTheme="minorEastAsia" w:cstheme="minorEastAsia"/>
                <w:color w:val="auto"/>
                <w:szCs w:val="24"/>
                <w:highlight w:val="none"/>
              </w:rPr>
            </w:pPr>
          </w:p>
        </w:tc>
        <w:tc>
          <w:tcPr>
            <w:tcW w:w="820" w:type="dxa"/>
            <w:vMerge w:val="restart"/>
          </w:tcPr>
          <w:p w14:paraId="37A76245">
            <w:pPr>
              <w:pStyle w:val="101"/>
              <w:spacing w:before="11" w:line="360" w:lineRule="auto"/>
              <w:jc w:val="left"/>
              <w:rPr>
                <w:rFonts w:hint="eastAsia" w:asciiTheme="minorEastAsia" w:hAnsiTheme="minorEastAsia" w:eastAsiaTheme="minorEastAsia" w:cstheme="minorEastAsia"/>
                <w:b/>
                <w:color w:val="auto"/>
                <w:szCs w:val="24"/>
                <w:highlight w:val="none"/>
              </w:rPr>
            </w:pPr>
          </w:p>
          <w:p w14:paraId="6E1748BE">
            <w:pPr>
              <w:pStyle w:val="101"/>
              <w:spacing w:line="360" w:lineRule="auto"/>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rPr>
              <w:t>瓷砖</w:t>
            </w:r>
            <w:r>
              <w:rPr>
                <w:rFonts w:hint="eastAsia" w:asciiTheme="minorEastAsia" w:hAnsiTheme="minorEastAsia" w:eastAsiaTheme="minorEastAsia" w:cstheme="minorEastAsia"/>
                <w:color w:val="auto"/>
                <w:szCs w:val="24"/>
                <w:highlight w:val="none"/>
              </w:rPr>
              <w:t>墙面</w:t>
            </w:r>
          </w:p>
        </w:tc>
        <w:tc>
          <w:tcPr>
            <w:tcW w:w="7501" w:type="dxa"/>
          </w:tcPr>
          <w:p w14:paraId="03C4B179">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瓷片牢固平整、对缝整齐、勾缝饱满均匀。</w:t>
            </w:r>
          </w:p>
        </w:tc>
      </w:tr>
      <w:tr w14:paraId="1E626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2A04FD75">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01692C59">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25C4D726">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无破裂、空鼓、色差、污渍，无缺棱掉角、歪斜。</w:t>
            </w:r>
          </w:p>
        </w:tc>
      </w:tr>
      <w:tr w14:paraId="1EB0E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240F5DC5">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44456F74">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616573E8">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阴阳角处瓷片搭接方向正确。</w:t>
            </w:r>
          </w:p>
        </w:tc>
      </w:tr>
      <w:tr w14:paraId="62CE9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tcPr>
          <w:p w14:paraId="75D3D378">
            <w:pPr>
              <w:pStyle w:val="101"/>
              <w:spacing w:line="360" w:lineRule="auto"/>
              <w:rPr>
                <w:rFonts w:hint="eastAsia" w:asciiTheme="minorEastAsia" w:hAnsiTheme="minorEastAsia" w:eastAsiaTheme="minorEastAsia" w:cstheme="minorEastAsia"/>
                <w:color w:val="auto"/>
                <w:szCs w:val="24"/>
                <w:highlight w:val="none"/>
              </w:rPr>
            </w:pPr>
          </w:p>
          <w:p w14:paraId="735790E0">
            <w:pPr>
              <w:pStyle w:val="101"/>
              <w:spacing w:line="360" w:lineRule="auto"/>
              <w:rPr>
                <w:rFonts w:hint="eastAsia" w:asciiTheme="minorEastAsia" w:hAnsiTheme="minorEastAsia" w:eastAsiaTheme="minorEastAsia" w:cstheme="minorEastAsia"/>
                <w:color w:val="auto"/>
                <w:szCs w:val="24"/>
                <w:highlight w:val="none"/>
              </w:rPr>
            </w:pPr>
          </w:p>
          <w:p w14:paraId="28929DBF">
            <w:pPr>
              <w:pStyle w:val="101"/>
              <w:spacing w:line="360" w:lineRule="auto"/>
              <w:rPr>
                <w:rFonts w:hint="eastAsia" w:asciiTheme="minorEastAsia" w:hAnsiTheme="minorEastAsia" w:eastAsiaTheme="minorEastAsia" w:cstheme="minorEastAsia"/>
                <w:color w:val="auto"/>
                <w:szCs w:val="24"/>
                <w:highlight w:val="none"/>
              </w:rPr>
            </w:pPr>
          </w:p>
          <w:p w14:paraId="58810C52">
            <w:pPr>
              <w:pStyle w:val="101"/>
              <w:spacing w:line="360" w:lineRule="auto"/>
              <w:rPr>
                <w:rFonts w:hint="eastAsia" w:asciiTheme="minorEastAsia" w:hAnsiTheme="minorEastAsia" w:eastAsiaTheme="minorEastAsia" w:cstheme="minorEastAsia"/>
                <w:color w:val="auto"/>
                <w:szCs w:val="24"/>
                <w:highlight w:val="none"/>
              </w:rPr>
            </w:pPr>
          </w:p>
          <w:p w14:paraId="516D02CC">
            <w:pPr>
              <w:pStyle w:val="101"/>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天花</w:t>
            </w:r>
          </w:p>
        </w:tc>
        <w:tc>
          <w:tcPr>
            <w:tcW w:w="820" w:type="dxa"/>
            <w:vMerge w:val="restart"/>
          </w:tcPr>
          <w:p w14:paraId="224A41E6">
            <w:pPr>
              <w:pStyle w:val="101"/>
              <w:spacing w:before="7" w:line="360" w:lineRule="auto"/>
              <w:jc w:val="left"/>
              <w:rPr>
                <w:rFonts w:hint="eastAsia" w:asciiTheme="minorEastAsia" w:hAnsiTheme="minorEastAsia" w:eastAsiaTheme="minorEastAsia" w:cstheme="minorEastAsia"/>
                <w:b/>
                <w:color w:val="auto"/>
                <w:szCs w:val="24"/>
                <w:highlight w:val="none"/>
              </w:rPr>
            </w:pPr>
          </w:p>
          <w:p w14:paraId="49208DBC">
            <w:pPr>
              <w:pStyle w:val="101"/>
              <w:spacing w:line="360"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乳胶漆天花</w:t>
            </w:r>
          </w:p>
        </w:tc>
        <w:tc>
          <w:tcPr>
            <w:tcW w:w="7501" w:type="dxa"/>
          </w:tcPr>
          <w:p w14:paraId="56E7FAF1">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14:paraId="76C19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1162CD45">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77B8917E">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67588001">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14:paraId="34FF6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502BB986">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3417B166">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615C13D5">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装饰线、分色线平直，阴阳角线条清晰、方正顺直。</w:t>
            </w:r>
          </w:p>
        </w:tc>
      </w:tr>
      <w:tr w14:paraId="78760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32D3FEFB">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00764028">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3B18DE7B">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14:paraId="78F59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15A1F8A2">
            <w:pPr>
              <w:spacing w:line="360" w:lineRule="auto"/>
              <w:rPr>
                <w:rFonts w:hint="eastAsia" w:asciiTheme="minorEastAsia" w:hAnsiTheme="minorEastAsia" w:eastAsiaTheme="minorEastAsia" w:cstheme="minorEastAsia"/>
                <w:color w:val="auto"/>
                <w:szCs w:val="24"/>
                <w:highlight w:val="none"/>
              </w:rPr>
            </w:pPr>
          </w:p>
        </w:tc>
        <w:tc>
          <w:tcPr>
            <w:tcW w:w="820" w:type="dxa"/>
            <w:vMerge w:val="restart"/>
          </w:tcPr>
          <w:p w14:paraId="5A328347">
            <w:pPr>
              <w:pStyle w:val="101"/>
              <w:spacing w:before="11" w:line="360" w:lineRule="auto"/>
              <w:jc w:val="left"/>
              <w:rPr>
                <w:rFonts w:hint="eastAsia" w:asciiTheme="minorEastAsia" w:hAnsiTheme="minorEastAsia" w:eastAsiaTheme="minorEastAsia" w:cstheme="minorEastAsia"/>
                <w:b/>
                <w:color w:val="auto"/>
                <w:szCs w:val="24"/>
                <w:highlight w:val="none"/>
              </w:rPr>
            </w:pPr>
          </w:p>
          <w:p w14:paraId="3F89A1DF">
            <w:pPr>
              <w:pStyle w:val="101"/>
              <w:spacing w:line="360" w:lineRule="auto"/>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吊顶</w:t>
            </w:r>
          </w:p>
        </w:tc>
        <w:tc>
          <w:tcPr>
            <w:tcW w:w="7501" w:type="dxa"/>
          </w:tcPr>
          <w:p w14:paraId="4DCBEB89">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整体完好、安装牢固，表面平整、颜色均匀，线角顺直方正。</w:t>
            </w:r>
          </w:p>
        </w:tc>
      </w:tr>
      <w:tr w14:paraId="7F61C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03D60790">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07CAFBD3">
            <w:pPr>
              <w:spacing w:line="360" w:lineRule="auto"/>
              <w:rPr>
                <w:rFonts w:hint="eastAsia" w:asciiTheme="minorEastAsia" w:hAnsiTheme="minorEastAsia" w:eastAsiaTheme="minorEastAsia" w:cstheme="minorEastAsia"/>
                <w:color w:val="auto"/>
                <w:szCs w:val="24"/>
                <w:highlight w:val="none"/>
              </w:rPr>
            </w:pPr>
          </w:p>
        </w:tc>
        <w:tc>
          <w:tcPr>
            <w:tcW w:w="7501" w:type="dxa"/>
          </w:tcPr>
          <w:p w14:paraId="61522D48">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无污染、折裂、锤伤、缺棱掉角。</w:t>
            </w:r>
          </w:p>
        </w:tc>
      </w:tr>
      <w:tr w14:paraId="7CFF6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bottom w:val="single" w:color="auto" w:sz="4" w:space="0"/>
            </w:tcBorders>
          </w:tcPr>
          <w:p w14:paraId="74906770">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bottom w:val="single" w:color="auto" w:sz="4" w:space="0"/>
            </w:tcBorders>
          </w:tcPr>
          <w:p w14:paraId="16314715">
            <w:pPr>
              <w:spacing w:line="360" w:lineRule="auto"/>
              <w:rPr>
                <w:rFonts w:hint="eastAsia" w:asciiTheme="minorEastAsia" w:hAnsiTheme="minorEastAsia" w:eastAsiaTheme="minorEastAsia" w:cstheme="minorEastAsia"/>
                <w:color w:val="auto"/>
                <w:szCs w:val="24"/>
                <w:highlight w:val="none"/>
              </w:rPr>
            </w:pPr>
          </w:p>
        </w:tc>
        <w:tc>
          <w:tcPr>
            <w:tcW w:w="7501" w:type="dxa"/>
          </w:tcPr>
          <w:p w14:paraId="7FAE547D">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接缝均匀一致。</w:t>
            </w:r>
          </w:p>
        </w:tc>
      </w:tr>
      <w:tr w14:paraId="725C5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restart"/>
            <w:tcBorders>
              <w:top w:val="single" w:color="auto" w:sz="4" w:space="0"/>
              <w:left w:val="single" w:color="auto" w:sz="4" w:space="0"/>
              <w:bottom w:val="single" w:color="auto" w:sz="4" w:space="0"/>
              <w:right w:val="single" w:color="auto" w:sz="4" w:space="0"/>
            </w:tcBorders>
          </w:tcPr>
          <w:p w14:paraId="3077E8D3">
            <w:pPr>
              <w:spacing w:line="360" w:lineRule="auto"/>
              <w:rPr>
                <w:rFonts w:hint="eastAsia" w:asciiTheme="minorEastAsia" w:hAnsiTheme="minorEastAsia" w:eastAsiaTheme="minorEastAsia" w:cstheme="minorEastAsia"/>
                <w:color w:val="auto"/>
                <w:szCs w:val="24"/>
                <w:highlight w:val="none"/>
              </w:rPr>
            </w:pPr>
          </w:p>
          <w:p w14:paraId="7003046F">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给排水</w:t>
            </w:r>
          </w:p>
        </w:tc>
        <w:tc>
          <w:tcPr>
            <w:tcW w:w="820" w:type="dxa"/>
            <w:tcBorders>
              <w:top w:val="single" w:color="auto" w:sz="4" w:space="0"/>
              <w:left w:val="single" w:color="auto" w:sz="4" w:space="0"/>
              <w:bottom w:val="single" w:color="auto" w:sz="4" w:space="0"/>
              <w:right w:val="single" w:color="auto" w:sz="4" w:space="0"/>
            </w:tcBorders>
          </w:tcPr>
          <w:p w14:paraId="59E6DD89">
            <w:pPr>
              <w:pStyle w:val="101"/>
              <w:spacing w:before="20"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w:t>
            </w:r>
          </w:p>
        </w:tc>
        <w:tc>
          <w:tcPr>
            <w:tcW w:w="7501" w:type="dxa"/>
            <w:tcBorders>
              <w:left w:val="single" w:color="auto" w:sz="4" w:space="0"/>
            </w:tcBorders>
          </w:tcPr>
          <w:p w14:paraId="64ACAF51">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给水分户总阀开关正常、操作灵活自如、无渗漏，水表无损伤，运转方向正确。</w:t>
            </w:r>
          </w:p>
        </w:tc>
      </w:tr>
      <w:tr w14:paraId="1029D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single" w:color="auto" w:sz="4" w:space="0"/>
              <w:left w:val="single" w:color="auto" w:sz="4" w:space="0"/>
              <w:bottom w:val="single" w:color="auto" w:sz="4" w:space="0"/>
              <w:right w:val="single" w:color="auto" w:sz="4" w:space="0"/>
            </w:tcBorders>
          </w:tcPr>
          <w:p w14:paraId="5AC1FA1C">
            <w:pPr>
              <w:spacing w:line="360" w:lineRule="auto"/>
              <w:rPr>
                <w:rFonts w:hint="eastAsia" w:asciiTheme="minorEastAsia" w:hAnsiTheme="minorEastAsia" w:eastAsiaTheme="minorEastAsia" w:cstheme="minorEastAsia"/>
                <w:color w:val="auto"/>
                <w:szCs w:val="24"/>
                <w:highlight w:val="none"/>
              </w:rPr>
            </w:pPr>
          </w:p>
        </w:tc>
        <w:tc>
          <w:tcPr>
            <w:tcW w:w="820" w:type="dxa"/>
            <w:tcBorders>
              <w:top w:val="single" w:color="auto" w:sz="4" w:space="0"/>
              <w:left w:val="single" w:color="auto" w:sz="4" w:space="0"/>
              <w:bottom w:val="single" w:color="auto" w:sz="4" w:space="0"/>
              <w:right w:val="single" w:color="auto" w:sz="4" w:space="0"/>
            </w:tcBorders>
          </w:tcPr>
          <w:p w14:paraId="5B9C871F">
            <w:pPr>
              <w:pStyle w:val="101"/>
              <w:spacing w:before="177"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排水</w:t>
            </w:r>
          </w:p>
        </w:tc>
        <w:tc>
          <w:tcPr>
            <w:tcW w:w="7501" w:type="dxa"/>
            <w:tcBorders>
              <w:left w:val="single" w:color="auto" w:sz="4" w:space="0"/>
              <w:bottom w:val="single" w:color="auto" w:sz="4" w:space="0"/>
            </w:tcBorders>
          </w:tcPr>
          <w:p w14:paraId="6456AB74">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排水顺畅、有吸力，不渗漏，配件齐全，安装到位。预留口位置准确，保护有效，管内无</w:t>
            </w:r>
          </w:p>
          <w:p w14:paraId="7BB243F3">
            <w:pPr>
              <w:pStyle w:val="101"/>
              <w:spacing w:before="43"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异物。</w:t>
            </w:r>
          </w:p>
        </w:tc>
      </w:tr>
      <w:tr w14:paraId="12BC4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093" w:type="dxa"/>
            <w:vMerge w:val="restart"/>
            <w:tcBorders>
              <w:top w:val="single" w:color="auto" w:sz="4" w:space="0"/>
              <w:left w:val="single" w:color="auto" w:sz="4" w:space="0"/>
              <w:right w:val="single" w:color="auto" w:sz="4" w:space="0"/>
            </w:tcBorders>
          </w:tcPr>
          <w:p w14:paraId="13A17216">
            <w:pPr>
              <w:spacing w:line="360" w:lineRule="auto"/>
              <w:rPr>
                <w:rFonts w:hint="eastAsia" w:asciiTheme="minorEastAsia" w:hAnsiTheme="minorEastAsia" w:eastAsiaTheme="minorEastAsia" w:cstheme="minorEastAsia"/>
                <w:color w:val="auto"/>
                <w:szCs w:val="24"/>
                <w:highlight w:val="none"/>
              </w:rPr>
            </w:pPr>
          </w:p>
          <w:p w14:paraId="58CB0F3E">
            <w:pPr>
              <w:spacing w:line="360" w:lineRule="auto"/>
              <w:rPr>
                <w:rFonts w:hint="eastAsia" w:asciiTheme="minorEastAsia" w:hAnsiTheme="minorEastAsia" w:eastAsiaTheme="minorEastAsia" w:cstheme="minorEastAsia"/>
                <w:color w:val="auto"/>
                <w:szCs w:val="24"/>
                <w:highlight w:val="none"/>
              </w:rPr>
            </w:pPr>
          </w:p>
          <w:p w14:paraId="1AC373AA">
            <w:pPr>
              <w:spacing w:line="360" w:lineRule="auto"/>
              <w:rPr>
                <w:rFonts w:hint="eastAsia" w:asciiTheme="minorEastAsia" w:hAnsiTheme="minorEastAsia" w:eastAsiaTheme="minorEastAsia" w:cstheme="minorEastAsia"/>
                <w:color w:val="auto"/>
                <w:szCs w:val="24"/>
                <w:highlight w:val="none"/>
              </w:rPr>
            </w:pPr>
          </w:p>
          <w:p w14:paraId="6C138589">
            <w:pPr>
              <w:spacing w:line="360" w:lineRule="auto"/>
              <w:rPr>
                <w:rFonts w:hint="eastAsia" w:asciiTheme="minorEastAsia" w:hAnsiTheme="minorEastAsia" w:eastAsiaTheme="minorEastAsia" w:cstheme="minorEastAsia"/>
                <w:color w:val="auto"/>
                <w:szCs w:val="24"/>
                <w:highlight w:val="none"/>
              </w:rPr>
            </w:pPr>
          </w:p>
          <w:p w14:paraId="501F8801">
            <w:pPr>
              <w:spacing w:line="360" w:lineRule="auto"/>
              <w:rPr>
                <w:rFonts w:hint="eastAsia" w:asciiTheme="minorEastAsia" w:hAnsiTheme="minorEastAsia" w:eastAsiaTheme="minorEastAsia" w:cstheme="minorEastAsia"/>
                <w:color w:val="auto"/>
                <w:szCs w:val="24"/>
                <w:highlight w:val="none"/>
              </w:rPr>
            </w:pPr>
          </w:p>
          <w:p w14:paraId="7128A809">
            <w:pPr>
              <w:spacing w:line="360" w:lineRule="auto"/>
              <w:rPr>
                <w:rFonts w:hint="eastAsia" w:asciiTheme="minorEastAsia" w:hAnsiTheme="minorEastAsia" w:eastAsiaTheme="minorEastAsia" w:cstheme="minorEastAsia"/>
                <w:color w:val="auto"/>
                <w:szCs w:val="24"/>
                <w:highlight w:val="none"/>
              </w:rPr>
            </w:pPr>
          </w:p>
          <w:p w14:paraId="3AB4A7A0">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安装类</w:t>
            </w:r>
          </w:p>
        </w:tc>
        <w:tc>
          <w:tcPr>
            <w:tcW w:w="820" w:type="dxa"/>
            <w:vMerge w:val="restart"/>
            <w:tcBorders>
              <w:top w:val="single" w:color="auto" w:sz="4" w:space="0"/>
              <w:left w:val="single" w:color="auto" w:sz="4" w:space="0"/>
              <w:bottom w:val="single" w:color="auto" w:sz="4" w:space="0"/>
              <w:right w:val="single" w:color="auto" w:sz="4" w:space="0"/>
            </w:tcBorders>
          </w:tcPr>
          <w:p w14:paraId="6F0CE65F">
            <w:pPr>
              <w:spacing w:line="360" w:lineRule="auto"/>
              <w:jc w:val="left"/>
              <w:rPr>
                <w:rFonts w:hint="eastAsia" w:asciiTheme="minorEastAsia" w:hAnsiTheme="minorEastAsia" w:eastAsiaTheme="minorEastAsia" w:cstheme="minorEastAsia"/>
                <w:color w:val="auto"/>
                <w:szCs w:val="24"/>
                <w:highlight w:val="none"/>
              </w:rPr>
            </w:pPr>
          </w:p>
          <w:p w14:paraId="4D985CE6">
            <w:pPr>
              <w:spacing w:line="360" w:lineRule="auto"/>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灯具</w:t>
            </w:r>
          </w:p>
        </w:tc>
        <w:tc>
          <w:tcPr>
            <w:tcW w:w="7501" w:type="dxa"/>
            <w:tcBorders>
              <w:top w:val="single" w:color="auto" w:sz="4" w:space="0"/>
              <w:left w:val="single" w:color="auto" w:sz="4" w:space="0"/>
              <w:bottom w:val="single" w:color="auto" w:sz="4" w:space="0"/>
              <w:right w:val="single" w:color="auto" w:sz="4" w:space="0"/>
            </w:tcBorders>
          </w:tcPr>
          <w:p w14:paraId="560613F6">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无松动、破损，表面整洁、开关正常、位置正确。</w:t>
            </w:r>
          </w:p>
        </w:tc>
      </w:tr>
      <w:tr w14:paraId="06AA1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093" w:type="dxa"/>
            <w:vMerge w:val="continue"/>
            <w:tcBorders>
              <w:left w:val="single" w:color="auto" w:sz="4" w:space="0"/>
              <w:right w:val="single" w:color="auto" w:sz="4" w:space="0"/>
            </w:tcBorders>
          </w:tcPr>
          <w:p w14:paraId="19788B82">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tcPr>
          <w:p w14:paraId="61379B7C">
            <w:pPr>
              <w:spacing w:line="360" w:lineRule="auto"/>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201BDF92">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灯泡完好、规格型号正确，符合设计要求。</w:t>
            </w:r>
          </w:p>
        </w:tc>
      </w:tr>
      <w:tr w14:paraId="78B99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33ACF410">
            <w:pPr>
              <w:spacing w:line="360" w:lineRule="auto"/>
              <w:jc w:val="left"/>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bottom w:val="single" w:color="auto" w:sz="4" w:space="0"/>
              <w:right w:val="single" w:color="auto" w:sz="4" w:space="0"/>
            </w:tcBorders>
          </w:tcPr>
          <w:p w14:paraId="7D5CE23A">
            <w:pPr>
              <w:spacing w:line="360" w:lineRule="auto"/>
              <w:jc w:val="left"/>
              <w:rPr>
                <w:rFonts w:hint="eastAsia" w:asciiTheme="minorEastAsia" w:hAnsiTheme="minorEastAsia" w:eastAsiaTheme="minorEastAsia" w:cstheme="minorEastAsia"/>
                <w:color w:val="auto"/>
                <w:szCs w:val="24"/>
                <w:highlight w:val="none"/>
              </w:rPr>
            </w:pPr>
          </w:p>
          <w:p w14:paraId="63FA7875">
            <w:pPr>
              <w:spacing w:line="360" w:lineRule="auto"/>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开关插座等</w:t>
            </w:r>
          </w:p>
        </w:tc>
        <w:tc>
          <w:tcPr>
            <w:tcW w:w="7501" w:type="dxa"/>
            <w:tcBorders>
              <w:top w:val="single" w:color="auto" w:sz="4" w:space="0"/>
              <w:left w:val="single" w:color="auto" w:sz="4" w:space="0"/>
              <w:bottom w:val="single" w:color="auto" w:sz="4" w:space="0"/>
              <w:right w:val="single" w:color="auto" w:sz="4" w:space="0"/>
            </w:tcBorders>
          </w:tcPr>
          <w:p w14:paraId="1DF911FB">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位置、高度正确合理，安装牢固、端正。</w:t>
            </w:r>
          </w:p>
        </w:tc>
      </w:tr>
      <w:tr w14:paraId="4C0BD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5888E7A0">
            <w:pPr>
              <w:spacing w:line="360" w:lineRule="auto"/>
              <w:jc w:val="left"/>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tcPr>
          <w:p w14:paraId="207E0D3E">
            <w:pPr>
              <w:spacing w:line="360" w:lineRule="auto"/>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6E553BC7">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规格型号符合设计要求，使用、通电正常。</w:t>
            </w:r>
          </w:p>
        </w:tc>
      </w:tr>
      <w:tr w14:paraId="7E7ED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1718EDF1">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tcPr>
          <w:p w14:paraId="66AB3529">
            <w:pPr>
              <w:spacing w:line="360" w:lineRule="auto"/>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5058E2FB">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表面完好，无破损、磕伤、划痕、锈蚀、污染等。</w:t>
            </w:r>
          </w:p>
        </w:tc>
      </w:tr>
      <w:tr w14:paraId="5FF9D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4E5BD256">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tcPr>
          <w:p w14:paraId="34D7D18F">
            <w:pPr>
              <w:spacing w:line="360" w:lineRule="auto"/>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338CCE92">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开、关位置与标示对应，控制灯具正确。</w:t>
            </w:r>
          </w:p>
        </w:tc>
      </w:tr>
      <w:tr w14:paraId="034A9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0FB2447C">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tcPr>
          <w:p w14:paraId="54175139">
            <w:pPr>
              <w:spacing w:line="360" w:lineRule="auto"/>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0DD6CC27">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配电箱内布线整齐，接点紧固，负荷及支线开关标识清楚，漏电开关自检正常，箱体接地良好。</w:t>
            </w:r>
          </w:p>
        </w:tc>
      </w:tr>
      <w:tr w14:paraId="518F3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09A15D4E">
            <w:pPr>
              <w:spacing w:line="360" w:lineRule="auto"/>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right w:val="single" w:color="auto" w:sz="4" w:space="0"/>
            </w:tcBorders>
          </w:tcPr>
          <w:p w14:paraId="76D5CC77">
            <w:pPr>
              <w:spacing w:line="360" w:lineRule="auto"/>
              <w:rPr>
                <w:rFonts w:hint="eastAsia" w:asciiTheme="minorEastAsia" w:hAnsiTheme="minorEastAsia" w:eastAsiaTheme="minorEastAsia" w:cstheme="minorEastAsia"/>
                <w:color w:val="auto"/>
                <w:szCs w:val="24"/>
                <w:highlight w:val="none"/>
              </w:rPr>
            </w:pPr>
          </w:p>
          <w:p w14:paraId="69DABF91">
            <w:pPr>
              <w:spacing w:line="360" w:lineRule="auto"/>
              <w:rPr>
                <w:rFonts w:hint="eastAsia" w:asciiTheme="minorEastAsia" w:hAnsiTheme="minorEastAsia" w:eastAsiaTheme="minorEastAsia" w:cstheme="minorEastAsia"/>
                <w:color w:val="auto"/>
                <w:szCs w:val="24"/>
                <w:highlight w:val="none"/>
              </w:rPr>
            </w:pPr>
          </w:p>
          <w:p w14:paraId="6E7DCCFC">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w:t>
            </w:r>
          </w:p>
        </w:tc>
        <w:tc>
          <w:tcPr>
            <w:tcW w:w="7501" w:type="dxa"/>
            <w:tcBorders>
              <w:top w:val="single" w:color="auto" w:sz="4" w:space="0"/>
              <w:left w:val="single" w:color="auto" w:sz="4" w:space="0"/>
              <w:bottom w:val="single" w:color="auto" w:sz="4" w:space="0"/>
              <w:right w:val="single" w:color="auto" w:sz="4" w:space="0"/>
            </w:tcBorders>
          </w:tcPr>
          <w:p w14:paraId="6AB3977D">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洁具及配件安装牢固端正，无破裂、脱瓷、划痕、水锈、污渍，洗手盆闭水器启闭灵活自</w:t>
            </w:r>
            <w:r>
              <w:rPr>
                <w:rFonts w:hint="eastAsia" w:asciiTheme="minorEastAsia" w:hAnsiTheme="minorEastAsia" w:eastAsiaTheme="minorEastAsia" w:cstheme="minorEastAsia"/>
                <w:color w:val="auto"/>
                <w:szCs w:val="24"/>
                <w:highlight w:val="none"/>
              </w:rPr>
              <w:t>如。</w:t>
            </w:r>
          </w:p>
        </w:tc>
      </w:tr>
      <w:tr w14:paraId="56759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54E2D6E1">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tcPr>
          <w:p w14:paraId="13603F65">
            <w:pPr>
              <w:spacing w:line="360" w:lineRule="auto"/>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74BE0220">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洁具及存水弯无渗漏，排水畅通有吸力，无反臭现象。</w:t>
            </w:r>
          </w:p>
        </w:tc>
      </w:tr>
      <w:tr w14:paraId="4CCD4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39978A32">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tcPr>
          <w:p w14:paraId="69066FD4">
            <w:pPr>
              <w:spacing w:line="360" w:lineRule="auto"/>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579BF377">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坐便器紧靠墙面，水箱进水阀启闭自如不渗漏。</w:t>
            </w:r>
          </w:p>
        </w:tc>
      </w:tr>
      <w:tr w14:paraId="47A5A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57F47265">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tcPr>
          <w:p w14:paraId="2F32E97B">
            <w:pPr>
              <w:spacing w:line="360" w:lineRule="auto"/>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17E5BE4E">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出水流速及水量正常，无滴漏现象。</w:t>
            </w:r>
          </w:p>
        </w:tc>
      </w:tr>
    </w:tbl>
    <w:p w14:paraId="7A9FA178">
      <w:pPr>
        <w:pStyle w:val="54"/>
        <w:spacing w:line="360" w:lineRule="auto"/>
        <w:ind w:firstLine="0"/>
        <w:rPr>
          <w:rFonts w:hint="eastAsia" w:asciiTheme="minorEastAsia" w:hAnsiTheme="minorEastAsia" w:eastAsiaTheme="minorEastAsia" w:cstheme="minorEastAsia"/>
          <w:color w:val="auto"/>
          <w:szCs w:val="24"/>
          <w:highlight w:val="none"/>
        </w:rPr>
      </w:pPr>
    </w:p>
    <w:p w14:paraId="5F2E716B">
      <w:pPr>
        <w:pStyle w:val="54"/>
        <w:spacing w:line="360" w:lineRule="auto"/>
        <w:ind w:firstLine="0"/>
        <w:rPr>
          <w:rFonts w:hint="eastAsia" w:asciiTheme="minorEastAsia" w:hAnsiTheme="minorEastAsia" w:eastAsiaTheme="minorEastAsia" w:cstheme="minorEastAsia"/>
          <w:color w:val="auto"/>
          <w:szCs w:val="24"/>
          <w:highlight w:val="none"/>
        </w:rPr>
      </w:pPr>
    </w:p>
    <w:p w14:paraId="15C5E9D9">
      <w:pPr>
        <w:pStyle w:val="54"/>
        <w:spacing w:line="360" w:lineRule="auto"/>
        <w:ind w:firstLine="0"/>
        <w:rPr>
          <w:rFonts w:hint="eastAsia" w:asciiTheme="minorEastAsia" w:hAnsiTheme="minorEastAsia" w:eastAsiaTheme="minorEastAsia" w:cstheme="minorEastAsia"/>
          <w:color w:val="auto"/>
          <w:szCs w:val="24"/>
          <w:highlight w:val="none"/>
        </w:rPr>
      </w:pPr>
    </w:p>
    <w:p w14:paraId="712A9B91">
      <w:pPr>
        <w:pStyle w:val="54"/>
        <w:spacing w:line="360" w:lineRule="auto"/>
        <w:ind w:firstLine="0"/>
        <w:rPr>
          <w:rFonts w:hint="eastAsia" w:asciiTheme="minorEastAsia" w:hAnsiTheme="minorEastAsia" w:eastAsiaTheme="minorEastAsia" w:cstheme="minorEastAsia"/>
          <w:color w:val="auto"/>
          <w:szCs w:val="24"/>
          <w:highlight w:val="none"/>
        </w:rPr>
      </w:pPr>
    </w:p>
    <w:p w14:paraId="6CFD334E">
      <w:pPr>
        <w:pStyle w:val="54"/>
        <w:spacing w:line="360" w:lineRule="auto"/>
        <w:ind w:firstLine="0"/>
        <w:rPr>
          <w:rFonts w:hint="eastAsia" w:asciiTheme="minorEastAsia" w:hAnsiTheme="minorEastAsia" w:eastAsiaTheme="minorEastAsia" w:cstheme="minorEastAsia"/>
          <w:color w:val="auto"/>
          <w:szCs w:val="24"/>
          <w:highlight w:val="none"/>
        </w:rPr>
      </w:pPr>
    </w:p>
    <w:p w14:paraId="5EA622D1">
      <w:pPr>
        <w:pStyle w:val="54"/>
        <w:spacing w:line="360" w:lineRule="auto"/>
        <w:ind w:firstLine="0"/>
        <w:rPr>
          <w:rFonts w:hint="eastAsia" w:asciiTheme="minorEastAsia" w:hAnsiTheme="minorEastAsia" w:eastAsiaTheme="minorEastAsia" w:cstheme="minorEastAsia"/>
          <w:color w:val="auto"/>
          <w:szCs w:val="24"/>
          <w:highlight w:val="none"/>
        </w:rPr>
      </w:pPr>
    </w:p>
    <w:p w14:paraId="6E630038">
      <w:pPr>
        <w:pStyle w:val="54"/>
        <w:spacing w:line="360" w:lineRule="auto"/>
        <w:ind w:firstLine="0"/>
        <w:rPr>
          <w:rFonts w:hint="eastAsia" w:asciiTheme="minorEastAsia" w:hAnsiTheme="minorEastAsia" w:eastAsiaTheme="minorEastAsia" w:cstheme="minorEastAsia"/>
          <w:color w:val="auto"/>
          <w:szCs w:val="24"/>
          <w:highlight w:val="none"/>
        </w:rPr>
      </w:pPr>
    </w:p>
    <w:p w14:paraId="1E75E75D">
      <w:pPr>
        <w:pStyle w:val="54"/>
        <w:spacing w:line="360" w:lineRule="auto"/>
        <w:ind w:firstLine="0"/>
        <w:rPr>
          <w:rFonts w:hint="eastAsia" w:asciiTheme="minorEastAsia" w:hAnsiTheme="minorEastAsia" w:eastAsiaTheme="minorEastAsia" w:cstheme="minorEastAsia"/>
          <w:color w:val="auto"/>
          <w:szCs w:val="24"/>
          <w:highlight w:val="none"/>
        </w:rPr>
      </w:pPr>
    </w:p>
    <w:p w14:paraId="5E8F1856">
      <w:pPr>
        <w:pStyle w:val="54"/>
        <w:spacing w:line="360" w:lineRule="auto"/>
        <w:ind w:firstLine="0"/>
        <w:rPr>
          <w:rFonts w:hint="eastAsia" w:asciiTheme="minorEastAsia" w:hAnsiTheme="minorEastAsia" w:eastAsiaTheme="minorEastAsia" w:cstheme="minorEastAsia"/>
          <w:color w:val="auto"/>
          <w:szCs w:val="24"/>
          <w:highlight w:val="none"/>
        </w:rPr>
      </w:pPr>
    </w:p>
    <w:p w14:paraId="649140E5">
      <w:pPr>
        <w:pStyle w:val="54"/>
        <w:spacing w:line="360" w:lineRule="auto"/>
        <w:ind w:firstLine="0"/>
        <w:rPr>
          <w:rFonts w:hint="eastAsia" w:asciiTheme="minorEastAsia" w:hAnsiTheme="minorEastAsia" w:eastAsiaTheme="minorEastAsia" w:cstheme="minorEastAsia"/>
          <w:color w:val="auto"/>
          <w:szCs w:val="24"/>
          <w:highlight w:val="none"/>
        </w:rPr>
      </w:pPr>
    </w:p>
    <w:p w14:paraId="388F58E5">
      <w:pPr>
        <w:pStyle w:val="54"/>
        <w:spacing w:line="360" w:lineRule="auto"/>
        <w:ind w:firstLine="0"/>
        <w:rPr>
          <w:rFonts w:hint="eastAsia" w:asciiTheme="minorEastAsia" w:hAnsiTheme="minorEastAsia" w:eastAsiaTheme="minorEastAsia" w:cstheme="minorEastAsia"/>
          <w:color w:val="auto"/>
          <w:szCs w:val="24"/>
          <w:highlight w:val="none"/>
        </w:rPr>
      </w:pPr>
    </w:p>
    <w:p w14:paraId="619FBC46">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附件五、《工程完工清洁移交标准》</w:t>
      </w:r>
    </w:p>
    <w:p w14:paraId="21A234B7">
      <w:pPr>
        <w:spacing w:line="360" w:lineRule="auto"/>
        <w:outlineLvl w:val="2"/>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 xml:space="preserve">                  </w:t>
      </w:r>
      <w:r>
        <w:rPr>
          <w:rFonts w:hint="eastAsia" w:asciiTheme="minorEastAsia" w:hAnsiTheme="minorEastAsia" w:eastAsiaTheme="minorEastAsia" w:cstheme="minorEastAsia"/>
          <w:b/>
          <w:bCs/>
          <w:color w:val="auto"/>
          <w:sz w:val="28"/>
          <w:szCs w:val="28"/>
          <w:highlight w:val="none"/>
        </w:rPr>
        <w:t xml:space="preserve">   工程完工清洁移交标准</w:t>
      </w:r>
    </w:p>
    <w:tbl>
      <w:tblPr>
        <w:tblStyle w:val="47"/>
        <w:tblW w:w="9982"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52"/>
        <w:gridCol w:w="7567"/>
      </w:tblGrid>
      <w:tr w14:paraId="2AC6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863" w:type="dxa"/>
            <w:vAlign w:val="center"/>
          </w:tcPr>
          <w:p w14:paraId="300D70A1">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项目</w:t>
            </w:r>
          </w:p>
        </w:tc>
        <w:tc>
          <w:tcPr>
            <w:tcW w:w="1552" w:type="dxa"/>
            <w:vAlign w:val="center"/>
          </w:tcPr>
          <w:p w14:paraId="4F65465A">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7567" w:type="dxa"/>
            <w:vAlign w:val="center"/>
          </w:tcPr>
          <w:p w14:paraId="21047E5C">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清洁移交标准</w:t>
            </w:r>
          </w:p>
        </w:tc>
      </w:tr>
      <w:tr w14:paraId="165D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63" w:type="dxa"/>
            <w:vMerge w:val="restart"/>
            <w:vAlign w:val="center"/>
          </w:tcPr>
          <w:p w14:paraId="4E642F1D">
            <w:pPr>
              <w:widowControl/>
              <w:spacing w:line="360" w:lineRule="auto"/>
              <w:jc w:val="left"/>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室内部位</w:t>
            </w:r>
          </w:p>
        </w:tc>
        <w:tc>
          <w:tcPr>
            <w:tcW w:w="1552" w:type="dxa"/>
            <w:vAlign w:val="center"/>
          </w:tcPr>
          <w:p w14:paraId="7BD392CD">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w:t>
            </w:r>
          </w:p>
        </w:tc>
        <w:tc>
          <w:tcPr>
            <w:tcW w:w="7567" w:type="dxa"/>
            <w:vAlign w:val="center"/>
          </w:tcPr>
          <w:p w14:paraId="31563CC3">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无积水、无泥沙、无灰尘、无污渍、无拖痕、无垃圾杂物、无建筑装修材料残留、无胶渍等异物、无涂料斑点、无异色污染，石材、瓷砖地面（含踢脚线）需保持光亮，木地板应显本色。</w:t>
            </w:r>
          </w:p>
        </w:tc>
      </w:tr>
      <w:tr w14:paraId="6466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14:paraId="0D074F85">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2873AB7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vAlign w:val="center"/>
          </w:tcPr>
          <w:p w14:paraId="5FFAB1CB">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14:paraId="2BF4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87AA251">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0DD8193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vAlign w:val="center"/>
          </w:tcPr>
          <w:p w14:paraId="59B98AF0">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1231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49F9A2A">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671FC46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门（包括入户门和室内门）</w:t>
            </w:r>
          </w:p>
        </w:tc>
        <w:tc>
          <w:tcPr>
            <w:tcW w:w="7567" w:type="dxa"/>
            <w:vAlign w:val="center"/>
          </w:tcPr>
          <w:p w14:paraId="4476F394">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7CD3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F5029B1">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CC157D7">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vAlign w:val="center"/>
          </w:tcPr>
          <w:p w14:paraId="2375B75C">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14:paraId="3F9C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D972078">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41B66F3">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入户电箱</w:t>
            </w:r>
          </w:p>
        </w:tc>
        <w:tc>
          <w:tcPr>
            <w:tcW w:w="7567" w:type="dxa"/>
            <w:vAlign w:val="center"/>
          </w:tcPr>
          <w:p w14:paraId="5E0B3652">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0309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D5BD252">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48B2400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vAlign w:val="center"/>
          </w:tcPr>
          <w:p w14:paraId="19C4D19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14:paraId="6177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14:paraId="54FB9460">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D4A846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橱柜</w:t>
            </w:r>
          </w:p>
        </w:tc>
        <w:tc>
          <w:tcPr>
            <w:tcW w:w="7567" w:type="dxa"/>
            <w:vAlign w:val="center"/>
          </w:tcPr>
          <w:p w14:paraId="68D7BD53">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无粘贴物、无灰尘、无污渍、无水渍、无水泥迹、无胶渍、无划痕、无印迹、无垃圾杂物、金属制品无锈渍，面层洁净、明亮、显本色。</w:t>
            </w:r>
          </w:p>
        </w:tc>
      </w:tr>
      <w:tr w14:paraId="37A5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7902EDE">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4EB97301">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淋浴屏风</w:t>
            </w:r>
          </w:p>
        </w:tc>
        <w:tc>
          <w:tcPr>
            <w:tcW w:w="7567" w:type="dxa"/>
            <w:vAlign w:val="center"/>
          </w:tcPr>
          <w:p w14:paraId="1E0A3984">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5C07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875720F">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0F3241E6">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vAlign w:val="center"/>
          </w:tcPr>
          <w:p w14:paraId="419A7252">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无粘贴物、内部无杂物、无泥沙、无污渍，外部表面清洁、金属制品无锈渍。</w:t>
            </w:r>
          </w:p>
        </w:tc>
      </w:tr>
      <w:tr w14:paraId="32EF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95F34EC">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2AF9F3ED">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vAlign w:val="center"/>
          </w:tcPr>
          <w:p w14:paraId="4FD9EBA4">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3A87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61C7CA8">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3E4B2D6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空调机位</w:t>
            </w:r>
          </w:p>
        </w:tc>
        <w:tc>
          <w:tcPr>
            <w:tcW w:w="7567" w:type="dxa"/>
            <w:vAlign w:val="center"/>
          </w:tcPr>
          <w:p w14:paraId="727A7DDD">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无杂物、百叶隔栅无涂料、胶迹污染、无灰尘。</w:t>
            </w:r>
          </w:p>
        </w:tc>
      </w:tr>
      <w:tr w14:paraId="41FF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9B3637B">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69275D4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w:t>
            </w:r>
          </w:p>
        </w:tc>
        <w:tc>
          <w:tcPr>
            <w:tcW w:w="7567" w:type="dxa"/>
            <w:vAlign w:val="center"/>
          </w:tcPr>
          <w:p w14:paraId="4DA7613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面板呈本色，无灰无污，白手套擦拭无污迹。</w:t>
            </w:r>
          </w:p>
        </w:tc>
      </w:tr>
      <w:tr w14:paraId="45AD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21641F5">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2297D750">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可视对讲、报警安防</w:t>
            </w:r>
          </w:p>
        </w:tc>
        <w:tc>
          <w:tcPr>
            <w:tcW w:w="7567" w:type="dxa"/>
            <w:vAlign w:val="center"/>
          </w:tcPr>
          <w:p w14:paraId="588A8512">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无灰，无污，呈本色。</w:t>
            </w:r>
          </w:p>
        </w:tc>
      </w:tr>
      <w:tr w14:paraId="5A12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10B1574">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44745609">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龙头</w:t>
            </w:r>
          </w:p>
        </w:tc>
        <w:tc>
          <w:tcPr>
            <w:tcW w:w="7567" w:type="dxa"/>
            <w:vAlign w:val="center"/>
          </w:tcPr>
          <w:p w14:paraId="2C6745C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无水迹，呈本色，无锈迹。</w:t>
            </w:r>
          </w:p>
        </w:tc>
      </w:tr>
      <w:tr w14:paraId="15B9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26D8CBB">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AD5600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拖把池</w:t>
            </w:r>
          </w:p>
        </w:tc>
        <w:tc>
          <w:tcPr>
            <w:tcW w:w="7567" w:type="dxa"/>
            <w:vAlign w:val="center"/>
          </w:tcPr>
          <w:p w14:paraId="6070B839">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呈本色无污无垢。</w:t>
            </w:r>
          </w:p>
        </w:tc>
      </w:tr>
      <w:tr w14:paraId="545A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563E3DA">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2BDE95C6">
            <w:pPr>
              <w:adjustRightInd w:val="0"/>
              <w:snapToGrid w:val="0"/>
              <w:spacing w:line="360" w:lineRule="auto"/>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vAlign w:val="center"/>
          </w:tcPr>
          <w:p w14:paraId="708D341D">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无污迹、无涂料污染、无虫。</w:t>
            </w:r>
          </w:p>
        </w:tc>
      </w:tr>
      <w:tr w14:paraId="4DA0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9104CF4">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E01DE91">
            <w:pPr>
              <w:adjustRightInd w:val="0"/>
              <w:snapToGrid w:val="0"/>
              <w:spacing w:line="360" w:lineRule="auto"/>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空调孔</w:t>
            </w:r>
          </w:p>
        </w:tc>
        <w:tc>
          <w:tcPr>
            <w:tcW w:w="7567" w:type="dxa"/>
            <w:vAlign w:val="center"/>
          </w:tcPr>
          <w:p w14:paraId="11949A37">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无杂物、无灰尘。</w:t>
            </w:r>
          </w:p>
        </w:tc>
      </w:tr>
      <w:tr w14:paraId="4F64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0E9A66C">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7BBFFAAD">
            <w:pPr>
              <w:adjustRightInd w:val="0"/>
              <w:snapToGrid w:val="0"/>
              <w:spacing w:line="360" w:lineRule="auto"/>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报警按钮</w:t>
            </w:r>
          </w:p>
        </w:tc>
        <w:tc>
          <w:tcPr>
            <w:tcW w:w="7567" w:type="dxa"/>
            <w:vAlign w:val="center"/>
          </w:tcPr>
          <w:p w14:paraId="58446F29">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无涂料污染，处于复位状态。</w:t>
            </w:r>
          </w:p>
        </w:tc>
      </w:tr>
      <w:tr w14:paraId="4E6C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DC7FD0A">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2F97E3B6">
            <w:pPr>
              <w:adjustRightInd w:val="0"/>
              <w:snapToGrid w:val="0"/>
              <w:spacing w:line="360" w:lineRule="auto"/>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窗台</w:t>
            </w:r>
          </w:p>
        </w:tc>
        <w:tc>
          <w:tcPr>
            <w:tcW w:w="7567" w:type="dxa"/>
            <w:vAlign w:val="center"/>
          </w:tcPr>
          <w:p w14:paraId="0745BF75">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无杂物、无污迹、无灰尘。</w:t>
            </w:r>
          </w:p>
        </w:tc>
      </w:tr>
      <w:tr w14:paraId="4196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82EBF65">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4600E0FA">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小家电（脱排、灶具、燃气热水器）</w:t>
            </w:r>
          </w:p>
        </w:tc>
        <w:tc>
          <w:tcPr>
            <w:tcW w:w="7567" w:type="dxa"/>
            <w:vAlign w:val="center"/>
          </w:tcPr>
          <w:p w14:paraId="078F93F1">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抽油烟机、灶台面呈本色，无油迹、光亮，用白色手套擦拭无污迹。</w:t>
            </w:r>
          </w:p>
        </w:tc>
      </w:tr>
      <w:tr w14:paraId="7A8F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255ECE7A">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4DA59C58">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不锈钢水槽</w:t>
            </w:r>
          </w:p>
        </w:tc>
        <w:tc>
          <w:tcPr>
            <w:tcW w:w="7567" w:type="dxa"/>
            <w:vAlign w:val="center"/>
          </w:tcPr>
          <w:p w14:paraId="4773B05D">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不锈钢面盆呈本色，无油迹、光亮，用白色手套擦拭无污迹。</w:t>
            </w:r>
          </w:p>
        </w:tc>
      </w:tr>
      <w:tr w14:paraId="7EE5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25C8140A">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ED3EE9A">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浴霸</w:t>
            </w:r>
          </w:p>
        </w:tc>
        <w:tc>
          <w:tcPr>
            <w:tcW w:w="7567" w:type="dxa"/>
            <w:vAlign w:val="center"/>
          </w:tcPr>
          <w:p w14:paraId="7D23CFE2">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侧面无灰无污，呈本色。</w:t>
            </w:r>
          </w:p>
        </w:tc>
      </w:tr>
      <w:tr w14:paraId="13A7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6C1CF19">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7A9088CF">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镜面梳妆柜</w:t>
            </w:r>
          </w:p>
        </w:tc>
        <w:tc>
          <w:tcPr>
            <w:tcW w:w="7567" w:type="dxa"/>
            <w:vAlign w:val="center"/>
          </w:tcPr>
          <w:p w14:paraId="2CAFC781">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镜面洁净光亮，侧面无灰无污。</w:t>
            </w:r>
          </w:p>
        </w:tc>
      </w:tr>
      <w:tr w14:paraId="0BE1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B32E9D8">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08E3A41C">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浴巾架</w:t>
            </w:r>
          </w:p>
        </w:tc>
        <w:tc>
          <w:tcPr>
            <w:tcW w:w="7567" w:type="dxa"/>
            <w:vAlign w:val="center"/>
          </w:tcPr>
          <w:p w14:paraId="5A9DA907">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14:paraId="3D39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D403982">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7A2FBAE8">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毛巾杆</w:t>
            </w:r>
          </w:p>
        </w:tc>
        <w:tc>
          <w:tcPr>
            <w:tcW w:w="7567" w:type="dxa"/>
            <w:vAlign w:val="center"/>
          </w:tcPr>
          <w:p w14:paraId="3D79CC9D">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14:paraId="72D7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C31E7DE">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318AA3A8">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台盆</w:t>
            </w:r>
          </w:p>
        </w:tc>
        <w:tc>
          <w:tcPr>
            <w:tcW w:w="7567" w:type="dxa"/>
            <w:vAlign w:val="center"/>
          </w:tcPr>
          <w:p w14:paraId="166D091A">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无水迹，呈本色，无锈蚀。</w:t>
            </w:r>
          </w:p>
        </w:tc>
      </w:tr>
      <w:tr w14:paraId="3AAE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7170839">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29895BF3">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储藏间</w:t>
            </w:r>
          </w:p>
        </w:tc>
        <w:tc>
          <w:tcPr>
            <w:tcW w:w="7567" w:type="dxa"/>
            <w:vAlign w:val="center"/>
          </w:tcPr>
          <w:p w14:paraId="17929B54">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无死角，无灰，用白手套擦拭无灰无污。</w:t>
            </w:r>
          </w:p>
        </w:tc>
      </w:tr>
      <w:tr w14:paraId="41CD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93ABDE5">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666D0086">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晾衣架</w:t>
            </w:r>
          </w:p>
        </w:tc>
        <w:tc>
          <w:tcPr>
            <w:tcW w:w="7567" w:type="dxa"/>
            <w:vAlign w:val="center"/>
          </w:tcPr>
          <w:p w14:paraId="527851B9">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呈本色，无油迹，无灰，白手套擦拭无灰。</w:t>
            </w:r>
          </w:p>
        </w:tc>
      </w:tr>
      <w:tr w14:paraId="2FD6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vAlign w:val="center"/>
          </w:tcPr>
          <w:p w14:paraId="25C2EB7D">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公共</w:t>
            </w:r>
          </w:p>
          <w:p w14:paraId="61373D9F">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vAlign w:val="center"/>
          </w:tcPr>
          <w:p w14:paraId="1D2084E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电梯（含轿厢、门扇、门套及控制面板）</w:t>
            </w:r>
          </w:p>
        </w:tc>
        <w:tc>
          <w:tcPr>
            <w:tcW w:w="7567" w:type="dxa"/>
            <w:vAlign w:val="center"/>
          </w:tcPr>
          <w:p w14:paraId="6920D7E4">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无粘贴物、无垃圾杂物、无灰尘、无污渍、无水泥渍、无划痕、金属制品无锈渍，面层清洁、明亮</w:t>
            </w:r>
          </w:p>
        </w:tc>
      </w:tr>
      <w:tr w14:paraId="1C91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63" w:type="dxa"/>
            <w:vMerge w:val="continue"/>
            <w:vAlign w:val="center"/>
          </w:tcPr>
          <w:p w14:paraId="53E6F5E0">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4CD7F3D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楼地面（入户大堂及电梯厅）</w:t>
            </w:r>
          </w:p>
        </w:tc>
        <w:tc>
          <w:tcPr>
            <w:tcW w:w="7567" w:type="dxa"/>
            <w:vAlign w:val="center"/>
          </w:tcPr>
          <w:p w14:paraId="6BF2895C">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w:t>
            </w:r>
          </w:p>
        </w:tc>
      </w:tr>
      <w:tr w14:paraId="2954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14:paraId="515326A1">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BBFDD6D">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墙面（入户大堂及电梯厅）</w:t>
            </w:r>
          </w:p>
        </w:tc>
        <w:tc>
          <w:tcPr>
            <w:tcW w:w="7567" w:type="dxa"/>
            <w:vAlign w:val="center"/>
          </w:tcPr>
          <w:p w14:paraId="57A8FAB7">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14:paraId="1EFC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40D9C83">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A6633EB">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天棚（入户大堂及电梯厅）</w:t>
            </w:r>
          </w:p>
        </w:tc>
        <w:tc>
          <w:tcPr>
            <w:tcW w:w="7567" w:type="dxa"/>
            <w:vAlign w:val="center"/>
          </w:tcPr>
          <w:p w14:paraId="65B35FE3">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6E94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81CE74F">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294C6240">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防火门</w:t>
            </w:r>
          </w:p>
        </w:tc>
        <w:tc>
          <w:tcPr>
            <w:tcW w:w="7567" w:type="dxa"/>
            <w:vAlign w:val="center"/>
          </w:tcPr>
          <w:p w14:paraId="6B5017A4">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2AA5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7CD156A">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00FAB09">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消火栓箱</w:t>
            </w:r>
          </w:p>
        </w:tc>
        <w:tc>
          <w:tcPr>
            <w:tcW w:w="7567" w:type="dxa"/>
            <w:vAlign w:val="center"/>
          </w:tcPr>
          <w:p w14:paraId="11A86099">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4BE7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85B3ADB">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731A9C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楼地面（楼梯）</w:t>
            </w:r>
          </w:p>
        </w:tc>
        <w:tc>
          <w:tcPr>
            <w:tcW w:w="7567" w:type="dxa"/>
            <w:vAlign w:val="center"/>
          </w:tcPr>
          <w:p w14:paraId="7F9E6602">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无灰尘、无垃圾杂物、无污渍、无涂料斑点，石材、瓷砖地面需保持光亮，踢脚线上无涂料和水泥迹。</w:t>
            </w:r>
          </w:p>
        </w:tc>
      </w:tr>
      <w:tr w14:paraId="5F80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56D04F1">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33CC9BE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墙面（楼梯）</w:t>
            </w:r>
          </w:p>
        </w:tc>
        <w:tc>
          <w:tcPr>
            <w:tcW w:w="7567" w:type="dxa"/>
            <w:vAlign w:val="center"/>
          </w:tcPr>
          <w:p w14:paraId="07A4E791">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无粘贴物、无灰尘、无污渍、无建筑装修材料残留、无印迹、无划痕、无胶渍等异物、无异色污染，瓷砖墙面需保持光亮。</w:t>
            </w:r>
          </w:p>
        </w:tc>
      </w:tr>
      <w:tr w14:paraId="64C6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54EA217">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B3935C5">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天棚（楼梯）</w:t>
            </w:r>
          </w:p>
        </w:tc>
        <w:tc>
          <w:tcPr>
            <w:tcW w:w="7567" w:type="dxa"/>
            <w:vAlign w:val="center"/>
          </w:tcPr>
          <w:p w14:paraId="65576489">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7285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C96B682">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0814803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vAlign w:val="center"/>
          </w:tcPr>
          <w:p w14:paraId="276A3744">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14:paraId="3855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F0490B7">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44148A81">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电箱</w:t>
            </w:r>
          </w:p>
        </w:tc>
        <w:tc>
          <w:tcPr>
            <w:tcW w:w="7567" w:type="dxa"/>
            <w:vAlign w:val="center"/>
          </w:tcPr>
          <w:p w14:paraId="542576A5">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49F9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20A63774">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B029036">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vAlign w:val="center"/>
          </w:tcPr>
          <w:p w14:paraId="7BF0F800">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14:paraId="4D55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D712704">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4D9FA73">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单元门</w:t>
            </w:r>
          </w:p>
        </w:tc>
        <w:tc>
          <w:tcPr>
            <w:tcW w:w="7567" w:type="dxa"/>
            <w:vAlign w:val="center"/>
          </w:tcPr>
          <w:p w14:paraId="69E21B75">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332D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BF3D498">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683F1E50">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vAlign w:val="center"/>
          </w:tcPr>
          <w:p w14:paraId="71D892A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14:paraId="3BC3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6F9FC5C">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38760B65">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指示牌</w:t>
            </w:r>
          </w:p>
        </w:tc>
        <w:tc>
          <w:tcPr>
            <w:tcW w:w="7567" w:type="dxa"/>
            <w:vAlign w:val="center"/>
          </w:tcPr>
          <w:p w14:paraId="4C1BBE69">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6768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60B5057">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0F81310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信报箱</w:t>
            </w:r>
          </w:p>
        </w:tc>
        <w:tc>
          <w:tcPr>
            <w:tcW w:w="7567" w:type="dxa"/>
            <w:vAlign w:val="center"/>
          </w:tcPr>
          <w:p w14:paraId="2A4846A7">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3F39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14D4423">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0EF039CC">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vAlign w:val="center"/>
          </w:tcPr>
          <w:p w14:paraId="2A3F297C">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1458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2AD0E81">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3EF0AF9A">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vAlign w:val="center"/>
          </w:tcPr>
          <w:p w14:paraId="3EF18575">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灯罩外无污迹、无涂料污染、灯罩内无蚊虫残留。</w:t>
            </w:r>
          </w:p>
        </w:tc>
      </w:tr>
      <w:tr w14:paraId="1078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vAlign w:val="center"/>
          </w:tcPr>
          <w:p w14:paraId="60783992">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室外</w:t>
            </w:r>
          </w:p>
          <w:p w14:paraId="6020292A">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vAlign w:val="center"/>
          </w:tcPr>
          <w:p w14:paraId="211A0E6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外墙面</w:t>
            </w:r>
          </w:p>
        </w:tc>
        <w:tc>
          <w:tcPr>
            <w:tcW w:w="7567" w:type="dxa"/>
            <w:vAlign w:val="center"/>
          </w:tcPr>
          <w:p w14:paraId="17526BF3">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w:t>
            </w:r>
          </w:p>
        </w:tc>
      </w:tr>
      <w:tr w14:paraId="456C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6CDC374">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76E5F16">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玻璃幕墙、门窗</w:t>
            </w:r>
          </w:p>
        </w:tc>
        <w:tc>
          <w:tcPr>
            <w:tcW w:w="7567" w:type="dxa"/>
            <w:vAlign w:val="center"/>
          </w:tcPr>
          <w:p w14:paraId="7260FC1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2294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B59E94D">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7F1C2D0">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阳光棚或雨棚</w:t>
            </w:r>
          </w:p>
        </w:tc>
        <w:tc>
          <w:tcPr>
            <w:tcW w:w="7567" w:type="dxa"/>
            <w:vAlign w:val="center"/>
          </w:tcPr>
          <w:p w14:paraId="744B9B2C">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795D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10ACF27">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6E328D7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百叶窗</w:t>
            </w:r>
          </w:p>
        </w:tc>
        <w:tc>
          <w:tcPr>
            <w:tcW w:w="7567" w:type="dxa"/>
            <w:vAlign w:val="center"/>
          </w:tcPr>
          <w:p w14:paraId="0A953D06">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498D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9A73218">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3C9D6B03">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屋顶（含天沟）</w:t>
            </w:r>
          </w:p>
        </w:tc>
        <w:tc>
          <w:tcPr>
            <w:tcW w:w="7567" w:type="dxa"/>
            <w:vAlign w:val="center"/>
          </w:tcPr>
          <w:p w14:paraId="510EC81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无积水、无泥沙、无垃圾杂物、无建筑装修材料残留，面层显本色。</w:t>
            </w:r>
          </w:p>
        </w:tc>
      </w:tr>
      <w:tr w14:paraId="0CE2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0EC4B04">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0379244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室外地面</w:t>
            </w:r>
          </w:p>
        </w:tc>
        <w:tc>
          <w:tcPr>
            <w:tcW w:w="7567" w:type="dxa"/>
            <w:vAlign w:val="center"/>
          </w:tcPr>
          <w:p w14:paraId="3D727012">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无粘贴物、无垃圾、无积砂、无印迹、无异色污染。</w:t>
            </w:r>
          </w:p>
        </w:tc>
      </w:tr>
      <w:tr w14:paraId="1662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64BBD19">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0CD972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室外道路</w:t>
            </w:r>
          </w:p>
        </w:tc>
        <w:tc>
          <w:tcPr>
            <w:tcW w:w="7567" w:type="dxa"/>
            <w:vAlign w:val="center"/>
          </w:tcPr>
          <w:p w14:paraId="1E6AFF4B">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无粘贴物、无垃圾、无积砂、无异色污染。</w:t>
            </w:r>
          </w:p>
        </w:tc>
      </w:tr>
      <w:tr w14:paraId="4260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43F7806">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F9AB531">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告示牌</w:t>
            </w:r>
          </w:p>
        </w:tc>
        <w:tc>
          <w:tcPr>
            <w:tcW w:w="7567" w:type="dxa"/>
            <w:vAlign w:val="center"/>
          </w:tcPr>
          <w:p w14:paraId="1E218525">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4891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1F6AAC4">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0D2502E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水篦子</w:t>
            </w:r>
          </w:p>
        </w:tc>
        <w:tc>
          <w:tcPr>
            <w:tcW w:w="7567" w:type="dxa"/>
            <w:vAlign w:val="center"/>
          </w:tcPr>
          <w:p w14:paraId="7C1EB0DC">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无垃圾杂物、无积砂、金属无锈渍、表面清洁。</w:t>
            </w:r>
          </w:p>
        </w:tc>
      </w:tr>
      <w:tr w14:paraId="02C2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63" w:type="dxa"/>
            <w:vMerge w:val="continue"/>
            <w:vAlign w:val="center"/>
          </w:tcPr>
          <w:p w14:paraId="44908D19">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7A72EA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vAlign w:val="center"/>
          </w:tcPr>
          <w:p w14:paraId="7C8EC3FC">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14:paraId="6A9C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81C1323">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F1C1016">
            <w:pPr>
              <w:widowControl/>
              <w:spacing w:line="360" w:lineRule="auto"/>
              <w:jc w:val="left"/>
              <w:rPr>
                <w:rFonts w:hint="eastAsia" w:asciiTheme="minorEastAsia" w:hAnsiTheme="minorEastAsia" w:eastAsiaTheme="minorEastAsia" w:cstheme="minorEastAsia"/>
                <w:color w:val="auto"/>
                <w:kern w:val="0"/>
                <w:szCs w:val="24"/>
                <w:highlight w:val="none"/>
              </w:rPr>
            </w:pPr>
          </w:p>
          <w:p w14:paraId="233D0DAB">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w:t>
            </w:r>
          </w:p>
          <w:p w14:paraId="597B3BD8">
            <w:pPr>
              <w:widowControl/>
              <w:spacing w:line="360" w:lineRule="auto"/>
              <w:jc w:val="left"/>
              <w:rPr>
                <w:rFonts w:hint="eastAsia" w:asciiTheme="minorEastAsia" w:hAnsiTheme="minorEastAsia" w:eastAsiaTheme="minorEastAsia" w:cstheme="minorEastAsia"/>
                <w:color w:val="auto"/>
                <w:kern w:val="0"/>
                <w:szCs w:val="24"/>
                <w:highlight w:val="none"/>
              </w:rPr>
            </w:pPr>
          </w:p>
        </w:tc>
        <w:tc>
          <w:tcPr>
            <w:tcW w:w="7567" w:type="dxa"/>
            <w:vAlign w:val="center"/>
          </w:tcPr>
          <w:p w14:paraId="696CA96B">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3D03F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restart"/>
            <w:vAlign w:val="center"/>
          </w:tcPr>
          <w:p w14:paraId="346B03D1">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其他</w:t>
            </w:r>
          </w:p>
        </w:tc>
        <w:tc>
          <w:tcPr>
            <w:tcW w:w="1552" w:type="dxa"/>
            <w:vAlign w:val="center"/>
          </w:tcPr>
          <w:p w14:paraId="3DBFCCA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卫浴洁具</w:t>
            </w:r>
          </w:p>
        </w:tc>
        <w:tc>
          <w:tcPr>
            <w:tcW w:w="7567" w:type="dxa"/>
            <w:vAlign w:val="center"/>
          </w:tcPr>
          <w:p w14:paraId="7EE4DBD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14:paraId="70AF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A22262A">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Merge w:val="restart"/>
            <w:vAlign w:val="center"/>
          </w:tcPr>
          <w:p w14:paraId="1CF1CF67">
            <w:pPr>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w:t>
            </w:r>
          </w:p>
        </w:tc>
        <w:tc>
          <w:tcPr>
            <w:tcW w:w="7567" w:type="dxa"/>
            <w:vAlign w:val="center"/>
          </w:tcPr>
          <w:p w14:paraId="6E0C9121">
            <w:pPr>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灯具、灯座呈本色，无涂料污染、无灰尘，要求目测洁净光亮。</w:t>
            </w:r>
          </w:p>
        </w:tc>
      </w:tr>
      <w:tr w14:paraId="6432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7675C80">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Merge w:val="continue"/>
            <w:vAlign w:val="center"/>
          </w:tcPr>
          <w:p w14:paraId="7FCE9AE3">
            <w:pPr>
              <w:widowControl/>
              <w:spacing w:line="360" w:lineRule="auto"/>
              <w:jc w:val="left"/>
              <w:rPr>
                <w:rFonts w:hint="eastAsia" w:asciiTheme="minorEastAsia" w:hAnsiTheme="minorEastAsia" w:eastAsiaTheme="minorEastAsia" w:cstheme="minorEastAsia"/>
                <w:color w:val="auto"/>
                <w:kern w:val="0"/>
                <w:szCs w:val="24"/>
                <w:highlight w:val="none"/>
              </w:rPr>
            </w:pPr>
          </w:p>
        </w:tc>
        <w:tc>
          <w:tcPr>
            <w:tcW w:w="7567" w:type="dxa"/>
            <w:vAlign w:val="center"/>
          </w:tcPr>
          <w:p w14:paraId="135DE444">
            <w:pPr>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6269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14:paraId="7EBF3C4E">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1986DE7">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柜子（如有）</w:t>
            </w:r>
          </w:p>
        </w:tc>
        <w:tc>
          <w:tcPr>
            <w:tcW w:w="7567" w:type="dxa"/>
            <w:vAlign w:val="center"/>
          </w:tcPr>
          <w:p w14:paraId="54024504">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14:paraId="79AB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63" w:type="dxa"/>
            <w:vMerge w:val="restart"/>
            <w:vAlign w:val="center"/>
          </w:tcPr>
          <w:p w14:paraId="18BA0667">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地下</w:t>
            </w:r>
          </w:p>
          <w:p w14:paraId="538444C7">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车库</w:t>
            </w:r>
          </w:p>
        </w:tc>
        <w:tc>
          <w:tcPr>
            <w:tcW w:w="1552" w:type="dxa"/>
            <w:vAlign w:val="center"/>
          </w:tcPr>
          <w:p w14:paraId="780CB206">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w:t>
            </w:r>
          </w:p>
        </w:tc>
        <w:tc>
          <w:tcPr>
            <w:tcW w:w="7567" w:type="dxa"/>
            <w:vAlign w:val="center"/>
          </w:tcPr>
          <w:p w14:paraId="363EA9D1">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无泥沙、无灰尘、无垃圾杂物、无污渍、无建筑装修材料残留，踢脚线上无涂料和水泥渍，金刚砂、地坪漆地面需保持整洁、光亮、无划痕。</w:t>
            </w:r>
          </w:p>
        </w:tc>
      </w:tr>
      <w:tr w14:paraId="75B4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A76F213">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2B1C3711">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vAlign w:val="center"/>
          </w:tcPr>
          <w:p w14:paraId="2A98967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w:t>
            </w:r>
          </w:p>
        </w:tc>
      </w:tr>
      <w:tr w14:paraId="63EC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8E7FF84">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4618988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vAlign w:val="center"/>
          </w:tcPr>
          <w:p w14:paraId="0AF398F8">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6DE6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FF98C3E">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7FBDD1D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各类管道</w:t>
            </w:r>
          </w:p>
        </w:tc>
        <w:tc>
          <w:tcPr>
            <w:tcW w:w="7567" w:type="dxa"/>
            <w:vAlign w:val="center"/>
          </w:tcPr>
          <w:p w14:paraId="5CCCB282">
            <w:pPr>
              <w:widowControl/>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无涂料、胶迹污染，无灰尘，目测洁净。</w:t>
            </w:r>
          </w:p>
        </w:tc>
      </w:tr>
      <w:tr w14:paraId="14F8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B5F00E7">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7E94F15D">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水泵房、设备间等</w:t>
            </w:r>
          </w:p>
        </w:tc>
        <w:tc>
          <w:tcPr>
            <w:tcW w:w="7567" w:type="dxa"/>
            <w:vAlign w:val="center"/>
          </w:tcPr>
          <w:p w14:paraId="1ECF9C0E">
            <w:pPr>
              <w:widowControl/>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地面无涂料污染，内外无垃圾灰尘。</w:t>
            </w:r>
          </w:p>
        </w:tc>
      </w:tr>
    </w:tbl>
    <w:p w14:paraId="3EDEC026">
      <w:pPr>
        <w:pStyle w:val="54"/>
        <w:spacing w:line="360" w:lineRule="auto"/>
        <w:rPr>
          <w:rFonts w:hint="eastAsia" w:asciiTheme="minorEastAsia" w:hAnsiTheme="minorEastAsia" w:eastAsiaTheme="minorEastAsia" w:cstheme="minorEastAsia"/>
          <w:color w:val="auto"/>
          <w:spacing w:val="8"/>
          <w:szCs w:val="24"/>
          <w:highlight w:val="none"/>
        </w:rPr>
      </w:pPr>
    </w:p>
    <w:p w14:paraId="4F6405FC">
      <w:pPr>
        <w:pStyle w:val="54"/>
        <w:spacing w:line="360" w:lineRule="auto"/>
        <w:rPr>
          <w:rFonts w:hint="eastAsia" w:asciiTheme="minorEastAsia" w:hAnsiTheme="minorEastAsia" w:eastAsiaTheme="minorEastAsia" w:cstheme="minorEastAsia"/>
          <w:color w:val="auto"/>
          <w:spacing w:val="8"/>
          <w:szCs w:val="24"/>
          <w:highlight w:val="none"/>
        </w:rPr>
      </w:pPr>
    </w:p>
    <w:p w14:paraId="761CF41C">
      <w:pPr>
        <w:pStyle w:val="54"/>
        <w:spacing w:line="360" w:lineRule="auto"/>
        <w:rPr>
          <w:rFonts w:hint="eastAsia" w:asciiTheme="minorEastAsia" w:hAnsiTheme="minorEastAsia" w:eastAsiaTheme="minorEastAsia" w:cstheme="minorEastAsia"/>
          <w:color w:val="auto"/>
          <w:spacing w:val="8"/>
          <w:szCs w:val="24"/>
          <w:highlight w:val="none"/>
        </w:rPr>
      </w:pPr>
    </w:p>
    <w:p w14:paraId="47440108">
      <w:pPr>
        <w:pStyle w:val="54"/>
        <w:spacing w:line="360" w:lineRule="auto"/>
        <w:rPr>
          <w:rFonts w:hint="eastAsia" w:asciiTheme="minorEastAsia" w:hAnsiTheme="minorEastAsia" w:eastAsiaTheme="minorEastAsia" w:cstheme="minorEastAsia"/>
          <w:color w:val="auto"/>
          <w:spacing w:val="8"/>
          <w:szCs w:val="24"/>
          <w:highlight w:val="none"/>
        </w:rPr>
      </w:pPr>
    </w:p>
    <w:p w14:paraId="03351F51">
      <w:pPr>
        <w:pStyle w:val="54"/>
        <w:spacing w:line="360" w:lineRule="auto"/>
        <w:rPr>
          <w:rFonts w:hint="eastAsia" w:asciiTheme="minorEastAsia" w:hAnsiTheme="minorEastAsia" w:eastAsiaTheme="minorEastAsia" w:cstheme="minorEastAsia"/>
          <w:color w:val="auto"/>
          <w:spacing w:val="8"/>
          <w:szCs w:val="24"/>
          <w:highlight w:val="none"/>
        </w:rPr>
      </w:pPr>
    </w:p>
    <w:p w14:paraId="395BA370">
      <w:pPr>
        <w:pStyle w:val="54"/>
        <w:spacing w:line="360" w:lineRule="auto"/>
        <w:rPr>
          <w:rFonts w:hint="eastAsia" w:asciiTheme="minorEastAsia" w:hAnsiTheme="minorEastAsia" w:eastAsiaTheme="minorEastAsia" w:cstheme="minorEastAsia"/>
          <w:color w:val="auto"/>
          <w:spacing w:val="8"/>
          <w:szCs w:val="24"/>
          <w:highlight w:val="none"/>
        </w:rPr>
      </w:pPr>
    </w:p>
    <w:p w14:paraId="13F7F945">
      <w:pPr>
        <w:pStyle w:val="54"/>
        <w:spacing w:line="360" w:lineRule="auto"/>
        <w:rPr>
          <w:rFonts w:hint="eastAsia" w:asciiTheme="minorEastAsia" w:hAnsiTheme="minorEastAsia" w:eastAsiaTheme="minorEastAsia" w:cstheme="minorEastAsia"/>
          <w:bCs/>
          <w:color w:val="auto"/>
          <w:spacing w:val="8"/>
          <w:szCs w:val="24"/>
          <w:highlight w:val="none"/>
        </w:rPr>
      </w:pPr>
    </w:p>
    <w:p w14:paraId="16CDF4BF">
      <w:pPr>
        <w:pStyle w:val="54"/>
        <w:spacing w:line="360" w:lineRule="auto"/>
        <w:rPr>
          <w:rFonts w:hint="eastAsia" w:hAnsi="宋体" w:cs="宋体"/>
          <w:b w:val="0"/>
          <w:color w:val="auto"/>
          <w:szCs w:val="24"/>
          <w:highlight w:val="none"/>
        </w:rPr>
      </w:pPr>
      <w:r>
        <w:rPr>
          <w:rFonts w:hint="eastAsia" w:asciiTheme="minorEastAsia" w:hAnsiTheme="minorEastAsia" w:eastAsiaTheme="minorEastAsia" w:cstheme="minorEastAsia"/>
          <w:bCs/>
          <w:color w:val="auto"/>
          <w:szCs w:val="28"/>
          <w:highlight w:val="none"/>
        </w:rPr>
        <w:t>附件六、</w:t>
      </w:r>
      <w:r>
        <w:rPr>
          <w:rFonts w:hint="eastAsia" w:hAnsi="宋体" w:cs="宋体"/>
          <w:bCs/>
          <w:color w:val="auto"/>
          <w:szCs w:val="28"/>
          <w:highlight w:val="none"/>
        </w:rPr>
        <w:t>《成品保护标准》：</w:t>
      </w:r>
      <w:r>
        <w:rPr>
          <w:rFonts w:hint="eastAsia" w:hAnsi="宋体" w:cs="宋体"/>
          <w:b w:val="0"/>
          <w:color w:val="auto"/>
          <w:szCs w:val="24"/>
          <w:highlight w:val="none"/>
        </w:rPr>
        <w:t>详见《浩德地产精装修品质管控标准（V1.0版）》第五部分“成品保护10类”。</w:t>
      </w:r>
    </w:p>
    <w:p w14:paraId="2437B3A0">
      <w:pPr>
        <w:pStyle w:val="54"/>
        <w:spacing w:line="360" w:lineRule="auto"/>
        <w:rPr>
          <w:color w:val="auto"/>
          <w:highlight w:val="none"/>
        </w:rPr>
      </w:pPr>
      <w:r>
        <w:rPr>
          <w:color w:val="auto"/>
          <w:highlight w:val="none"/>
        </w:rPr>
        <w:drawing>
          <wp:inline distT="0" distB="0" distL="114300" distR="114300">
            <wp:extent cx="6312535" cy="3220720"/>
            <wp:effectExtent l="0" t="0" r="12065"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6312535" cy="3220720"/>
                    </a:xfrm>
                    <a:prstGeom prst="rect">
                      <a:avLst/>
                    </a:prstGeom>
                    <a:noFill/>
                    <a:ln>
                      <a:noFill/>
                    </a:ln>
                  </pic:spPr>
                </pic:pic>
              </a:graphicData>
            </a:graphic>
          </wp:inline>
        </w:drawing>
      </w:r>
    </w:p>
    <w:p w14:paraId="7FA1B253">
      <w:pPr>
        <w:pStyle w:val="54"/>
        <w:spacing w:line="360" w:lineRule="auto"/>
        <w:rPr>
          <w:color w:val="auto"/>
          <w:highlight w:val="none"/>
        </w:rPr>
      </w:pPr>
      <w:r>
        <w:rPr>
          <w:color w:val="auto"/>
          <w:highlight w:val="none"/>
        </w:rPr>
        <w:drawing>
          <wp:inline distT="0" distB="0" distL="114300" distR="114300">
            <wp:extent cx="6327775" cy="3560445"/>
            <wp:effectExtent l="0" t="0" r="12065" b="57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6327775" cy="3560445"/>
                    </a:xfrm>
                    <a:prstGeom prst="rect">
                      <a:avLst/>
                    </a:prstGeom>
                    <a:noFill/>
                    <a:ln>
                      <a:noFill/>
                    </a:ln>
                  </pic:spPr>
                </pic:pic>
              </a:graphicData>
            </a:graphic>
          </wp:inline>
        </w:drawing>
      </w:r>
    </w:p>
    <w:p w14:paraId="1EB30D15">
      <w:pPr>
        <w:pStyle w:val="54"/>
        <w:spacing w:line="360" w:lineRule="auto"/>
        <w:rPr>
          <w:rFonts w:hint="eastAsia" w:hAnsi="宋体" w:cs="宋体"/>
          <w:bCs/>
          <w:color w:val="auto"/>
          <w:szCs w:val="28"/>
          <w:highlight w:val="none"/>
        </w:rPr>
      </w:pPr>
      <w:r>
        <w:rPr>
          <w:color w:val="auto"/>
          <w:highlight w:val="none"/>
        </w:rPr>
        <w:drawing>
          <wp:inline distT="0" distB="0" distL="114300" distR="114300">
            <wp:extent cx="6372860" cy="3578225"/>
            <wp:effectExtent l="0" t="0" r="12700"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6372860" cy="3578225"/>
                    </a:xfrm>
                    <a:prstGeom prst="rect">
                      <a:avLst/>
                    </a:prstGeom>
                    <a:noFill/>
                    <a:ln>
                      <a:noFill/>
                    </a:ln>
                  </pic:spPr>
                </pic:pic>
              </a:graphicData>
            </a:graphic>
          </wp:inline>
        </w:drawing>
      </w:r>
    </w:p>
    <w:p w14:paraId="68299E4D">
      <w:pPr>
        <w:pStyle w:val="54"/>
        <w:spacing w:line="360" w:lineRule="auto"/>
        <w:rPr>
          <w:rFonts w:hint="eastAsia" w:hAnsi="宋体" w:cs="宋体"/>
          <w:bCs/>
          <w:color w:val="auto"/>
          <w:szCs w:val="28"/>
          <w:highlight w:val="none"/>
        </w:rPr>
      </w:pPr>
      <w:r>
        <w:rPr>
          <w:color w:val="auto"/>
          <w:highlight w:val="none"/>
        </w:rPr>
        <w:drawing>
          <wp:inline distT="0" distB="0" distL="114300" distR="114300">
            <wp:extent cx="6491605" cy="3650615"/>
            <wp:effectExtent l="0" t="0" r="635" b="698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0"/>
                    <a:stretch>
                      <a:fillRect/>
                    </a:stretch>
                  </pic:blipFill>
                  <pic:spPr>
                    <a:xfrm>
                      <a:off x="0" y="0"/>
                      <a:ext cx="6491605" cy="3650615"/>
                    </a:xfrm>
                    <a:prstGeom prst="rect">
                      <a:avLst/>
                    </a:prstGeom>
                    <a:noFill/>
                    <a:ln>
                      <a:noFill/>
                    </a:ln>
                  </pic:spPr>
                </pic:pic>
              </a:graphicData>
            </a:graphic>
          </wp:inline>
        </w:drawing>
      </w:r>
    </w:p>
    <w:p w14:paraId="09F6C8E6">
      <w:pPr>
        <w:pStyle w:val="54"/>
        <w:spacing w:line="360" w:lineRule="auto"/>
        <w:rPr>
          <w:rFonts w:hint="eastAsia" w:hAnsi="宋体" w:cs="宋体"/>
          <w:bCs/>
          <w:color w:val="auto"/>
          <w:szCs w:val="28"/>
          <w:highlight w:val="none"/>
        </w:rPr>
      </w:pPr>
      <w:r>
        <w:rPr>
          <w:color w:val="auto"/>
          <w:highlight w:val="none"/>
        </w:rPr>
        <w:drawing>
          <wp:inline distT="0" distB="0" distL="114300" distR="114300">
            <wp:extent cx="6245225" cy="3518535"/>
            <wp:effectExtent l="0" t="0" r="3175" b="190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1"/>
                    <a:stretch>
                      <a:fillRect/>
                    </a:stretch>
                  </pic:blipFill>
                  <pic:spPr>
                    <a:xfrm>
                      <a:off x="0" y="0"/>
                      <a:ext cx="6245225" cy="3518535"/>
                    </a:xfrm>
                    <a:prstGeom prst="rect">
                      <a:avLst/>
                    </a:prstGeom>
                    <a:noFill/>
                    <a:ln>
                      <a:noFill/>
                    </a:ln>
                  </pic:spPr>
                </pic:pic>
              </a:graphicData>
            </a:graphic>
          </wp:inline>
        </w:drawing>
      </w:r>
    </w:p>
    <w:p w14:paraId="1B98F7E6">
      <w:pPr>
        <w:spacing w:line="360" w:lineRule="auto"/>
        <w:rPr>
          <w:color w:val="auto"/>
          <w:highlight w:val="none"/>
        </w:rPr>
      </w:pPr>
      <w:r>
        <w:rPr>
          <w:color w:val="auto"/>
          <w:highlight w:val="none"/>
        </w:rPr>
        <w:drawing>
          <wp:inline distT="0" distB="0" distL="114300" distR="114300">
            <wp:extent cx="6210935" cy="3489325"/>
            <wp:effectExtent l="0" t="0" r="6985" b="63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2"/>
                    <a:stretch>
                      <a:fillRect/>
                    </a:stretch>
                  </pic:blipFill>
                  <pic:spPr>
                    <a:xfrm>
                      <a:off x="0" y="0"/>
                      <a:ext cx="6210935" cy="3489325"/>
                    </a:xfrm>
                    <a:prstGeom prst="rect">
                      <a:avLst/>
                    </a:prstGeom>
                    <a:noFill/>
                    <a:ln>
                      <a:noFill/>
                    </a:ln>
                  </pic:spPr>
                </pic:pic>
              </a:graphicData>
            </a:graphic>
          </wp:inline>
        </w:drawing>
      </w:r>
    </w:p>
    <w:p w14:paraId="0468800D">
      <w:pPr>
        <w:spacing w:line="360" w:lineRule="auto"/>
        <w:jc w:val="both"/>
        <w:rPr>
          <w:rFonts w:hint="eastAsia" w:asciiTheme="minorEastAsia" w:hAnsiTheme="minorEastAsia" w:eastAsiaTheme="minorEastAsia" w:cstheme="minorEastAsia"/>
          <w:b/>
          <w:bCs/>
          <w:color w:val="auto"/>
          <w:spacing w:val="8"/>
          <w:szCs w:val="24"/>
          <w:highlight w:val="none"/>
        </w:rPr>
      </w:pPr>
    </w:p>
    <w:p w14:paraId="54F880D5">
      <w:pPr>
        <w:spacing w:line="360" w:lineRule="auto"/>
        <w:jc w:val="both"/>
        <w:rPr>
          <w:rFonts w:hint="eastAsia" w:asciiTheme="minorEastAsia" w:hAnsiTheme="minorEastAsia" w:eastAsiaTheme="minorEastAsia" w:cstheme="minorEastAsia"/>
          <w:b/>
          <w:bCs/>
          <w:color w:val="auto"/>
          <w:spacing w:val="8"/>
          <w:szCs w:val="24"/>
          <w:highlight w:val="none"/>
        </w:rPr>
      </w:pPr>
    </w:p>
    <w:p w14:paraId="06FC9E45">
      <w:pPr>
        <w:spacing w:line="360" w:lineRule="auto"/>
        <w:jc w:val="both"/>
        <w:rPr>
          <w:rFonts w:hint="eastAsia" w:asciiTheme="minorEastAsia" w:hAnsiTheme="minorEastAsia" w:eastAsiaTheme="minorEastAsia" w:cstheme="minorEastAsia"/>
          <w:b/>
          <w:bCs/>
          <w:color w:val="auto"/>
          <w:spacing w:val="8"/>
          <w:szCs w:val="24"/>
          <w:highlight w:val="none"/>
        </w:rPr>
      </w:pPr>
    </w:p>
    <w:p w14:paraId="12BA2BA3">
      <w:pPr>
        <w:spacing w:line="360" w:lineRule="auto"/>
        <w:jc w:val="both"/>
        <w:rPr>
          <w:rFonts w:hint="eastAsia" w:asciiTheme="minorEastAsia" w:hAnsiTheme="minorEastAsia" w:eastAsiaTheme="minorEastAsia" w:cstheme="minorEastAsia"/>
          <w:b/>
          <w:bCs/>
          <w:color w:val="auto"/>
          <w:spacing w:val="8"/>
          <w:szCs w:val="24"/>
          <w:highlight w:val="none"/>
        </w:rPr>
      </w:pPr>
    </w:p>
    <w:p w14:paraId="32AC93E0">
      <w:pPr>
        <w:spacing w:line="360" w:lineRule="auto"/>
        <w:jc w:val="both"/>
        <w:rPr>
          <w:rFonts w:hint="eastAsia" w:asciiTheme="minorEastAsia" w:hAnsiTheme="minorEastAsia" w:eastAsiaTheme="minorEastAsia" w:cstheme="minorEastAsia"/>
          <w:b/>
          <w:bCs/>
          <w:color w:val="auto"/>
          <w:spacing w:val="8"/>
          <w:szCs w:val="24"/>
          <w:highlight w:val="none"/>
        </w:rPr>
      </w:pPr>
    </w:p>
    <w:p w14:paraId="27C86AEC">
      <w:pPr>
        <w:spacing w:line="360" w:lineRule="auto"/>
        <w:jc w:val="both"/>
        <w:rPr>
          <w:rFonts w:hint="eastAsia" w:asciiTheme="minorEastAsia" w:hAnsiTheme="minorEastAsia" w:eastAsiaTheme="minorEastAsia" w:cstheme="minorEastAsia"/>
          <w:b/>
          <w:bCs/>
          <w:color w:val="auto"/>
          <w:spacing w:val="8"/>
          <w:szCs w:val="24"/>
          <w:highlight w:val="none"/>
        </w:rPr>
      </w:pPr>
    </w:p>
    <w:p w14:paraId="3358A701">
      <w:pPr>
        <w:spacing w:line="360" w:lineRule="auto"/>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pacing w:val="8"/>
          <w:szCs w:val="24"/>
          <w:highlight w:val="none"/>
        </w:rPr>
        <w:t>附件七、</w:t>
      </w:r>
      <w:r>
        <w:rPr>
          <w:rFonts w:hint="eastAsia" w:asciiTheme="minorEastAsia" w:hAnsiTheme="minorEastAsia" w:eastAsiaTheme="minorEastAsia" w:cstheme="minorEastAsia"/>
          <w:b/>
          <w:bCs/>
          <w:color w:val="auto"/>
          <w:spacing w:val="8"/>
          <w:szCs w:val="24"/>
          <w:highlight w:val="none"/>
          <w:lang w:eastAsia="zh-CN"/>
        </w:rPr>
        <w:t>招标答疑及回复</w:t>
      </w:r>
    </w:p>
    <w:p w14:paraId="2E1F7AE1">
      <w:pPr>
        <w:jc w:val="center"/>
        <w:rPr>
          <w:rFonts w:hint="eastAsia" w:ascii="宋体" w:hAnsi="宋体" w:eastAsia="宋体" w:cs="宋体"/>
          <w:b/>
          <w:bCs/>
          <w:sz w:val="28"/>
          <w:szCs w:val="28"/>
        </w:rPr>
      </w:pPr>
      <w:r>
        <w:rPr>
          <w:rFonts w:hint="eastAsia" w:ascii="宋体" w:hAnsi="宋体" w:eastAsia="宋体" w:cs="宋体"/>
          <w:b/>
          <w:bCs/>
          <w:sz w:val="28"/>
          <w:szCs w:val="28"/>
        </w:rPr>
        <w:t>关于栾川山水文苑项目S7地块户内精装修工程</w:t>
      </w:r>
    </w:p>
    <w:p w14:paraId="26D06EB8">
      <w:pPr>
        <w:jc w:val="center"/>
        <w:rPr>
          <w:rFonts w:hint="eastAsia" w:ascii="宋体" w:hAnsi="宋体" w:eastAsia="宋体" w:cs="宋体"/>
          <w:b/>
          <w:bCs/>
          <w:sz w:val="28"/>
          <w:szCs w:val="28"/>
        </w:rPr>
      </w:pPr>
      <w:r>
        <w:rPr>
          <w:rFonts w:hint="eastAsia" w:ascii="宋体" w:hAnsi="宋体" w:eastAsia="宋体" w:cs="宋体"/>
          <w:b/>
          <w:bCs/>
          <w:sz w:val="28"/>
          <w:szCs w:val="28"/>
        </w:rPr>
        <w:t>招标疑问及回复</w:t>
      </w:r>
    </w:p>
    <w:p w14:paraId="7891BDFC">
      <w:pPr>
        <w:numPr>
          <w:ilvl w:val="0"/>
          <w:numId w:val="40"/>
        </w:numPr>
        <w:jc w:val="left"/>
        <w:rPr>
          <w:rFonts w:hint="eastAsia" w:ascii="宋体" w:hAnsi="宋体" w:eastAsia="宋体" w:cs="宋体"/>
          <w:sz w:val="24"/>
          <w:szCs w:val="24"/>
        </w:rPr>
      </w:pPr>
      <w:r>
        <w:rPr>
          <w:rFonts w:hint="eastAsia" w:ascii="宋体" w:hAnsi="宋体" w:eastAsia="宋体" w:cs="宋体"/>
          <w:sz w:val="24"/>
          <w:szCs w:val="24"/>
        </w:rPr>
        <w:t>清单内显示户内需做地暖，但图纸中没找到相应图纸，请补充暖通相应图纸。</w:t>
      </w:r>
    </w:p>
    <w:p w14:paraId="3287B09D">
      <w:pPr>
        <w:pStyle w:val="3"/>
        <w:ind w:firstLine="0"/>
        <w:rPr>
          <w:rFonts w:hint="eastAsia" w:ascii="宋体" w:hAnsi="宋体" w:eastAsia="宋体" w:cs="宋体"/>
          <w:sz w:val="24"/>
          <w:szCs w:val="24"/>
        </w:rPr>
      </w:pPr>
      <w:r>
        <w:rPr>
          <w:rFonts w:hint="eastAsia" w:ascii="宋体" w:hAnsi="宋体" w:eastAsia="宋体" w:cs="宋体"/>
          <w:color w:val="000000"/>
          <w:sz w:val="24"/>
          <w:szCs w:val="24"/>
          <w:lang w:bidi="ar"/>
        </w:rPr>
        <w:t>回复：</w:t>
      </w:r>
      <w:r>
        <w:rPr>
          <w:rFonts w:hint="eastAsia" w:ascii="宋体" w:hAnsi="宋体" w:eastAsia="宋体" w:cs="宋体"/>
          <w:sz w:val="24"/>
          <w:szCs w:val="24"/>
        </w:rPr>
        <w:t>补充暖通相应图纸</w:t>
      </w:r>
    </w:p>
    <w:p w14:paraId="69BCC869">
      <w:pPr>
        <w:numPr>
          <w:ilvl w:val="0"/>
          <w:numId w:val="40"/>
        </w:numPr>
        <w:jc w:val="left"/>
        <w:rPr>
          <w:rFonts w:hint="eastAsia" w:ascii="宋体" w:hAnsi="宋体" w:eastAsia="宋体" w:cs="宋体"/>
          <w:sz w:val="24"/>
          <w:szCs w:val="24"/>
        </w:rPr>
      </w:pPr>
      <w:r>
        <w:rPr>
          <w:rFonts w:hint="eastAsia" w:ascii="宋体" w:hAnsi="宋体" w:eastAsia="宋体" w:cs="宋体"/>
          <w:sz w:val="24"/>
          <w:szCs w:val="24"/>
        </w:rPr>
        <w:t>清单内显示户内需做地暖，请问卫生间部分是否也做地暖？若不做，安装部分建议增加相应背篓。请明确。</w:t>
      </w:r>
    </w:p>
    <w:p w14:paraId="124BCF67">
      <w:pPr>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499360" cy="2816860"/>
            <wp:effectExtent l="0" t="0" r="1524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2499360" cy="2816860"/>
                    </a:xfrm>
                    <a:prstGeom prst="rect">
                      <a:avLst/>
                    </a:prstGeom>
                    <a:noFill/>
                    <a:ln>
                      <a:noFill/>
                    </a:ln>
                  </pic:spPr>
                </pic:pic>
              </a:graphicData>
            </a:graphic>
          </wp:inline>
        </w:drawing>
      </w:r>
    </w:p>
    <w:p w14:paraId="546402B8">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回复：</w:t>
      </w:r>
      <w:r>
        <w:rPr>
          <w:rFonts w:hint="eastAsia" w:ascii="宋体" w:hAnsi="宋体" w:eastAsia="宋体" w:cs="宋体"/>
          <w:sz w:val="24"/>
          <w:szCs w:val="24"/>
        </w:rPr>
        <w:t>补充暖通相应图纸</w:t>
      </w:r>
    </w:p>
    <w:p w14:paraId="6B5131A4">
      <w:pPr>
        <w:numPr>
          <w:ilvl w:val="0"/>
          <w:numId w:val="40"/>
        </w:numPr>
        <w:jc w:val="left"/>
        <w:rPr>
          <w:rFonts w:hint="eastAsia" w:ascii="宋体" w:hAnsi="宋体" w:eastAsia="宋体" w:cs="宋体"/>
          <w:sz w:val="24"/>
          <w:szCs w:val="24"/>
        </w:rPr>
      </w:pPr>
      <w:r>
        <w:rPr>
          <w:rFonts w:hint="eastAsia" w:ascii="宋体" w:hAnsi="宋体" w:eastAsia="宋体" w:cs="宋体"/>
          <w:sz w:val="24"/>
          <w:szCs w:val="24"/>
        </w:rPr>
        <w:t>所有柜子是贴木皮做开放漆工艺还是成品生态板制作，请明确。</w:t>
      </w:r>
    </w:p>
    <w:p w14:paraId="4F6B1206">
      <w:pPr>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059305" cy="2021840"/>
            <wp:effectExtent l="0" t="0" r="17145"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2059305" cy="2021840"/>
                    </a:xfrm>
                    <a:prstGeom prst="rect">
                      <a:avLst/>
                    </a:prstGeom>
                    <a:noFill/>
                    <a:ln>
                      <a:noFill/>
                    </a:ln>
                  </pic:spPr>
                </pic:pic>
              </a:graphicData>
            </a:graphic>
          </wp:inline>
        </w:drawing>
      </w:r>
    </w:p>
    <w:p w14:paraId="73F5EB52">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highlight w:val="magenta"/>
          <w:lang w:bidi="ar"/>
        </w:rPr>
        <w:t>回复：</w:t>
      </w:r>
      <w:r>
        <w:rPr>
          <w:rFonts w:hint="eastAsia" w:ascii="宋体" w:hAnsi="宋体" w:eastAsia="宋体" w:cs="宋体"/>
          <w:sz w:val="24"/>
          <w:szCs w:val="24"/>
          <w:highlight w:val="magenta"/>
        </w:rPr>
        <w:t>贴木皮做开放漆工艺</w:t>
      </w:r>
    </w:p>
    <w:p w14:paraId="7DFBF604">
      <w:pPr>
        <w:numPr>
          <w:ilvl w:val="0"/>
          <w:numId w:val="40"/>
        </w:numPr>
        <w:jc w:val="left"/>
        <w:rPr>
          <w:rFonts w:hint="eastAsia" w:ascii="宋体" w:hAnsi="宋体" w:eastAsia="宋体" w:cs="宋体"/>
          <w:sz w:val="24"/>
          <w:szCs w:val="24"/>
        </w:rPr>
      </w:pPr>
      <w:r>
        <w:rPr>
          <w:rFonts w:hint="eastAsia" w:ascii="宋体" w:hAnsi="宋体" w:eastAsia="宋体" w:cs="宋体"/>
          <w:sz w:val="24"/>
          <w:szCs w:val="24"/>
        </w:rPr>
        <w:t>根据图纸显示，所有木质门均为正反密度板竖贴木皮饰面，请问该项工艺是采用</w:t>
      </w:r>
      <w:bookmarkStart w:id="0" w:name="OLE_LINK1"/>
      <w:r>
        <w:rPr>
          <w:rFonts w:hint="eastAsia" w:ascii="宋体" w:hAnsi="宋体" w:eastAsia="宋体" w:cs="宋体"/>
          <w:sz w:val="24"/>
          <w:szCs w:val="24"/>
        </w:rPr>
        <w:t>科技木皮竖贴</w:t>
      </w:r>
      <w:bookmarkEnd w:id="0"/>
      <w:r>
        <w:rPr>
          <w:rFonts w:hint="eastAsia" w:ascii="宋体" w:hAnsi="宋体" w:eastAsia="宋体" w:cs="宋体"/>
          <w:sz w:val="24"/>
          <w:szCs w:val="24"/>
        </w:rPr>
        <w:t>还是采用原木木皮，请明确木皮所用材质。</w:t>
      </w:r>
    </w:p>
    <w:p w14:paraId="7CA27184">
      <w:pPr>
        <w:jc w:val="left"/>
        <w:rPr>
          <w:rFonts w:hint="eastAsia" w:ascii="宋体" w:hAnsi="宋体" w:eastAsia="宋体" w:cs="宋体"/>
          <w:color w:val="000000"/>
          <w:kern w:val="0"/>
          <w:sz w:val="24"/>
          <w:szCs w:val="24"/>
          <w:lang w:bidi="ar"/>
        </w:rPr>
      </w:pPr>
      <w:r>
        <w:rPr>
          <w:rFonts w:hint="eastAsia" w:ascii="宋体" w:hAnsi="宋体" w:eastAsia="宋体" w:cs="宋体"/>
          <w:sz w:val="24"/>
          <w:szCs w:val="24"/>
        </w:rPr>
        <w:drawing>
          <wp:inline distT="0" distB="0" distL="114300" distR="114300">
            <wp:extent cx="3062605" cy="3344545"/>
            <wp:effectExtent l="0" t="0" r="4445" b="825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3062605" cy="3344545"/>
                    </a:xfrm>
                    <a:prstGeom prst="rect">
                      <a:avLst/>
                    </a:prstGeom>
                    <a:noFill/>
                    <a:ln>
                      <a:noFill/>
                    </a:ln>
                  </pic:spPr>
                </pic:pic>
              </a:graphicData>
            </a:graphic>
          </wp:inline>
        </w:drawing>
      </w:r>
    </w:p>
    <w:p w14:paraId="3DABDC46">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highlight w:val="magenta"/>
          <w:lang w:bidi="ar"/>
        </w:rPr>
        <w:t>回复：</w:t>
      </w:r>
      <w:r>
        <w:rPr>
          <w:rFonts w:hint="eastAsia" w:ascii="宋体" w:hAnsi="宋体" w:eastAsia="宋体" w:cs="宋体"/>
          <w:sz w:val="24"/>
          <w:szCs w:val="24"/>
          <w:highlight w:val="magenta"/>
        </w:rPr>
        <w:t>科技木皮竖贴</w:t>
      </w:r>
    </w:p>
    <w:p w14:paraId="1F29EBF5">
      <w:pPr>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5、本项目为固定总价合同，如清单工程量（招标图纸为准）与现场工程量相差较大，结算时，是否以现场工程量为准？请明确。</w:t>
      </w:r>
    </w:p>
    <w:p w14:paraId="590266F6">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回复：</w:t>
      </w:r>
      <w:r>
        <w:rPr>
          <w:rFonts w:hint="eastAsia" w:ascii="宋体" w:hAnsi="宋体" w:eastAsia="宋体" w:cs="宋体"/>
          <w:color w:val="000000"/>
          <w:sz w:val="24"/>
          <w:szCs w:val="24"/>
          <w:highlight w:val="yellow"/>
          <w:lang w:bidi="ar"/>
        </w:rPr>
        <w:t>工程量按招标图计算，现场与招标图不一致时，经甲方确认后出具设计变更或者签证。无变更签证，结算不调整。</w:t>
      </w:r>
    </w:p>
    <w:p w14:paraId="0663AA99">
      <w:pPr>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6、此项目水电如何计费，请明确；</w:t>
      </w:r>
    </w:p>
    <w:p w14:paraId="0A69A167">
      <w:pPr>
        <w:pStyle w:val="3"/>
        <w:ind w:firstLine="0"/>
        <w:rPr>
          <w:rFonts w:hint="eastAsia" w:ascii="宋体" w:hAnsi="宋体" w:eastAsia="宋体" w:cs="宋体"/>
          <w:color w:val="000000"/>
          <w:kern w:val="0"/>
          <w:sz w:val="24"/>
          <w:szCs w:val="24"/>
          <w:highlight w:val="yellow"/>
          <w:lang w:bidi="ar"/>
        </w:rPr>
      </w:pPr>
      <w:r>
        <w:rPr>
          <w:rFonts w:hint="eastAsia" w:ascii="宋体" w:hAnsi="宋体" w:eastAsia="宋体" w:cs="宋体"/>
          <w:color w:val="000000"/>
          <w:sz w:val="24"/>
          <w:szCs w:val="24"/>
          <w:lang w:bidi="ar"/>
        </w:rPr>
        <w:t>回复：</w:t>
      </w:r>
      <w:r>
        <w:rPr>
          <w:rFonts w:hint="eastAsia" w:ascii="宋体" w:hAnsi="宋体" w:eastAsia="宋体" w:cs="宋体"/>
          <w:color w:val="000000"/>
          <w:sz w:val="24"/>
          <w:szCs w:val="24"/>
          <w:highlight w:val="yellow"/>
          <w:lang w:bidi="ar"/>
        </w:rPr>
        <w:t>可以单独挂表，可以从总包处接，费用自理。</w:t>
      </w:r>
    </w:p>
    <w:p w14:paraId="0733ADF1">
      <w:pPr>
        <w:widowControl/>
        <w:jc w:val="left"/>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7、此项目施工垃圾归置在场内指定位置还是由是施工方直接外运？如归置在指定位置是否收费费用，如有总包归置，是否分摊费用，分摊比例是多少，需要支付多少费用，请明确；</w:t>
      </w:r>
    </w:p>
    <w:p w14:paraId="501D5DE1">
      <w:pPr>
        <w:pStyle w:val="3"/>
        <w:ind w:firstLine="0"/>
        <w:rPr>
          <w:rFonts w:hint="eastAsia" w:ascii="宋体" w:hAnsi="宋体" w:eastAsia="宋体" w:cs="宋体"/>
          <w:color w:val="0000FF"/>
          <w:sz w:val="24"/>
          <w:szCs w:val="24"/>
          <w:lang w:bidi="ar"/>
        </w:rPr>
      </w:pPr>
      <w:r>
        <w:rPr>
          <w:rFonts w:hint="eastAsia" w:ascii="宋体" w:hAnsi="宋体" w:eastAsia="宋体" w:cs="宋体"/>
          <w:color w:val="000000"/>
          <w:sz w:val="24"/>
          <w:szCs w:val="24"/>
          <w:lang w:bidi="ar"/>
        </w:rPr>
        <w:t>回复：</w:t>
      </w:r>
      <w:r>
        <w:rPr>
          <w:rFonts w:hint="eastAsia" w:ascii="宋体" w:hAnsi="宋体" w:eastAsia="宋体" w:cs="宋体"/>
          <w:color w:val="0000FF"/>
          <w:sz w:val="24"/>
          <w:szCs w:val="24"/>
          <w:lang w:bidi="ar"/>
        </w:rPr>
        <w:t>由分包单位自行外运，临时堆放点由甲方指定。若分包单位不外运，甲方安排第三方外运的扣除分包单位费用</w:t>
      </w:r>
    </w:p>
    <w:p w14:paraId="29B61E83">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8、是否有安全文明押金，如有收费标准是多少？请明确。</w:t>
      </w:r>
    </w:p>
    <w:p w14:paraId="2EDDB573">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回复：</w:t>
      </w:r>
      <w:r>
        <w:rPr>
          <w:rFonts w:hint="eastAsia" w:ascii="宋体" w:hAnsi="宋体" w:eastAsia="宋体" w:cs="宋体"/>
          <w:color w:val="0000FF"/>
          <w:sz w:val="24"/>
          <w:szCs w:val="24"/>
          <w:lang w:bidi="ar"/>
        </w:rPr>
        <w:t>有，10000元，施工完成后退回</w:t>
      </w:r>
    </w:p>
    <w:p w14:paraId="503C7F10">
      <w:pPr>
        <w:pStyle w:val="3"/>
        <w:ind w:firstLine="0"/>
        <w:rPr>
          <w:rFonts w:hint="eastAsia" w:ascii="宋体" w:hAnsi="宋体" w:eastAsia="宋体" w:cs="宋体"/>
          <w:sz w:val="24"/>
          <w:szCs w:val="24"/>
        </w:rPr>
      </w:pPr>
      <w:r>
        <w:rPr>
          <w:rFonts w:hint="eastAsia" w:ascii="宋体" w:hAnsi="宋体" w:eastAsia="宋体" w:cs="宋体"/>
          <w:color w:val="000000"/>
          <w:sz w:val="24"/>
          <w:szCs w:val="24"/>
          <w:lang w:bidi="ar"/>
        </w:rPr>
        <w:t>9、</w:t>
      </w:r>
      <w:r>
        <w:rPr>
          <w:rFonts w:hint="eastAsia" w:ascii="宋体" w:hAnsi="宋体" w:eastAsia="宋体" w:cs="宋体"/>
          <w:sz w:val="24"/>
          <w:szCs w:val="24"/>
        </w:rPr>
        <w:t>请贵司明确成品不锈钢踢脚线材质是201的还是304的？</w:t>
      </w:r>
    </w:p>
    <w:p w14:paraId="0839252B">
      <w:pPr>
        <w:pStyle w:val="3"/>
        <w:ind w:firstLine="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427605" cy="993140"/>
            <wp:effectExtent l="0" t="0" r="10795" b="165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2427605" cy="993140"/>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860425" cy="1431925"/>
            <wp:effectExtent l="0" t="0" r="15875"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860425" cy="1431925"/>
                    </a:xfrm>
                    <a:prstGeom prst="rect">
                      <a:avLst/>
                    </a:prstGeom>
                    <a:noFill/>
                    <a:ln>
                      <a:noFill/>
                    </a:ln>
                  </pic:spPr>
                </pic:pic>
              </a:graphicData>
            </a:graphic>
          </wp:inline>
        </w:drawing>
      </w:r>
    </w:p>
    <w:p w14:paraId="3C53CCC3">
      <w:pPr>
        <w:pStyle w:val="3"/>
        <w:ind w:firstLine="0"/>
        <w:rPr>
          <w:rFonts w:hint="default" w:ascii="宋体" w:hAnsi="宋体" w:eastAsia="宋体" w:cs="宋体"/>
          <w:sz w:val="24"/>
          <w:szCs w:val="24"/>
          <w:lang w:val="en-US" w:eastAsia="zh-CN"/>
        </w:rPr>
      </w:pPr>
      <w:r>
        <w:rPr>
          <w:rFonts w:hint="eastAsia" w:ascii="宋体" w:hAnsi="宋体" w:eastAsia="宋体" w:cs="宋体"/>
          <w:color w:val="000000"/>
          <w:sz w:val="24"/>
          <w:szCs w:val="24"/>
          <w:lang w:bidi="ar"/>
        </w:rPr>
        <w:t>回复：</w:t>
      </w:r>
      <w:r>
        <w:rPr>
          <w:rFonts w:hint="eastAsia" w:ascii="宋体" w:hAnsi="宋体" w:eastAsia="宋体" w:cs="宋体"/>
          <w:sz w:val="24"/>
          <w:szCs w:val="24"/>
        </w:rPr>
        <w:t>成品铝合金踢脚线</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详见材料表</w:t>
      </w:r>
    </w:p>
    <w:p w14:paraId="6D8680A1">
      <w:pPr>
        <w:pStyle w:val="3"/>
        <w:ind w:firstLine="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10、玻璃门厚度、门口金属造型架构做法，请明确。</w:t>
      </w:r>
    </w:p>
    <w:p w14:paraId="6C9F766B">
      <w:pPr>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rPr>
        <w:drawing>
          <wp:inline distT="0" distB="0" distL="114300" distR="114300">
            <wp:extent cx="5264785" cy="2463165"/>
            <wp:effectExtent l="0" t="0" r="12065" b="133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8"/>
                    <a:stretch>
                      <a:fillRect/>
                    </a:stretch>
                  </pic:blipFill>
                  <pic:spPr>
                    <a:xfrm>
                      <a:off x="0" y="0"/>
                      <a:ext cx="5264785" cy="2463165"/>
                    </a:xfrm>
                    <a:prstGeom prst="rect">
                      <a:avLst/>
                    </a:prstGeom>
                    <a:noFill/>
                    <a:ln>
                      <a:noFill/>
                    </a:ln>
                  </pic:spPr>
                </pic:pic>
              </a:graphicData>
            </a:graphic>
          </wp:inline>
        </w:drawing>
      </w:r>
    </w:p>
    <w:p w14:paraId="785C4A24">
      <w:pPr>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highlight w:val="magenta"/>
          <w:lang w:bidi="ar"/>
        </w:rPr>
        <w:t>回复：自行申报，备注规格型号，市场常用产品。</w:t>
      </w:r>
    </w:p>
    <w:p w14:paraId="666F4CC8">
      <w:pPr>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11、请问，是否严格按照材料品牌表中的一个品牌报价。</w:t>
      </w:r>
    </w:p>
    <w:p w14:paraId="519B9BB1">
      <w:pPr>
        <w:jc w:val="left"/>
        <w:rPr>
          <w:rFonts w:hint="eastAsia" w:ascii="宋体" w:hAnsi="宋体" w:eastAsia="宋体" w:cs="宋体"/>
          <w:color w:val="000000"/>
          <w:kern w:val="0"/>
          <w:sz w:val="24"/>
          <w:szCs w:val="24"/>
          <w:highlight w:val="yellow"/>
          <w:lang w:bidi="ar"/>
        </w:rPr>
      </w:pPr>
      <w:r>
        <w:rPr>
          <w:rFonts w:hint="eastAsia" w:ascii="宋体" w:hAnsi="宋体" w:eastAsia="宋体" w:cs="宋体"/>
          <w:color w:val="000000"/>
          <w:kern w:val="0"/>
          <w:sz w:val="24"/>
          <w:szCs w:val="24"/>
          <w:highlight w:val="yellow"/>
          <w:lang w:bidi="ar"/>
        </w:rPr>
        <w:t>回复：均按要求报价，其中洁具厨具甲方仍具有随时甲供的权利</w:t>
      </w:r>
    </w:p>
    <w:p w14:paraId="694B71D9">
      <w:pPr>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12、清单地面瓷砖编号为：CT-06，阳台地面瓷砖是CI-04，但材料表中没有此编号，请明确是否是CT-01。</w:t>
      </w:r>
    </w:p>
    <w:p w14:paraId="386615F9">
      <w:pPr>
        <w:jc w:val="left"/>
        <w:rPr>
          <w:rFonts w:hint="eastAsia" w:ascii="宋体" w:hAnsi="宋体" w:eastAsia="宋体" w:cs="宋体"/>
          <w:color w:val="000000"/>
          <w:kern w:val="0"/>
          <w:sz w:val="24"/>
          <w:szCs w:val="24"/>
          <w:highlight w:val="yellow"/>
          <w:lang w:bidi="ar"/>
        </w:rPr>
      </w:pPr>
      <w:r>
        <w:rPr>
          <w:rFonts w:hint="eastAsia" w:ascii="宋体" w:hAnsi="宋体" w:eastAsia="宋体" w:cs="宋体"/>
          <w:color w:val="000000"/>
          <w:kern w:val="0"/>
          <w:sz w:val="24"/>
          <w:szCs w:val="24"/>
          <w:highlight w:val="yellow"/>
          <w:lang w:bidi="ar"/>
        </w:rPr>
        <w:t>回复：清单调整：客餐厅、卧室、阳台、厨房、卫生间地面及过门石砖为ct01，</w:t>
      </w:r>
    </w:p>
    <w:p w14:paraId="67477BE4">
      <w:pPr>
        <w:jc w:val="left"/>
        <w:rPr>
          <w:rFonts w:hint="eastAsia" w:ascii="宋体" w:hAnsi="宋体" w:eastAsia="宋体" w:cs="宋体"/>
          <w:color w:val="000000"/>
          <w:kern w:val="0"/>
          <w:sz w:val="24"/>
          <w:szCs w:val="24"/>
          <w:highlight w:val="yellow"/>
          <w:lang w:bidi="ar"/>
        </w:rPr>
      </w:pPr>
      <w:r>
        <w:rPr>
          <w:rFonts w:hint="eastAsia" w:ascii="宋体" w:hAnsi="宋体" w:eastAsia="宋体" w:cs="宋体"/>
          <w:color w:val="000000"/>
          <w:kern w:val="0"/>
          <w:sz w:val="24"/>
          <w:szCs w:val="24"/>
          <w:highlight w:val="yellow"/>
          <w:lang w:bidi="ar"/>
        </w:rPr>
        <w:t xml:space="preserve"> 阳台、厨房及卫生间墙面砖为ct02 </w:t>
      </w:r>
    </w:p>
    <w:p w14:paraId="7F17D442">
      <w:pPr>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13、清单中厨房、卫生间墙面砖为CT-03。材料表中CT-03为岩板，CT-02为厨卫墙面，请明确厨卫墙砖是否为CT-02。阳台墙砖为CT-04，材料表中无此编号，请明确阳台墙砖是否为CT-02。</w:t>
      </w:r>
    </w:p>
    <w:p w14:paraId="4B2C5BE7">
      <w:pPr>
        <w:jc w:val="left"/>
        <w:rPr>
          <w:rFonts w:hint="eastAsia" w:ascii="宋体" w:hAnsi="宋体" w:eastAsia="宋体" w:cs="宋体"/>
          <w:color w:val="000000"/>
          <w:kern w:val="0"/>
          <w:sz w:val="24"/>
          <w:szCs w:val="24"/>
          <w:highlight w:val="yellow"/>
          <w:lang w:bidi="ar"/>
        </w:rPr>
      </w:pPr>
      <w:r>
        <w:rPr>
          <w:rFonts w:hint="eastAsia" w:ascii="宋体" w:hAnsi="宋体" w:eastAsia="宋体" w:cs="宋体"/>
          <w:color w:val="000000"/>
          <w:kern w:val="0"/>
          <w:sz w:val="24"/>
          <w:szCs w:val="24"/>
          <w:highlight w:val="yellow"/>
          <w:lang w:bidi="ar"/>
        </w:rPr>
        <w:t>回复：清单调整：客餐厅、卧室、阳台、厨房、卫生间地面及过门石砖为ct01，</w:t>
      </w:r>
    </w:p>
    <w:p w14:paraId="1F7DF5B6">
      <w:pPr>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highlight w:val="yellow"/>
          <w:lang w:bidi="ar"/>
        </w:rPr>
        <w:t xml:space="preserve"> 阳台、厨房及卫生间墙面砖为ct02 </w:t>
      </w:r>
    </w:p>
    <w:p w14:paraId="27F360C1">
      <w:pPr>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14、清单中，厨卫吊顶为300*300铝扣板，图纸和材料表中为300*600铝扣板，请明确型号。</w:t>
      </w:r>
    </w:p>
    <w:p w14:paraId="7C5FF6F5">
      <w:pPr>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回复：</w:t>
      </w:r>
      <w:r>
        <w:rPr>
          <w:rFonts w:hint="eastAsia" w:ascii="宋体" w:hAnsi="宋体" w:eastAsia="宋体" w:cs="宋体"/>
          <w:color w:val="000000"/>
          <w:kern w:val="0"/>
          <w:sz w:val="24"/>
          <w:szCs w:val="24"/>
          <w:highlight w:val="yellow"/>
          <w:lang w:bidi="ar"/>
        </w:rPr>
        <w:t>清单调整：</w:t>
      </w:r>
      <w:r>
        <w:rPr>
          <w:rFonts w:hint="eastAsia" w:ascii="宋体" w:hAnsi="宋体" w:eastAsia="宋体" w:cs="宋体"/>
          <w:color w:val="000000"/>
          <w:kern w:val="0"/>
          <w:sz w:val="24"/>
          <w:szCs w:val="24"/>
          <w:lang w:bidi="ar"/>
        </w:rPr>
        <w:t>300*600铝扣板</w:t>
      </w:r>
    </w:p>
    <w:p w14:paraId="4673D101">
      <w:pPr>
        <w:numPr>
          <w:ilvl w:val="0"/>
          <w:numId w:val="41"/>
        </w:numPr>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请明确厨房墙地面是否需要做防水？</w:t>
      </w:r>
    </w:p>
    <w:p w14:paraId="48F96195">
      <w:pPr>
        <w:jc w:val="left"/>
        <w:rPr>
          <w:rFonts w:hint="eastAsia" w:ascii="宋体" w:hAnsi="宋体" w:eastAsia="宋体" w:cs="宋体"/>
          <w:sz w:val="24"/>
          <w:szCs w:val="24"/>
        </w:rPr>
      </w:pPr>
      <w:r>
        <w:rPr>
          <w:rFonts w:hint="eastAsia" w:ascii="宋体" w:hAnsi="宋体" w:eastAsia="宋体" w:cs="宋体"/>
          <w:color w:val="000000"/>
          <w:kern w:val="0"/>
          <w:sz w:val="24"/>
          <w:szCs w:val="24"/>
          <w:lang w:bidi="ar"/>
        </w:rPr>
        <w:t>回复：清单中未考虑，现场若需要，按签证处理。</w:t>
      </w:r>
    </w:p>
    <w:p w14:paraId="2E68B566">
      <w:pPr>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16、F户型阳台墙面瓷砖我司测算工程量为17.28m2,请贵司复核。</w:t>
      </w:r>
    </w:p>
    <w:p w14:paraId="537794ED">
      <w:pPr>
        <w:ind w:firstLine="480" w:firstLineChars="2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E户型阳台墙面瓷砖我司测算工程量为15.56m2,请贵司复核。</w:t>
      </w:r>
    </w:p>
    <w:p w14:paraId="507E1FA7">
      <w:pPr>
        <w:ind w:firstLine="480" w:firstLineChars="2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F1户型阳台墙面瓷砖我司测算工程量为18.08m2,请贵司复核。</w:t>
      </w:r>
    </w:p>
    <w:p w14:paraId="6A9062CC">
      <w:pPr>
        <w:ind w:firstLine="480" w:firstLineChars="2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G户型阳台墙面瓷砖我司测算工程量为15.36m2,请贵司复核。</w:t>
      </w:r>
    </w:p>
    <w:p w14:paraId="0B55F2C1">
      <w:pPr>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回复：经核实清单调整如下，F户型阳台墙面瓷砖工程量为16.204m2。</w:t>
      </w:r>
    </w:p>
    <w:p w14:paraId="2E29688C">
      <w:pPr>
        <w:ind w:firstLine="480" w:firstLineChars="2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E户型阳台墙面瓷砖工程量为15.29m2。</w:t>
      </w:r>
    </w:p>
    <w:p w14:paraId="0C47CD2D">
      <w:pPr>
        <w:ind w:firstLine="480" w:firstLineChars="2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F1户型阳台墙面瓷砖工程量为30.206m2。</w:t>
      </w:r>
    </w:p>
    <w:p w14:paraId="4C3F9891">
      <w:pPr>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bidi="ar"/>
        </w:rPr>
        <w:t>G户型阳台墙面瓷砖工程量为27.43m2。详见清单</w:t>
      </w:r>
    </w:p>
    <w:p w14:paraId="58F2FC89">
      <w:pPr>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rPr>
        <w:drawing>
          <wp:anchor distT="0" distB="0" distL="114300" distR="114300" simplePos="0" relativeHeight="251661312" behindDoc="0" locked="0" layoutInCell="1" allowOverlap="1">
            <wp:simplePos x="0" y="0"/>
            <wp:positionH relativeFrom="column">
              <wp:posOffset>20320</wp:posOffset>
            </wp:positionH>
            <wp:positionV relativeFrom="paragraph">
              <wp:posOffset>616585</wp:posOffset>
            </wp:positionV>
            <wp:extent cx="4265930" cy="809625"/>
            <wp:effectExtent l="0" t="0" r="1270" b="9525"/>
            <wp:wrapTopAndBottom/>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9"/>
                    <a:srcRect r="1568"/>
                    <a:stretch>
                      <a:fillRect/>
                    </a:stretch>
                  </pic:blipFill>
                  <pic:spPr>
                    <a:xfrm>
                      <a:off x="0" y="0"/>
                      <a:ext cx="4265930" cy="809625"/>
                    </a:xfrm>
                    <a:prstGeom prst="rect">
                      <a:avLst/>
                    </a:prstGeom>
                    <a:noFill/>
                    <a:ln>
                      <a:noFill/>
                    </a:ln>
                  </pic:spPr>
                </pic:pic>
              </a:graphicData>
            </a:graphic>
          </wp:anchor>
        </w:drawing>
      </w:r>
      <w:r>
        <w:rPr>
          <w:rFonts w:hint="eastAsia" w:ascii="宋体" w:hAnsi="宋体" w:eastAsia="宋体" w:cs="宋体"/>
          <w:color w:val="000000"/>
          <w:kern w:val="0"/>
          <w:sz w:val="24"/>
          <w:szCs w:val="24"/>
          <w:lang w:bidi="ar"/>
        </w:rPr>
        <w:t>17、如下图，清单安装部分配管清单描述“吊顶内配管及建筑图与精装图不符的配管”，请贵司提供建筑图。</w:t>
      </w:r>
    </w:p>
    <w:p w14:paraId="7799E8A5">
      <w:pPr>
        <w:jc w:val="left"/>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color w:val="000000"/>
          <w:kern w:val="0"/>
          <w:sz w:val="24"/>
          <w:szCs w:val="24"/>
          <w:highlight w:val="yellow"/>
          <w:lang w:val="en-US" w:eastAsia="zh-CN" w:bidi="ar"/>
        </w:rPr>
        <w:t>回复：需要踏勘现场，主体部分已按精装图纸预埋到位，二次结构未施工，未预埋配管，需要考虑二次墙体的配管，结合精装图墙体综合考虑进行报价；</w:t>
      </w:r>
    </w:p>
    <w:p w14:paraId="4BFF0FC7">
      <w:pPr>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18、物料表及图纸地面瓷砖均为CT-01,墙面瓷砖均为CT-02，清单描述墙地砖有好几个名称，请贵司明确。</w:t>
      </w:r>
    </w:p>
    <w:p w14:paraId="28064928">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rPr>
        <w:drawing>
          <wp:anchor distT="0" distB="0" distL="114300" distR="114300" simplePos="0" relativeHeight="251663360" behindDoc="0" locked="0" layoutInCell="1" allowOverlap="1">
            <wp:simplePos x="0" y="0"/>
            <wp:positionH relativeFrom="column">
              <wp:posOffset>1126490</wp:posOffset>
            </wp:positionH>
            <wp:positionV relativeFrom="paragraph">
              <wp:posOffset>156210</wp:posOffset>
            </wp:positionV>
            <wp:extent cx="1865630" cy="1463675"/>
            <wp:effectExtent l="0" t="0" r="1270" b="3175"/>
            <wp:wrapTopAndBottom/>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0"/>
                    <a:stretch>
                      <a:fillRect/>
                    </a:stretch>
                  </pic:blipFill>
                  <pic:spPr>
                    <a:xfrm>
                      <a:off x="0" y="0"/>
                      <a:ext cx="1865630" cy="1463675"/>
                    </a:xfrm>
                    <a:prstGeom prst="rect">
                      <a:avLst/>
                    </a:prstGeom>
                    <a:noFill/>
                    <a:ln>
                      <a:noFill/>
                    </a:ln>
                  </pic:spPr>
                </pic:pic>
              </a:graphicData>
            </a:graphic>
          </wp:anchor>
        </w:drawing>
      </w:r>
      <w:r>
        <w:rPr>
          <w:rFonts w:hint="eastAsia" w:ascii="宋体" w:hAnsi="宋体" w:eastAsia="宋体" w:cs="宋体"/>
          <w:color w:val="000000"/>
          <w:sz w:val="24"/>
          <w:szCs w:val="24"/>
        </w:rPr>
        <w:drawing>
          <wp:anchor distT="0" distB="0" distL="114300" distR="114300" simplePos="0" relativeHeight="251662336" behindDoc="0" locked="0" layoutInCell="1" allowOverlap="1">
            <wp:simplePos x="0" y="0"/>
            <wp:positionH relativeFrom="column">
              <wp:posOffset>-62230</wp:posOffset>
            </wp:positionH>
            <wp:positionV relativeFrom="paragraph">
              <wp:posOffset>202565</wp:posOffset>
            </wp:positionV>
            <wp:extent cx="979170" cy="1359535"/>
            <wp:effectExtent l="0" t="0" r="11430" b="12065"/>
            <wp:wrapTopAndBottom/>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1"/>
                    <a:stretch>
                      <a:fillRect/>
                    </a:stretch>
                  </pic:blipFill>
                  <pic:spPr>
                    <a:xfrm>
                      <a:off x="0" y="0"/>
                      <a:ext cx="979170" cy="1359535"/>
                    </a:xfrm>
                    <a:prstGeom prst="rect">
                      <a:avLst/>
                    </a:prstGeom>
                    <a:noFill/>
                    <a:ln>
                      <a:noFill/>
                    </a:ln>
                  </pic:spPr>
                </pic:pic>
              </a:graphicData>
            </a:graphic>
          </wp:anchor>
        </w:drawing>
      </w:r>
    </w:p>
    <w:p w14:paraId="1869991A">
      <w:pPr>
        <w:jc w:val="left"/>
        <w:rPr>
          <w:rFonts w:hint="eastAsia" w:ascii="宋体" w:hAnsi="宋体" w:eastAsia="宋体" w:cs="宋体"/>
          <w:color w:val="000000"/>
          <w:kern w:val="0"/>
          <w:sz w:val="24"/>
          <w:szCs w:val="24"/>
          <w:highlight w:val="yellow"/>
          <w:lang w:bidi="ar"/>
        </w:rPr>
      </w:pPr>
      <w:r>
        <w:rPr>
          <w:rFonts w:hint="eastAsia" w:ascii="宋体" w:hAnsi="宋体" w:eastAsia="宋体" w:cs="宋体"/>
          <w:color w:val="000000"/>
          <w:kern w:val="0"/>
          <w:sz w:val="24"/>
          <w:szCs w:val="24"/>
          <w:lang w:bidi="ar"/>
        </w:rPr>
        <w:t>回复：</w:t>
      </w:r>
      <w:r>
        <w:rPr>
          <w:rFonts w:hint="eastAsia" w:ascii="宋体" w:hAnsi="宋体" w:eastAsia="宋体" w:cs="宋体"/>
          <w:color w:val="000000"/>
          <w:kern w:val="0"/>
          <w:sz w:val="24"/>
          <w:szCs w:val="24"/>
          <w:highlight w:val="yellow"/>
          <w:lang w:bidi="ar"/>
        </w:rPr>
        <w:t>清单调整：客餐厅、卧室、阳台、厨房、卫生间地面及过门石砖为ct01，</w:t>
      </w:r>
    </w:p>
    <w:p w14:paraId="27D6E369">
      <w:pPr>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highlight w:val="yellow"/>
          <w:lang w:bidi="ar"/>
        </w:rPr>
        <w:t xml:space="preserve"> 阳台、厨房及卫生间墙面砖为ct02 </w:t>
      </w:r>
    </w:p>
    <w:p w14:paraId="7830E75D">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19、20mm厚成品预制管笼包排水管是否在本次招标范围内？清单未计量。</w:t>
      </w:r>
    </w:p>
    <w:p w14:paraId="4F597C54">
      <w:pPr>
        <w:pStyle w:val="3"/>
        <w:ind w:firstLine="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799465" cy="920750"/>
            <wp:effectExtent l="0" t="0" r="635" b="1270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2"/>
                    <a:stretch>
                      <a:fillRect/>
                    </a:stretch>
                  </pic:blipFill>
                  <pic:spPr>
                    <a:xfrm>
                      <a:off x="0" y="0"/>
                      <a:ext cx="799465" cy="920750"/>
                    </a:xfrm>
                    <a:prstGeom prst="rect">
                      <a:avLst/>
                    </a:prstGeom>
                    <a:noFill/>
                    <a:ln>
                      <a:noFill/>
                    </a:ln>
                  </pic:spPr>
                </pic:pic>
              </a:graphicData>
            </a:graphic>
          </wp:inline>
        </w:drawing>
      </w:r>
    </w:p>
    <w:p w14:paraId="3D32E9DD">
      <w:pPr>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回复：在</w:t>
      </w:r>
    </w:p>
    <w:p w14:paraId="7A691D9C">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20、门套石材靴是否在本次招标范围内？清单未计量</w:t>
      </w:r>
    </w:p>
    <w:p w14:paraId="65723495">
      <w:pPr>
        <w:pStyle w:val="3"/>
        <w:ind w:firstLine="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177925" cy="781685"/>
            <wp:effectExtent l="0" t="0" r="3175" b="1841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3"/>
                    <a:stretch>
                      <a:fillRect/>
                    </a:stretch>
                  </pic:blipFill>
                  <pic:spPr>
                    <a:xfrm>
                      <a:off x="0" y="0"/>
                      <a:ext cx="1177925" cy="781685"/>
                    </a:xfrm>
                    <a:prstGeom prst="rect">
                      <a:avLst/>
                    </a:prstGeom>
                    <a:noFill/>
                    <a:ln>
                      <a:noFill/>
                    </a:ln>
                  </pic:spPr>
                </pic:pic>
              </a:graphicData>
            </a:graphic>
          </wp:inline>
        </w:drawing>
      </w:r>
    </w:p>
    <w:p w14:paraId="7F2C5BAE">
      <w:pPr>
        <w:pStyle w:val="3"/>
        <w:ind w:firstLine="0"/>
        <w:rPr>
          <w:rFonts w:hint="eastAsia" w:ascii="宋体" w:hAnsi="宋体" w:eastAsia="宋体" w:cs="宋体"/>
          <w:sz w:val="24"/>
          <w:szCs w:val="24"/>
          <w:highlight w:val="yellow"/>
        </w:rPr>
      </w:pPr>
      <w:r>
        <w:rPr>
          <w:rFonts w:hint="eastAsia" w:ascii="宋体" w:hAnsi="宋体" w:eastAsia="宋体" w:cs="宋体"/>
          <w:sz w:val="24"/>
          <w:szCs w:val="24"/>
          <w:highlight w:val="yellow"/>
        </w:rPr>
        <w:t>回复：取消，此门为铝板合金门</w:t>
      </w:r>
    </w:p>
    <w:p w14:paraId="7C8011A2">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21、燃气热水器、抽油烟机及燃气灶无选型资料。</w:t>
      </w:r>
    </w:p>
    <w:p w14:paraId="2CFD6E31">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回复：按品牌报选型图片（自己报送）。</w:t>
      </w:r>
    </w:p>
    <w:p w14:paraId="29CF97FA">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22、浴室柜是否在本次招标范围？</w:t>
      </w:r>
    </w:p>
    <w:p w14:paraId="6A4E751A">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回复：是</w:t>
      </w:r>
    </w:p>
    <w:p w14:paraId="655FB2F2">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23、G户型清单中-玻璃隔断，图纸中未显示玻璃隔断。</w:t>
      </w:r>
    </w:p>
    <w:p w14:paraId="3E56B812">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回复：已经取消，</w:t>
      </w:r>
    </w:p>
    <w:p w14:paraId="5E6A8C19">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24、G户型清单中-玄关柜尺寸为900*2450mm，图纸尺寸为800*1050mm，以哪个尺寸为准？</w:t>
      </w:r>
    </w:p>
    <w:p w14:paraId="1C9C468B">
      <w:pPr>
        <w:pStyle w:val="3"/>
        <w:ind w:firstLine="0"/>
        <w:rPr>
          <w:rFonts w:hint="eastAsia" w:ascii="宋体" w:hAnsi="宋体" w:eastAsia="宋体" w:cs="宋体"/>
          <w:color w:val="000000"/>
          <w:sz w:val="24"/>
          <w:szCs w:val="24"/>
          <w:lang w:bidi="ar"/>
        </w:rPr>
      </w:pPr>
      <w:r>
        <w:rPr>
          <w:rFonts w:hint="eastAsia" w:ascii="宋体" w:hAnsi="宋体" w:eastAsia="宋体" w:cs="宋体"/>
          <w:sz w:val="24"/>
          <w:szCs w:val="24"/>
        </w:rPr>
        <w:drawing>
          <wp:inline distT="0" distB="0" distL="114300" distR="114300">
            <wp:extent cx="3197225" cy="720090"/>
            <wp:effectExtent l="0" t="0" r="3175" b="381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4"/>
                    <a:stretch>
                      <a:fillRect/>
                    </a:stretch>
                  </pic:blipFill>
                  <pic:spPr>
                    <a:xfrm>
                      <a:off x="0" y="0"/>
                      <a:ext cx="3197225" cy="720090"/>
                    </a:xfrm>
                    <a:prstGeom prst="rect">
                      <a:avLst/>
                    </a:prstGeom>
                    <a:noFill/>
                    <a:ln>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427480" cy="720090"/>
            <wp:effectExtent l="0" t="0" r="1270" b="381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5"/>
                    <a:stretch>
                      <a:fillRect/>
                    </a:stretch>
                  </pic:blipFill>
                  <pic:spPr>
                    <a:xfrm>
                      <a:off x="0" y="0"/>
                      <a:ext cx="1427480" cy="720090"/>
                    </a:xfrm>
                    <a:prstGeom prst="rect">
                      <a:avLst/>
                    </a:prstGeom>
                    <a:noFill/>
                    <a:ln>
                      <a:noFill/>
                    </a:ln>
                  </pic:spPr>
                </pic:pic>
              </a:graphicData>
            </a:graphic>
          </wp:inline>
        </w:drawing>
      </w:r>
    </w:p>
    <w:p w14:paraId="3B82D4FC">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回复：图纸尺寸为800*1050mm，</w:t>
      </w:r>
    </w:p>
    <w:p w14:paraId="001A6C36">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25、F1户型强弱电箱图纸建议移位，是否按移位施工，清单中箱体移位未计算。</w:t>
      </w:r>
    </w:p>
    <w:p w14:paraId="587A5A2D">
      <w:pPr>
        <w:pStyle w:val="3"/>
        <w:ind w:firstLine="0"/>
        <w:rPr>
          <w:rFonts w:hint="eastAsia" w:ascii="宋体" w:hAnsi="宋体" w:eastAsia="宋体" w:cs="宋体"/>
          <w:color w:val="000000"/>
          <w:sz w:val="24"/>
          <w:szCs w:val="24"/>
          <w:lang w:bidi="ar"/>
        </w:rPr>
      </w:pPr>
      <w:r>
        <w:rPr>
          <w:rFonts w:hint="eastAsia" w:ascii="宋体" w:hAnsi="宋体" w:eastAsia="宋体" w:cs="宋体"/>
          <w:sz w:val="24"/>
          <w:szCs w:val="24"/>
        </w:rPr>
        <w:drawing>
          <wp:inline distT="0" distB="0" distL="114300" distR="114300">
            <wp:extent cx="5337810" cy="1350010"/>
            <wp:effectExtent l="0" t="0" r="0" b="254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6"/>
                    <a:stretch>
                      <a:fillRect/>
                    </a:stretch>
                  </pic:blipFill>
                  <pic:spPr>
                    <a:xfrm>
                      <a:off x="0" y="0"/>
                      <a:ext cx="5540420" cy="1401480"/>
                    </a:xfrm>
                    <a:prstGeom prst="rect">
                      <a:avLst/>
                    </a:prstGeom>
                    <a:noFill/>
                    <a:ln>
                      <a:noFill/>
                    </a:ln>
                  </pic:spPr>
                </pic:pic>
              </a:graphicData>
            </a:graphic>
          </wp:inline>
        </w:drawing>
      </w:r>
    </w:p>
    <w:p w14:paraId="3D8E29BA">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highlight w:val="magenta"/>
          <w:lang w:bidi="ar"/>
        </w:rPr>
        <w:t>回复：按现场实际及图纸进行施工。</w:t>
      </w:r>
    </w:p>
    <w:p w14:paraId="0DE056DB">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26、房门门锁无选型资料</w:t>
      </w:r>
    </w:p>
    <w:p w14:paraId="7DA4B0B7">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highlight w:val="magenta"/>
          <w:lang w:bidi="ar"/>
        </w:rPr>
        <w:t>回复：门锁自行报价，单独送样选型</w:t>
      </w:r>
    </w:p>
    <w:p w14:paraId="06BCD87B">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27、公共走道是否已装修完成？项目各层未装修房屋是否已交房并入住，如有入住业主是否对施工时间段有要求？</w:t>
      </w:r>
    </w:p>
    <w:p w14:paraId="028FD6AA">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回复：交房前施工</w:t>
      </w:r>
    </w:p>
    <w:p w14:paraId="63E33CD0">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28、现场室内电梯是否可以使用，1200*2700岩板能否使用电梯上楼？</w:t>
      </w:r>
    </w:p>
    <w:p w14:paraId="3C7292C7">
      <w:pPr>
        <w:pStyle w:val="3"/>
        <w:ind w:firstLine="0"/>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回复：电梯可正常使用，电梯内尺寸1500*1600*2600（高）。</w:t>
      </w:r>
    </w:p>
    <w:p w14:paraId="2291992C">
      <w:pPr>
        <w:pStyle w:val="3"/>
        <w:ind w:firstLine="0"/>
        <w:rPr>
          <w:rFonts w:hint="eastAsia" w:ascii="宋体" w:hAnsi="宋体" w:eastAsia="宋体" w:cs="宋体"/>
          <w:color w:val="000000"/>
          <w:sz w:val="24"/>
          <w:szCs w:val="24"/>
          <w:lang w:bidi="ar"/>
        </w:rPr>
      </w:pPr>
    </w:p>
    <w:p w14:paraId="2831BD12">
      <w:pPr>
        <w:pStyle w:val="46"/>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p>
    <w:p w14:paraId="5865F4D4">
      <w:pPr>
        <w:pStyle w:val="46"/>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4"/>
          <w:szCs w:val="24"/>
          <w:highlight w:val="none"/>
          <w:lang w:val="en-US" w:eastAsia="zh-CN"/>
        </w:rPr>
      </w:pPr>
    </w:p>
    <w:p w14:paraId="33B2EE90">
      <w:pPr>
        <w:overflowPunct/>
        <w:spacing w:line="360" w:lineRule="auto"/>
        <w:ind w:firstLine="0" w:firstLineChars="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合同附件</w:t>
      </w:r>
      <w:r>
        <w:rPr>
          <w:rFonts w:hint="eastAsia" w:asciiTheme="minorEastAsia" w:hAnsiTheme="minorEastAsia" w:eastAsiaTheme="minorEastAsia" w:cstheme="minorEastAsia"/>
          <w:color w:val="auto"/>
          <w:spacing w:val="8"/>
          <w:szCs w:val="24"/>
          <w:highlight w:val="none"/>
          <w:lang w:eastAsia="zh-CN"/>
        </w:rPr>
        <w:t>八</w:t>
      </w:r>
      <w:r>
        <w:rPr>
          <w:rFonts w:hint="eastAsia" w:asciiTheme="minorEastAsia" w:hAnsiTheme="minorEastAsia" w:eastAsiaTheme="minorEastAsia" w:cstheme="minorEastAsia"/>
          <w:color w:val="auto"/>
          <w:spacing w:val="8"/>
          <w:szCs w:val="24"/>
          <w:highlight w:val="none"/>
        </w:rPr>
        <w:t>、《价格清单》（单独打印后附装订）</w:t>
      </w:r>
    </w:p>
    <w:p w14:paraId="056BC7C8">
      <w:pPr>
        <w:pStyle w:val="32"/>
        <w:spacing w:line="360" w:lineRule="auto"/>
        <w:ind w:firstLine="1920" w:firstLineChars="800"/>
        <w:jc w:val="left"/>
        <w:rPr>
          <w:rFonts w:hint="eastAsia" w:asciiTheme="minorEastAsia" w:hAnsiTheme="minorEastAsia" w:eastAsiaTheme="minorEastAsia" w:cstheme="minorEastAsia"/>
          <w:b w:val="0"/>
          <w:color w:val="auto"/>
          <w:highlight w:val="none"/>
        </w:rPr>
      </w:pPr>
    </w:p>
    <w:p w14:paraId="2BF17857">
      <w:pPr>
        <w:spacing w:line="360" w:lineRule="auto"/>
        <w:rPr>
          <w:color w:val="auto"/>
          <w:highlight w:val="none"/>
        </w:rPr>
      </w:pPr>
    </w:p>
    <w:p w14:paraId="10CE54F4"/>
    <w:p w14:paraId="7E962D62"/>
    <w:p w14:paraId="1BBDB8A9"/>
    <w:sectPr>
      <w:pgSz w:w="11906" w:h="16838"/>
      <w:pgMar w:top="1304" w:right="1304" w:bottom="1304" w:left="1064" w:header="851"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24F91">
    <w:pPr>
      <w:pStyle w:val="30"/>
      <w:ind w:left="9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108F2">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01108F2">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mc:Fallback>
      </mc:AlternateContent>
    </w:r>
  </w:p>
  <w:p w14:paraId="778DAA17">
    <w:pPr>
      <w:pStyle w:val="30"/>
      <w:tabs>
        <w:tab w:val="left" w:pos="6905"/>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D7E0B">
    <w:pPr>
      <w:pStyle w:val="31"/>
      <w:jc w:val="both"/>
    </w:pPr>
    <w:r>
      <w:drawing>
        <wp:inline distT="0" distB="0" distL="0" distR="0">
          <wp:extent cx="1017905" cy="3168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12E45"/>
    <w:multiLevelType w:val="singleLevel"/>
    <w:tmpl w:val="83A12E45"/>
    <w:lvl w:ilvl="0" w:tentative="0">
      <w:start w:val="1"/>
      <w:numFmt w:val="decimal"/>
      <w:lvlText w:val="(%1)"/>
      <w:lvlJc w:val="left"/>
      <w:pPr>
        <w:ind w:left="905" w:hanging="425"/>
      </w:pPr>
      <w:rPr>
        <w:rFonts w:hint="default"/>
      </w:rPr>
    </w:lvl>
  </w:abstractNum>
  <w:abstractNum w:abstractNumId="1">
    <w:nsid w:val="90FEEDCA"/>
    <w:multiLevelType w:val="singleLevel"/>
    <w:tmpl w:val="90FEEDCA"/>
    <w:lvl w:ilvl="0" w:tentative="0">
      <w:start w:val="1"/>
      <w:numFmt w:val="decimal"/>
      <w:lvlText w:val="%1."/>
      <w:lvlJc w:val="left"/>
      <w:pPr>
        <w:ind w:left="665" w:hanging="425"/>
      </w:pPr>
      <w:rPr>
        <w:rFonts w:hint="default"/>
      </w:rPr>
    </w:lvl>
  </w:abstractNum>
  <w:abstractNum w:abstractNumId="2">
    <w:nsid w:val="95036D51"/>
    <w:multiLevelType w:val="multilevel"/>
    <w:tmpl w:val="95036D51"/>
    <w:lvl w:ilvl="0" w:tentative="0">
      <w:start w:val="1"/>
      <w:numFmt w:val="chineseCountingThousand"/>
      <w:pStyle w:val="2"/>
      <w:lvlText w:val="%1."/>
      <w:lvlJc w:val="left"/>
      <w:pPr>
        <w:tabs>
          <w:tab w:val="left" w:pos="0"/>
        </w:tabs>
        <w:ind w:left="425" w:hanging="425"/>
      </w:pPr>
      <w:rPr>
        <w:rFonts w:cs="Times New Roman"/>
      </w:rPr>
    </w:lvl>
    <w:lvl w:ilvl="1" w:tentative="0">
      <w:start w:val="1"/>
      <w:numFmt w:val="decimal"/>
      <w:pStyle w:val="4"/>
      <w:lvlText w:val="%2."/>
      <w:legacy w:legacy="1" w:legacySpace="0" w:legacyIndent="425"/>
      <w:lvlJc w:val="left"/>
      <w:pPr>
        <w:ind w:left="992" w:hanging="425"/>
      </w:pPr>
      <w:rPr>
        <w:rFonts w:cs="Times New Roman"/>
      </w:rPr>
    </w:lvl>
    <w:lvl w:ilvl="2" w:tentative="0">
      <w:start w:val="1"/>
      <w:numFmt w:val="none"/>
      <w:pStyle w:val="5"/>
      <w:suff w:val="nothing"/>
      <w:lvlText w:val=""/>
      <w:lvlJc w:val="left"/>
      <w:pPr>
        <w:tabs>
          <w:tab w:val="left" w:pos="0"/>
        </w:tabs>
        <w:ind w:left="851" w:hanging="425"/>
      </w:pPr>
      <w:rPr>
        <w:rFonts w:cs="Times New Roman"/>
      </w:rPr>
    </w:lvl>
    <w:lvl w:ilvl="3" w:tentative="0">
      <w:start w:val="1"/>
      <w:numFmt w:val="lowerLetter"/>
      <w:pStyle w:val="6"/>
      <w:lvlText w:val="%4)"/>
      <w:legacy w:legacy="1" w:legacySpace="0" w:legacyIndent="425"/>
      <w:lvlJc w:val="left"/>
      <w:pPr>
        <w:ind w:left="1700" w:hanging="425"/>
      </w:pPr>
      <w:rPr>
        <w:rFonts w:cs="Times New Roman"/>
      </w:rPr>
    </w:lvl>
    <w:lvl w:ilvl="4" w:tentative="0">
      <w:start w:val="1"/>
      <w:numFmt w:val="decimal"/>
      <w:pStyle w:val="7"/>
      <w:lvlText w:val="(%5)"/>
      <w:legacy w:legacy="1" w:legacySpace="0" w:legacyIndent="425"/>
      <w:lvlJc w:val="left"/>
      <w:pPr>
        <w:ind w:left="2125" w:hanging="425"/>
      </w:pPr>
      <w:rPr>
        <w:rFonts w:cs="Times New Roman"/>
      </w:rPr>
    </w:lvl>
    <w:lvl w:ilvl="5" w:tentative="0">
      <w:start w:val="1"/>
      <w:numFmt w:val="lowerLetter"/>
      <w:pStyle w:val="8"/>
      <w:lvlText w:val="(%6)"/>
      <w:legacy w:legacy="1" w:legacySpace="0" w:legacyIndent="425"/>
      <w:lvlJc w:val="left"/>
      <w:pPr>
        <w:ind w:left="2550" w:hanging="425"/>
      </w:pPr>
      <w:rPr>
        <w:rFonts w:cs="Times New Roman"/>
      </w:rPr>
    </w:lvl>
    <w:lvl w:ilvl="6" w:tentative="0">
      <w:start w:val="1"/>
      <w:numFmt w:val="lowerRoman"/>
      <w:pStyle w:val="9"/>
      <w:lvlText w:val="(%7)"/>
      <w:legacy w:legacy="1" w:legacySpace="0" w:legacyIndent="425"/>
      <w:lvlJc w:val="left"/>
      <w:pPr>
        <w:ind w:left="2975" w:hanging="425"/>
      </w:pPr>
      <w:rPr>
        <w:rFonts w:cs="Times New Roman"/>
      </w:rPr>
    </w:lvl>
    <w:lvl w:ilvl="7" w:tentative="0">
      <w:start w:val="1"/>
      <w:numFmt w:val="lowerLetter"/>
      <w:pStyle w:val="10"/>
      <w:lvlText w:val="(%8)"/>
      <w:legacy w:legacy="1" w:legacySpace="0" w:legacyIndent="425"/>
      <w:lvlJc w:val="left"/>
      <w:pPr>
        <w:ind w:left="3400" w:hanging="425"/>
      </w:pPr>
      <w:rPr>
        <w:rFonts w:cs="Times New Roman"/>
      </w:rPr>
    </w:lvl>
    <w:lvl w:ilvl="8" w:tentative="0">
      <w:start w:val="1"/>
      <w:numFmt w:val="lowerRoman"/>
      <w:pStyle w:val="11"/>
      <w:lvlText w:val="(%9)"/>
      <w:legacy w:legacy="1" w:legacySpace="0" w:legacyIndent="425"/>
      <w:lvlJc w:val="left"/>
      <w:pPr>
        <w:ind w:left="3825" w:hanging="425"/>
      </w:pPr>
      <w:rPr>
        <w:rFonts w:cs="Times New Roman"/>
      </w:rPr>
    </w:lvl>
  </w:abstractNum>
  <w:abstractNum w:abstractNumId="3">
    <w:nsid w:val="9D90C2BA"/>
    <w:multiLevelType w:val="singleLevel"/>
    <w:tmpl w:val="9D90C2BA"/>
    <w:lvl w:ilvl="0" w:tentative="0">
      <w:start w:val="1"/>
      <w:numFmt w:val="decimal"/>
      <w:lvlText w:val="%1."/>
      <w:lvlJc w:val="left"/>
      <w:pPr>
        <w:ind w:left="665" w:hanging="425"/>
      </w:pPr>
      <w:rPr>
        <w:rFonts w:hint="default"/>
      </w:rPr>
    </w:lvl>
  </w:abstractNum>
  <w:abstractNum w:abstractNumId="4">
    <w:nsid w:val="A020CD97"/>
    <w:multiLevelType w:val="singleLevel"/>
    <w:tmpl w:val="A020CD97"/>
    <w:lvl w:ilvl="0" w:tentative="0">
      <w:start w:val="1"/>
      <w:numFmt w:val="decimal"/>
      <w:lvlText w:val="%1."/>
      <w:lvlJc w:val="left"/>
      <w:pPr>
        <w:ind w:left="665" w:hanging="425"/>
      </w:pPr>
      <w:rPr>
        <w:rFonts w:hint="default"/>
      </w:rPr>
    </w:lvl>
  </w:abstractNum>
  <w:abstractNum w:abstractNumId="5">
    <w:nsid w:val="A3A54D00"/>
    <w:multiLevelType w:val="singleLevel"/>
    <w:tmpl w:val="A3A54D00"/>
    <w:lvl w:ilvl="0" w:tentative="0">
      <w:start w:val="1"/>
      <w:numFmt w:val="decimal"/>
      <w:lvlText w:val="%1."/>
      <w:lvlJc w:val="left"/>
      <w:pPr>
        <w:ind w:left="665" w:hanging="425"/>
      </w:pPr>
      <w:rPr>
        <w:rFonts w:hint="default"/>
      </w:rPr>
    </w:lvl>
  </w:abstractNum>
  <w:abstractNum w:abstractNumId="6">
    <w:nsid w:val="ADC5679A"/>
    <w:multiLevelType w:val="singleLevel"/>
    <w:tmpl w:val="ADC5679A"/>
    <w:lvl w:ilvl="0" w:tentative="0">
      <w:start w:val="1"/>
      <w:numFmt w:val="decimal"/>
      <w:lvlText w:val="%1."/>
      <w:lvlJc w:val="left"/>
      <w:pPr>
        <w:ind w:left="665" w:hanging="425"/>
      </w:pPr>
      <w:rPr>
        <w:rFonts w:hint="default"/>
      </w:rPr>
    </w:lvl>
  </w:abstractNum>
  <w:abstractNum w:abstractNumId="7">
    <w:nsid w:val="ADECA0FA"/>
    <w:multiLevelType w:val="singleLevel"/>
    <w:tmpl w:val="ADECA0FA"/>
    <w:lvl w:ilvl="0" w:tentative="0">
      <w:start w:val="1"/>
      <w:numFmt w:val="decimal"/>
      <w:lvlText w:val="(%1)"/>
      <w:lvlJc w:val="left"/>
      <w:pPr>
        <w:ind w:left="905" w:hanging="425"/>
      </w:pPr>
      <w:rPr>
        <w:rFonts w:hint="default"/>
      </w:rPr>
    </w:lvl>
  </w:abstractNum>
  <w:abstractNum w:abstractNumId="8">
    <w:nsid w:val="B321A158"/>
    <w:multiLevelType w:val="singleLevel"/>
    <w:tmpl w:val="B321A158"/>
    <w:lvl w:ilvl="0" w:tentative="0">
      <w:start w:val="1"/>
      <w:numFmt w:val="decimal"/>
      <w:lvlText w:val="%1."/>
      <w:lvlJc w:val="left"/>
      <w:pPr>
        <w:ind w:left="665" w:hanging="425"/>
      </w:pPr>
      <w:rPr>
        <w:rFonts w:hint="default"/>
      </w:rPr>
    </w:lvl>
  </w:abstractNum>
  <w:abstractNum w:abstractNumId="9">
    <w:nsid w:val="B7A82DF0"/>
    <w:multiLevelType w:val="singleLevel"/>
    <w:tmpl w:val="B7A82DF0"/>
    <w:lvl w:ilvl="0" w:tentative="0">
      <w:start w:val="1"/>
      <w:numFmt w:val="decimal"/>
      <w:lvlText w:val="(%1)"/>
      <w:lvlJc w:val="left"/>
      <w:pPr>
        <w:ind w:left="905" w:hanging="425"/>
      </w:pPr>
      <w:rPr>
        <w:rFonts w:hint="default"/>
      </w:rPr>
    </w:lvl>
  </w:abstractNum>
  <w:abstractNum w:abstractNumId="10">
    <w:nsid w:val="C22B2FDC"/>
    <w:multiLevelType w:val="singleLevel"/>
    <w:tmpl w:val="C22B2FDC"/>
    <w:lvl w:ilvl="0" w:tentative="0">
      <w:start w:val="1"/>
      <w:numFmt w:val="decimal"/>
      <w:lvlText w:val="%1."/>
      <w:lvlJc w:val="left"/>
      <w:pPr>
        <w:ind w:left="665" w:hanging="425"/>
      </w:pPr>
      <w:rPr>
        <w:rFonts w:hint="default"/>
      </w:rPr>
    </w:lvl>
  </w:abstractNum>
  <w:abstractNum w:abstractNumId="11">
    <w:nsid w:val="C8E24D50"/>
    <w:multiLevelType w:val="singleLevel"/>
    <w:tmpl w:val="C8E24D50"/>
    <w:lvl w:ilvl="0" w:tentative="0">
      <w:start w:val="1"/>
      <w:numFmt w:val="decimal"/>
      <w:lvlText w:val="%1."/>
      <w:lvlJc w:val="left"/>
      <w:pPr>
        <w:ind w:left="665" w:hanging="425"/>
      </w:pPr>
      <w:rPr>
        <w:rFonts w:hint="default"/>
      </w:rPr>
    </w:lvl>
  </w:abstractNum>
  <w:abstractNum w:abstractNumId="12">
    <w:nsid w:val="C903C609"/>
    <w:multiLevelType w:val="singleLevel"/>
    <w:tmpl w:val="C903C609"/>
    <w:lvl w:ilvl="0" w:tentative="0">
      <w:start w:val="15"/>
      <w:numFmt w:val="decimal"/>
      <w:suff w:val="nothing"/>
      <w:lvlText w:val="%1、"/>
      <w:lvlJc w:val="left"/>
    </w:lvl>
  </w:abstractNum>
  <w:abstractNum w:abstractNumId="13">
    <w:nsid w:val="CE89C717"/>
    <w:multiLevelType w:val="singleLevel"/>
    <w:tmpl w:val="CE89C717"/>
    <w:lvl w:ilvl="0" w:tentative="0">
      <w:start w:val="1"/>
      <w:numFmt w:val="decimal"/>
      <w:lvlText w:val="(%1)"/>
      <w:lvlJc w:val="left"/>
      <w:pPr>
        <w:ind w:left="905" w:hanging="425"/>
      </w:pPr>
      <w:rPr>
        <w:rFonts w:hint="default"/>
      </w:rPr>
    </w:lvl>
  </w:abstractNum>
  <w:abstractNum w:abstractNumId="14">
    <w:nsid w:val="D1103F64"/>
    <w:multiLevelType w:val="singleLevel"/>
    <w:tmpl w:val="D1103F64"/>
    <w:lvl w:ilvl="0" w:tentative="0">
      <w:start w:val="1"/>
      <w:numFmt w:val="decimal"/>
      <w:lvlText w:val="(%1)"/>
      <w:lvlJc w:val="left"/>
      <w:pPr>
        <w:ind w:left="905" w:hanging="425"/>
      </w:pPr>
      <w:rPr>
        <w:rFonts w:hint="default"/>
      </w:rPr>
    </w:lvl>
  </w:abstractNum>
  <w:abstractNum w:abstractNumId="15">
    <w:nsid w:val="D2E3A63A"/>
    <w:multiLevelType w:val="singleLevel"/>
    <w:tmpl w:val="D2E3A63A"/>
    <w:lvl w:ilvl="0" w:tentative="0">
      <w:start w:val="1"/>
      <w:numFmt w:val="decimal"/>
      <w:lvlText w:val="%1."/>
      <w:lvlJc w:val="left"/>
      <w:pPr>
        <w:ind w:left="665" w:hanging="425"/>
      </w:pPr>
      <w:rPr>
        <w:rFonts w:hint="default"/>
      </w:rPr>
    </w:lvl>
  </w:abstractNum>
  <w:abstractNum w:abstractNumId="16">
    <w:nsid w:val="D9A42294"/>
    <w:multiLevelType w:val="singleLevel"/>
    <w:tmpl w:val="D9A42294"/>
    <w:lvl w:ilvl="0" w:tentative="0">
      <w:start w:val="1"/>
      <w:numFmt w:val="decimal"/>
      <w:lvlText w:val="%1."/>
      <w:lvlJc w:val="left"/>
      <w:pPr>
        <w:ind w:left="665" w:hanging="425"/>
      </w:pPr>
      <w:rPr>
        <w:rFonts w:hint="default"/>
      </w:rPr>
    </w:lvl>
  </w:abstractNum>
  <w:abstractNum w:abstractNumId="17">
    <w:nsid w:val="DC177CBE"/>
    <w:multiLevelType w:val="singleLevel"/>
    <w:tmpl w:val="DC177CBE"/>
    <w:lvl w:ilvl="0" w:tentative="0">
      <w:start w:val="1"/>
      <w:numFmt w:val="decimal"/>
      <w:lvlText w:val="(%1)"/>
      <w:lvlJc w:val="left"/>
      <w:pPr>
        <w:ind w:left="905" w:hanging="425"/>
      </w:pPr>
      <w:rPr>
        <w:rFonts w:hint="default"/>
      </w:rPr>
    </w:lvl>
  </w:abstractNum>
  <w:abstractNum w:abstractNumId="18">
    <w:nsid w:val="E3B73E4A"/>
    <w:multiLevelType w:val="singleLevel"/>
    <w:tmpl w:val="E3B73E4A"/>
    <w:lvl w:ilvl="0" w:tentative="0">
      <w:start w:val="1"/>
      <w:numFmt w:val="chineseCounting"/>
      <w:suff w:val="nothing"/>
      <w:lvlText w:val="%1、"/>
      <w:lvlJc w:val="left"/>
      <w:pPr>
        <w:ind w:left="-420" w:firstLine="420"/>
      </w:pPr>
      <w:rPr>
        <w:rFonts w:hint="eastAsia"/>
      </w:rPr>
    </w:lvl>
  </w:abstractNum>
  <w:abstractNum w:abstractNumId="19">
    <w:nsid w:val="EABD4951"/>
    <w:multiLevelType w:val="singleLevel"/>
    <w:tmpl w:val="EABD4951"/>
    <w:lvl w:ilvl="0" w:tentative="0">
      <w:start w:val="1"/>
      <w:numFmt w:val="decimal"/>
      <w:lvlText w:val="(%1)"/>
      <w:lvlJc w:val="left"/>
      <w:pPr>
        <w:ind w:left="905" w:hanging="425"/>
      </w:pPr>
      <w:rPr>
        <w:rFonts w:hint="default"/>
      </w:rPr>
    </w:lvl>
  </w:abstractNum>
  <w:abstractNum w:abstractNumId="20">
    <w:nsid w:val="ED0E02F2"/>
    <w:multiLevelType w:val="singleLevel"/>
    <w:tmpl w:val="ED0E02F2"/>
    <w:lvl w:ilvl="0" w:tentative="0">
      <w:start w:val="1"/>
      <w:numFmt w:val="decimal"/>
      <w:suff w:val="nothing"/>
      <w:lvlText w:val="%1、"/>
      <w:lvlJc w:val="left"/>
    </w:lvl>
  </w:abstractNum>
  <w:abstractNum w:abstractNumId="21">
    <w:nsid w:val="EED2E564"/>
    <w:multiLevelType w:val="singleLevel"/>
    <w:tmpl w:val="EED2E564"/>
    <w:lvl w:ilvl="0" w:tentative="0">
      <w:start w:val="1"/>
      <w:numFmt w:val="decimal"/>
      <w:lvlText w:val="(%1)"/>
      <w:lvlJc w:val="left"/>
      <w:pPr>
        <w:ind w:left="905" w:hanging="425"/>
      </w:pPr>
      <w:rPr>
        <w:rFonts w:hint="default"/>
      </w:rPr>
    </w:lvl>
  </w:abstractNum>
  <w:abstractNum w:abstractNumId="22">
    <w:nsid w:val="F213FA1E"/>
    <w:multiLevelType w:val="singleLevel"/>
    <w:tmpl w:val="F213FA1E"/>
    <w:lvl w:ilvl="0" w:tentative="0">
      <w:start w:val="1"/>
      <w:numFmt w:val="decimal"/>
      <w:lvlText w:val="%1."/>
      <w:lvlJc w:val="left"/>
      <w:pPr>
        <w:ind w:left="665" w:hanging="425"/>
      </w:pPr>
      <w:rPr>
        <w:rFonts w:hint="default"/>
      </w:rPr>
    </w:lvl>
  </w:abstractNum>
  <w:abstractNum w:abstractNumId="23">
    <w:nsid w:val="00B2D98A"/>
    <w:multiLevelType w:val="singleLevel"/>
    <w:tmpl w:val="00B2D98A"/>
    <w:lvl w:ilvl="0" w:tentative="0">
      <w:start w:val="1"/>
      <w:numFmt w:val="decimal"/>
      <w:lvlText w:val="%1."/>
      <w:lvlJc w:val="left"/>
      <w:pPr>
        <w:ind w:left="665" w:hanging="425"/>
      </w:pPr>
      <w:rPr>
        <w:rFonts w:hint="default"/>
      </w:rPr>
    </w:lvl>
  </w:abstractNum>
  <w:abstractNum w:abstractNumId="24">
    <w:nsid w:val="01471115"/>
    <w:multiLevelType w:val="singleLevel"/>
    <w:tmpl w:val="01471115"/>
    <w:lvl w:ilvl="0" w:tentative="0">
      <w:start w:val="1"/>
      <w:numFmt w:val="decimal"/>
      <w:lvlText w:val="%1."/>
      <w:lvlJc w:val="left"/>
      <w:pPr>
        <w:ind w:left="665" w:hanging="425"/>
      </w:pPr>
      <w:rPr>
        <w:rFonts w:hint="default"/>
      </w:rPr>
    </w:lvl>
  </w:abstractNum>
  <w:abstractNum w:abstractNumId="25">
    <w:nsid w:val="03B28E3A"/>
    <w:multiLevelType w:val="singleLevel"/>
    <w:tmpl w:val="03B28E3A"/>
    <w:lvl w:ilvl="0" w:tentative="0">
      <w:start w:val="1"/>
      <w:numFmt w:val="decimal"/>
      <w:lvlText w:val="(%1)"/>
      <w:lvlJc w:val="left"/>
      <w:pPr>
        <w:ind w:left="905" w:hanging="425"/>
      </w:pPr>
      <w:rPr>
        <w:rFonts w:hint="default"/>
      </w:rPr>
    </w:lvl>
  </w:abstractNum>
  <w:abstractNum w:abstractNumId="26">
    <w:nsid w:val="1B2B8763"/>
    <w:multiLevelType w:val="singleLevel"/>
    <w:tmpl w:val="1B2B8763"/>
    <w:lvl w:ilvl="0" w:tentative="0">
      <w:start w:val="1"/>
      <w:numFmt w:val="decimal"/>
      <w:lvlText w:val="%1."/>
      <w:lvlJc w:val="left"/>
      <w:pPr>
        <w:ind w:left="665" w:hanging="425"/>
      </w:pPr>
      <w:rPr>
        <w:rFonts w:hint="default"/>
      </w:rPr>
    </w:lvl>
  </w:abstractNum>
  <w:abstractNum w:abstractNumId="27">
    <w:nsid w:val="2046B901"/>
    <w:multiLevelType w:val="singleLevel"/>
    <w:tmpl w:val="2046B901"/>
    <w:lvl w:ilvl="0" w:tentative="0">
      <w:start w:val="1"/>
      <w:numFmt w:val="decimal"/>
      <w:lvlText w:val="%1."/>
      <w:lvlJc w:val="left"/>
      <w:pPr>
        <w:ind w:left="665" w:hanging="425"/>
      </w:pPr>
      <w:rPr>
        <w:rFonts w:hint="default"/>
      </w:rPr>
    </w:lvl>
  </w:abstractNum>
  <w:abstractNum w:abstractNumId="28">
    <w:nsid w:val="21DC8AC9"/>
    <w:multiLevelType w:val="singleLevel"/>
    <w:tmpl w:val="21DC8AC9"/>
    <w:lvl w:ilvl="0" w:tentative="0">
      <w:start w:val="1"/>
      <w:numFmt w:val="decimal"/>
      <w:lvlText w:val="(%1)"/>
      <w:lvlJc w:val="left"/>
      <w:pPr>
        <w:ind w:left="905" w:hanging="425"/>
      </w:pPr>
      <w:rPr>
        <w:rFonts w:hint="default"/>
      </w:rPr>
    </w:lvl>
  </w:abstractNum>
  <w:abstractNum w:abstractNumId="29">
    <w:nsid w:val="30B3A85D"/>
    <w:multiLevelType w:val="singleLevel"/>
    <w:tmpl w:val="30B3A85D"/>
    <w:lvl w:ilvl="0" w:tentative="0">
      <w:start w:val="1"/>
      <w:numFmt w:val="decimal"/>
      <w:lvlText w:val="(%1)"/>
      <w:lvlJc w:val="left"/>
      <w:pPr>
        <w:ind w:left="905" w:hanging="425"/>
      </w:pPr>
      <w:rPr>
        <w:rFonts w:hint="default"/>
      </w:rPr>
    </w:lvl>
  </w:abstractNum>
  <w:abstractNum w:abstractNumId="30">
    <w:nsid w:val="339DB991"/>
    <w:multiLevelType w:val="singleLevel"/>
    <w:tmpl w:val="339DB991"/>
    <w:lvl w:ilvl="0" w:tentative="0">
      <w:start w:val="1"/>
      <w:numFmt w:val="decimal"/>
      <w:lvlText w:val="(%1)"/>
      <w:lvlJc w:val="left"/>
      <w:pPr>
        <w:ind w:left="905" w:hanging="425"/>
      </w:pPr>
      <w:rPr>
        <w:rFonts w:hint="default"/>
      </w:rPr>
    </w:lvl>
  </w:abstractNum>
  <w:abstractNum w:abstractNumId="31">
    <w:nsid w:val="44CDC7F8"/>
    <w:multiLevelType w:val="singleLevel"/>
    <w:tmpl w:val="44CDC7F8"/>
    <w:lvl w:ilvl="0" w:tentative="0">
      <w:start w:val="1"/>
      <w:numFmt w:val="decimal"/>
      <w:lvlText w:val="%1."/>
      <w:lvlJc w:val="left"/>
      <w:pPr>
        <w:ind w:left="665" w:hanging="425"/>
      </w:pPr>
      <w:rPr>
        <w:rFonts w:hint="default"/>
      </w:rPr>
    </w:lvl>
  </w:abstractNum>
  <w:abstractNum w:abstractNumId="32">
    <w:nsid w:val="516A79B6"/>
    <w:multiLevelType w:val="singleLevel"/>
    <w:tmpl w:val="516A79B6"/>
    <w:lvl w:ilvl="0" w:tentative="0">
      <w:start w:val="1"/>
      <w:numFmt w:val="decimal"/>
      <w:lvlText w:val="%1."/>
      <w:lvlJc w:val="left"/>
      <w:pPr>
        <w:ind w:left="665" w:hanging="425"/>
      </w:pPr>
      <w:rPr>
        <w:rFonts w:hint="default"/>
      </w:rPr>
    </w:lvl>
  </w:abstractNum>
  <w:abstractNum w:abstractNumId="33">
    <w:nsid w:val="581FAF8F"/>
    <w:multiLevelType w:val="singleLevel"/>
    <w:tmpl w:val="581FAF8F"/>
    <w:lvl w:ilvl="0" w:tentative="0">
      <w:start w:val="1"/>
      <w:numFmt w:val="decimal"/>
      <w:lvlText w:val="%1."/>
      <w:lvlJc w:val="left"/>
      <w:pPr>
        <w:ind w:left="665" w:hanging="425"/>
      </w:pPr>
      <w:rPr>
        <w:rFonts w:hint="default"/>
      </w:rPr>
    </w:lvl>
  </w:abstractNum>
  <w:abstractNum w:abstractNumId="34">
    <w:nsid w:val="5C9DCA6C"/>
    <w:multiLevelType w:val="singleLevel"/>
    <w:tmpl w:val="5C9DCA6C"/>
    <w:lvl w:ilvl="0" w:tentative="0">
      <w:start w:val="1"/>
      <w:numFmt w:val="decimal"/>
      <w:lvlText w:val="%1."/>
      <w:lvlJc w:val="left"/>
      <w:pPr>
        <w:ind w:left="665" w:hanging="425"/>
      </w:pPr>
      <w:rPr>
        <w:rFonts w:hint="default"/>
      </w:rPr>
    </w:lvl>
  </w:abstractNum>
  <w:abstractNum w:abstractNumId="35">
    <w:nsid w:val="5E226221"/>
    <w:multiLevelType w:val="singleLevel"/>
    <w:tmpl w:val="5E226221"/>
    <w:lvl w:ilvl="0" w:tentative="0">
      <w:start w:val="1"/>
      <w:numFmt w:val="decimal"/>
      <w:lvlText w:val="%1."/>
      <w:lvlJc w:val="left"/>
      <w:pPr>
        <w:ind w:left="665" w:hanging="425"/>
      </w:pPr>
      <w:rPr>
        <w:rFonts w:hint="default"/>
      </w:rPr>
    </w:lvl>
  </w:abstractNum>
  <w:abstractNum w:abstractNumId="36">
    <w:nsid w:val="752429C2"/>
    <w:multiLevelType w:val="singleLevel"/>
    <w:tmpl w:val="752429C2"/>
    <w:lvl w:ilvl="0" w:tentative="0">
      <w:start w:val="1"/>
      <w:numFmt w:val="decimal"/>
      <w:lvlText w:val="(%1)"/>
      <w:lvlJc w:val="left"/>
      <w:pPr>
        <w:ind w:left="905" w:hanging="425"/>
      </w:pPr>
      <w:rPr>
        <w:rFonts w:hint="default"/>
      </w:rPr>
    </w:lvl>
  </w:abstractNum>
  <w:abstractNum w:abstractNumId="37">
    <w:nsid w:val="76176B4A"/>
    <w:multiLevelType w:val="singleLevel"/>
    <w:tmpl w:val="76176B4A"/>
    <w:lvl w:ilvl="0" w:tentative="0">
      <w:start w:val="1"/>
      <w:numFmt w:val="decimal"/>
      <w:lvlText w:val="(%1)"/>
      <w:lvlJc w:val="left"/>
      <w:pPr>
        <w:ind w:left="905" w:hanging="425"/>
      </w:pPr>
      <w:rPr>
        <w:rFonts w:hint="default"/>
      </w:rPr>
    </w:lvl>
  </w:abstractNum>
  <w:abstractNum w:abstractNumId="38">
    <w:nsid w:val="7C91AE89"/>
    <w:multiLevelType w:val="singleLevel"/>
    <w:tmpl w:val="7C91AE89"/>
    <w:lvl w:ilvl="0" w:tentative="0">
      <w:start w:val="1"/>
      <w:numFmt w:val="lowerLetter"/>
      <w:lvlText w:val="%1."/>
      <w:lvlJc w:val="left"/>
      <w:pPr>
        <w:ind w:left="185" w:hanging="425"/>
      </w:pPr>
      <w:rPr>
        <w:rFonts w:hint="default"/>
      </w:rPr>
    </w:lvl>
  </w:abstractNum>
  <w:abstractNum w:abstractNumId="39">
    <w:nsid w:val="7DC22653"/>
    <w:multiLevelType w:val="singleLevel"/>
    <w:tmpl w:val="7DC22653"/>
    <w:lvl w:ilvl="0" w:tentative="0">
      <w:start w:val="1"/>
      <w:numFmt w:val="decimal"/>
      <w:lvlText w:val="%1."/>
      <w:lvlJc w:val="left"/>
      <w:pPr>
        <w:ind w:left="665" w:hanging="425"/>
      </w:pPr>
      <w:rPr>
        <w:rFonts w:hint="default"/>
      </w:rPr>
    </w:lvl>
  </w:abstractNum>
  <w:abstractNum w:abstractNumId="40">
    <w:nsid w:val="7FA2ECD5"/>
    <w:multiLevelType w:val="singleLevel"/>
    <w:tmpl w:val="7FA2ECD5"/>
    <w:lvl w:ilvl="0" w:tentative="0">
      <w:start w:val="1"/>
      <w:numFmt w:val="decimal"/>
      <w:lvlText w:val="(%1)"/>
      <w:lvlJc w:val="left"/>
      <w:pPr>
        <w:ind w:left="425" w:hanging="425"/>
      </w:pPr>
      <w:rPr>
        <w:rFonts w:hint="default"/>
      </w:rPr>
    </w:lvl>
  </w:abstractNum>
  <w:num w:numId="1">
    <w:abstractNumId w:val="2"/>
  </w:num>
  <w:num w:numId="2">
    <w:abstractNumId w:val="18"/>
  </w:num>
  <w:num w:numId="3">
    <w:abstractNumId w:val="11"/>
  </w:num>
  <w:num w:numId="4">
    <w:abstractNumId w:val="35"/>
  </w:num>
  <w:num w:numId="5">
    <w:abstractNumId w:val="15"/>
  </w:num>
  <w:num w:numId="6">
    <w:abstractNumId w:val="40"/>
  </w:num>
  <w:num w:numId="7">
    <w:abstractNumId w:val="5"/>
  </w:num>
  <w:num w:numId="8">
    <w:abstractNumId w:val="22"/>
  </w:num>
  <w:num w:numId="9">
    <w:abstractNumId w:val="17"/>
  </w:num>
  <w:num w:numId="10">
    <w:abstractNumId w:val="30"/>
  </w:num>
  <w:num w:numId="11">
    <w:abstractNumId w:val="7"/>
  </w:num>
  <w:num w:numId="12">
    <w:abstractNumId w:val="33"/>
  </w:num>
  <w:num w:numId="13">
    <w:abstractNumId w:val="4"/>
  </w:num>
  <w:num w:numId="14">
    <w:abstractNumId w:val="16"/>
  </w:num>
  <w:num w:numId="15">
    <w:abstractNumId w:val="21"/>
  </w:num>
  <w:num w:numId="16">
    <w:abstractNumId w:val="28"/>
  </w:num>
  <w:num w:numId="17">
    <w:abstractNumId w:val="19"/>
  </w:num>
  <w:num w:numId="18">
    <w:abstractNumId w:val="38"/>
  </w:num>
  <w:num w:numId="19">
    <w:abstractNumId w:val="25"/>
  </w:num>
  <w:num w:numId="20">
    <w:abstractNumId w:val="24"/>
  </w:num>
  <w:num w:numId="21">
    <w:abstractNumId w:val="26"/>
  </w:num>
  <w:num w:numId="22">
    <w:abstractNumId w:val="36"/>
  </w:num>
  <w:num w:numId="23">
    <w:abstractNumId w:val="29"/>
  </w:num>
  <w:num w:numId="24">
    <w:abstractNumId w:val="1"/>
  </w:num>
  <w:num w:numId="25">
    <w:abstractNumId w:val="23"/>
  </w:num>
  <w:num w:numId="26">
    <w:abstractNumId w:val="13"/>
  </w:num>
  <w:num w:numId="27">
    <w:abstractNumId w:val="34"/>
  </w:num>
  <w:num w:numId="28">
    <w:abstractNumId w:val="10"/>
  </w:num>
  <w:num w:numId="29">
    <w:abstractNumId w:val="27"/>
  </w:num>
  <w:num w:numId="30">
    <w:abstractNumId w:val="37"/>
  </w:num>
  <w:num w:numId="31">
    <w:abstractNumId w:val="0"/>
  </w:num>
  <w:num w:numId="32">
    <w:abstractNumId w:val="32"/>
  </w:num>
  <w:num w:numId="33">
    <w:abstractNumId w:val="8"/>
  </w:num>
  <w:num w:numId="34">
    <w:abstractNumId w:val="9"/>
  </w:num>
  <w:num w:numId="35">
    <w:abstractNumId w:val="39"/>
  </w:num>
  <w:num w:numId="36">
    <w:abstractNumId w:val="31"/>
  </w:num>
  <w:num w:numId="37">
    <w:abstractNumId w:val="14"/>
  </w:num>
  <w:num w:numId="38">
    <w:abstractNumId w:val="3"/>
  </w:num>
  <w:num w:numId="39">
    <w:abstractNumId w:val="6"/>
  </w:num>
  <w:num w:numId="40">
    <w:abstractNumId w:val="20"/>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ViMjQxYmY3NWZhNmY0ZmJjNjJmN2M0ZjFjZGU5OGEifQ=="/>
  </w:docVars>
  <w:rsids>
    <w:rsidRoot w:val="00172A27"/>
    <w:rsid w:val="00004734"/>
    <w:rsid w:val="000112F7"/>
    <w:rsid w:val="000127EC"/>
    <w:rsid w:val="00014E6C"/>
    <w:rsid w:val="00020BB6"/>
    <w:rsid w:val="0002196B"/>
    <w:rsid w:val="00025321"/>
    <w:rsid w:val="0002623D"/>
    <w:rsid w:val="00027206"/>
    <w:rsid w:val="00036F32"/>
    <w:rsid w:val="0004196A"/>
    <w:rsid w:val="00050636"/>
    <w:rsid w:val="00057981"/>
    <w:rsid w:val="00062CCF"/>
    <w:rsid w:val="00065CD5"/>
    <w:rsid w:val="00065EF0"/>
    <w:rsid w:val="0006602E"/>
    <w:rsid w:val="00066596"/>
    <w:rsid w:val="00070A00"/>
    <w:rsid w:val="000737B7"/>
    <w:rsid w:val="00092FAE"/>
    <w:rsid w:val="000936F9"/>
    <w:rsid w:val="000938C6"/>
    <w:rsid w:val="000A147C"/>
    <w:rsid w:val="000A54D9"/>
    <w:rsid w:val="000A7686"/>
    <w:rsid w:val="000A76D7"/>
    <w:rsid w:val="000B2DE3"/>
    <w:rsid w:val="000B3EE8"/>
    <w:rsid w:val="000B4132"/>
    <w:rsid w:val="000C11B4"/>
    <w:rsid w:val="000C6CA9"/>
    <w:rsid w:val="000D1072"/>
    <w:rsid w:val="000D205A"/>
    <w:rsid w:val="000D26C8"/>
    <w:rsid w:val="000D2E39"/>
    <w:rsid w:val="000D49BF"/>
    <w:rsid w:val="000D6B54"/>
    <w:rsid w:val="000D7218"/>
    <w:rsid w:val="000E08BA"/>
    <w:rsid w:val="000E2925"/>
    <w:rsid w:val="000E4D87"/>
    <w:rsid w:val="000E7F00"/>
    <w:rsid w:val="000F176B"/>
    <w:rsid w:val="000F6A5F"/>
    <w:rsid w:val="00100C15"/>
    <w:rsid w:val="0010103A"/>
    <w:rsid w:val="0010104F"/>
    <w:rsid w:val="001021BC"/>
    <w:rsid w:val="001073C1"/>
    <w:rsid w:val="001104C9"/>
    <w:rsid w:val="00110729"/>
    <w:rsid w:val="00110BC9"/>
    <w:rsid w:val="00112F37"/>
    <w:rsid w:val="00120ADE"/>
    <w:rsid w:val="00125540"/>
    <w:rsid w:val="00130D53"/>
    <w:rsid w:val="0013667F"/>
    <w:rsid w:val="00147EF2"/>
    <w:rsid w:val="00160E43"/>
    <w:rsid w:val="00162177"/>
    <w:rsid w:val="00167861"/>
    <w:rsid w:val="00167921"/>
    <w:rsid w:val="00172A27"/>
    <w:rsid w:val="00174A32"/>
    <w:rsid w:val="00176A6E"/>
    <w:rsid w:val="00180B22"/>
    <w:rsid w:val="00180C0A"/>
    <w:rsid w:val="00191138"/>
    <w:rsid w:val="00193FED"/>
    <w:rsid w:val="00196CC8"/>
    <w:rsid w:val="001A6A80"/>
    <w:rsid w:val="001A73DA"/>
    <w:rsid w:val="001B4D8A"/>
    <w:rsid w:val="001B7FB5"/>
    <w:rsid w:val="001C0328"/>
    <w:rsid w:val="001C3135"/>
    <w:rsid w:val="001D1692"/>
    <w:rsid w:val="001D33F2"/>
    <w:rsid w:val="001E0463"/>
    <w:rsid w:val="001E3252"/>
    <w:rsid w:val="001F17C6"/>
    <w:rsid w:val="001F2ED9"/>
    <w:rsid w:val="001F6D34"/>
    <w:rsid w:val="00200F8E"/>
    <w:rsid w:val="00203378"/>
    <w:rsid w:val="0020644C"/>
    <w:rsid w:val="00207F2F"/>
    <w:rsid w:val="00214FB5"/>
    <w:rsid w:val="00215528"/>
    <w:rsid w:val="00217A46"/>
    <w:rsid w:val="0022132B"/>
    <w:rsid w:val="00230D9A"/>
    <w:rsid w:val="00232F4B"/>
    <w:rsid w:val="00233346"/>
    <w:rsid w:val="0023640C"/>
    <w:rsid w:val="002372DD"/>
    <w:rsid w:val="00240AE1"/>
    <w:rsid w:val="0024334F"/>
    <w:rsid w:val="002434CD"/>
    <w:rsid w:val="002454FE"/>
    <w:rsid w:val="00246664"/>
    <w:rsid w:val="0024796F"/>
    <w:rsid w:val="00252A70"/>
    <w:rsid w:val="00252EBC"/>
    <w:rsid w:val="002653B9"/>
    <w:rsid w:val="002718C6"/>
    <w:rsid w:val="00276919"/>
    <w:rsid w:val="00290347"/>
    <w:rsid w:val="00295D1D"/>
    <w:rsid w:val="002969D1"/>
    <w:rsid w:val="00297B95"/>
    <w:rsid w:val="002A0538"/>
    <w:rsid w:val="002A3034"/>
    <w:rsid w:val="002A464F"/>
    <w:rsid w:val="002B03AD"/>
    <w:rsid w:val="002B06C6"/>
    <w:rsid w:val="002B0A59"/>
    <w:rsid w:val="002B20CE"/>
    <w:rsid w:val="002B6ECA"/>
    <w:rsid w:val="002C029A"/>
    <w:rsid w:val="002C6E09"/>
    <w:rsid w:val="002D2A5D"/>
    <w:rsid w:val="002D2E4E"/>
    <w:rsid w:val="002D6B8A"/>
    <w:rsid w:val="002D7C34"/>
    <w:rsid w:val="002E51F7"/>
    <w:rsid w:val="002E7973"/>
    <w:rsid w:val="002F293A"/>
    <w:rsid w:val="002F3ACD"/>
    <w:rsid w:val="002F54E2"/>
    <w:rsid w:val="002F77F9"/>
    <w:rsid w:val="003042E3"/>
    <w:rsid w:val="003123DB"/>
    <w:rsid w:val="0031253D"/>
    <w:rsid w:val="00321686"/>
    <w:rsid w:val="003358F3"/>
    <w:rsid w:val="00337E43"/>
    <w:rsid w:val="003459DC"/>
    <w:rsid w:val="00347E4E"/>
    <w:rsid w:val="003559D3"/>
    <w:rsid w:val="00361B50"/>
    <w:rsid w:val="00361D86"/>
    <w:rsid w:val="0036360C"/>
    <w:rsid w:val="00363BA8"/>
    <w:rsid w:val="00367D63"/>
    <w:rsid w:val="00375A68"/>
    <w:rsid w:val="00376730"/>
    <w:rsid w:val="00391934"/>
    <w:rsid w:val="00391ED6"/>
    <w:rsid w:val="00393702"/>
    <w:rsid w:val="00397F72"/>
    <w:rsid w:val="003A04FF"/>
    <w:rsid w:val="003A2728"/>
    <w:rsid w:val="003A6239"/>
    <w:rsid w:val="003B1AF6"/>
    <w:rsid w:val="003B25DF"/>
    <w:rsid w:val="003B2B3C"/>
    <w:rsid w:val="003B5FC8"/>
    <w:rsid w:val="003B625C"/>
    <w:rsid w:val="003B643A"/>
    <w:rsid w:val="003C2C6C"/>
    <w:rsid w:val="003C36D7"/>
    <w:rsid w:val="003D22A0"/>
    <w:rsid w:val="003E5E53"/>
    <w:rsid w:val="003E7707"/>
    <w:rsid w:val="003E795C"/>
    <w:rsid w:val="003F1E98"/>
    <w:rsid w:val="004140CF"/>
    <w:rsid w:val="0042007F"/>
    <w:rsid w:val="00420AD4"/>
    <w:rsid w:val="00420E2F"/>
    <w:rsid w:val="00423DD6"/>
    <w:rsid w:val="00423E77"/>
    <w:rsid w:val="004367EE"/>
    <w:rsid w:val="00443089"/>
    <w:rsid w:val="00447188"/>
    <w:rsid w:val="004519B8"/>
    <w:rsid w:val="00452C9F"/>
    <w:rsid w:val="004541B0"/>
    <w:rsid w:val="00455E28"/>
    <w:rsid w:val="004566FE"/>
    <w:rsid w:val="004578DA"/>
    <w:rsid w:val="00462A71"/>
    <w:rsid w:val="00467F4D"/>
    <w:rsid w:val="004747A2"/>
    <w:rsid w:val="0047486E"/>
    <w:rsid w:val="004772D1"/>
    <w:rsid w:val="00481FEB"/>
    <w:rsid w:val="00482A9A"/>
    <w:rsid w:val="004A1315"/>
    <w:rsid w:val="004A2C7F"/>
    <w:rsid w:val="004A5B60"/>
    <w:rsid w:val="004A64D2"/>
    <w:rsid w:val="004B3B0A"/>
    <w:rsid w:val="004B54CC"/>
    <w:rsid w:val="004B559E"/>
    <w:rsid w:val="004D1E1C"/>
    <w:rsid w:val="004E3059"/>
    <w:rsid w:val="004E37CA"/>
    <w:rsid w:val="004E49FE"/>
    <w:rsid w:val="004E5375"/>
    <w:rsid w:val="004E5451"/>
    <w:rsid w:val="004E78BF"/>
    <w:rsid w:val="004F1EAD"/>
    <w:rsid w:val="004F24FA"/>
    <w:rsid w:val="004F5178"/>
    <w:rsid w:val="00501483"/>
    <w:rsid w:val="00501D2F"/>
    <w:rsid w:val="00505506"/>
    <w:rsid w:val="00506153"/>
    <w:rsid w:val="005078DB"/>
    <w:rsid w:val="00514B88"/>
    <w:rsid w:val="00516578"/>
    <w:rsid w:val="00516B7B"/>
    <w:rsid w:val="00534C97"/>
    <w:rsid w:val="00542491"/>
    <w:rsid w:val="00542B8D"/>
    <w:rsid w:val="00556259"/>
    <w:rsid w:val="00560BFE"/>
    <w:rsid w:val="005613E2"/>
    <w:rsid w:val="00562EAC"/>
    <w:rsid w:val="005632F8"/>
    <w:rsid w:val="00564804"/>
    <w:rsid w:val="005648F6"/>
    <w:rsid w:val="00567ADD"/>
    <w:rsid w:val="00570C35"/>
    <w:rsid w:val="00570CCF"/>
    <w:rsid w:val="00575182"/>
    <w:rsid w:val="0057648B"/>
    <w:rsid w:val="005828CD"/>
    <w:rsid w:val="005843B4"/>
    <w:rsid w:val="00584F53"/>
    <w:rsid w:val="00590528"/>
    <w:rsid w:val="005974A1"/>
    <w:rsid w:val="00597C65"/>
    <w:rsid w:val="00597CAE"/>
    <w:rsid w:val="005A144E"/>
    <w:rsid w:val="005A2B28"/>
    <w:rsid w:val="005A2D0D"/>
    <w:rsid w:val="005A3BED"/>
    <w:rsid w:val="005B60D6"/>
    <w:rsid w:val="005B6CDA"/>
    <w:rsid w:val="005D2040"/>
    <w:rsid w:val="005D2A0E"/>
    <w:rsid w:val="005E36BC"/>
    <w:rsid w:val="005F2A54"/>
    <w:rsid w:val="005F4547"/>
    <w:rsid w:val="005F4688"/>
    <w:rsid w:val="005F60DA"/>
    <w:rsid w:val="005F7B25"/>
    <w:rsid w:val="00602AF1"/>
    <w:rsid w:val="006032F1"/>
    <w:rsid w:val="00610087"/>
    <w:rsid w:val="00611B65"/>
    <w:rsid w:val="00612E18"/>
    <w:rsid w:val="00627F91"/>
    <w:rsid w:val="00630879"/>
    <w:rsid w:val="00631305"/>
    <w:rsid w:val="00632780"/>
    <w:rsid w:val="006327A3"/>
    <w:rsid w:val="00634C39"/>
    <w:rsid w:val="006360FE"/>
    <w:rsid w:val="00641A6D"/>
    <w:rsid w:val="0064346C"/>
    <w:rsid w:val="006464A5"/>
    <w:rsid w:val="0065670C"/>
    <w:rsid w:val="0066134E"/>
    <w:rsid w:val="006655AC"/>
    <w:rsid w:val="006678B3"/>
    <w:rsid w:val="006731C3"/>
    <w:rsid w:val="00676D43"/>
    <w:rsid w:val="006820E4"/>
    <w:rsid w:val="00687721"/>
    <w:rsid w:val="00691120"/>
    <w:rsid w:val="00693987"/>
    <w:rsid w:val="00694B2D"/>
    <w:rsid w:val="006950F5"/>
    <w:rsid w:val="006969DD"/>
    <w:rsid w:val="006A2CD7"/>
    <w:rsid w:val="006A54F5"/>
    <w:rsid w:val="006B006C"/>
    <w:rsid w:val="006B17DA"/>
    <w:rsid w:val="006B1B95"/>
    <w:rsid w:val="006C21A5"/>
    <w:rsid w:val="006C2C16"/>
    <w:rsid w:val="006C40B9"/>
    <w:rsid w:val="006C6224"/>
    <w:rsid w:val="006D790F"/>
    <w:rsid w:val="006E1BC4"/>
    <w:rsid w:val="006E434C"/>
    <w:rsid w:val="006F223B"/>
    <w:rsid w:val="006F2A5F"/>
    <w:rsid w:val="006F36C3"/>
    <w:rsid w:val="006F3805"/>
    <w:rsid w:val="006F4BA1"/>
    <w:rsid w:val="006F6A3C"/>
    <w:rsid w:val="00700D07"/>
    <w:rsid w:val="00701B69"/>
    <w:rsid w:val="0070555A"/>
    <w:rsid w:val="00710AF3"/>
    <w:rsid w:val="00710BCF"/>
    <w:rsid w:val="007119EE"/>
    <w:rsid w:val="007124B6"/>
    <w:rsid w:val="00720003"/>
    <w:rsid w:val="007211F4"/>
    <w:rsid w:val="00721A3E"/>
    <w:rsid w:val="00722EE1"/>
    <w:rsid w:val="00723612"/>
    <w:rsid w:val="00725B97"/>
    <w:rsid w:val="00730793"/>
    <w:rsid w:val="007312F4"/>
    <w:rsid w:val="0073360E"/>
    <w:rsid w:val="007426C9"/>
    <w:rsid w:val="00743D82"/>
    <w:rsid w:val="0074569B"/>
    <w:rsid w:val="00753466"/>
    <w:rsid w:val="00773640"/>
    <w:rsid w:val="00776C85"/>
    <w:rsid w:val="00777C50"/>
    <w:rsid w:val="00785273"/>
    <w:rsid w:val="00785551"/>
    <w:rsid w:val="007856C8"/>
    <w:rsid w:val="0078582E"/>
    <w:rsid w:val="007909E5"/>
    <w:rsid w:val="00794F34"/>
    <w:rsid w:val="00795264"/>
    <w:rsid w:val="007972B0"/>
    <w:rsid w:val="007A565C"/>
    <w:rsid w:val="007B0676"/>
    <w:rsid w:val="007B13F4"/>
    <w:rsid w:val="007B2C9C"/>
    <w:rsid w:val="007B6C02"/>
    <w:rsid w:val="007C208C"/>
    <w:rsid w:val="007C5881"/>
    <w:rsid w:val="007D0E98"/>
    <w:rsid w:val="007D24C3"/>
    <w:rsid w:val="007E3653"/>
    <w:rsid w:val="007E37D4"/>
    <w:rsid w:val="007F6877"/>
    <w:rsid w:val="008016C5"/>
    <w:rsid w:val="00801F1D"/>
    <w:rsid w:val="0081246B"/>
    <w:rsid w:val="00812BB1"/>
    <w:rsid w:val="00813EFA"/>
    <w:rsid w:val="00833059"/>
    <w:rsid w:val="0083423D"/>
    <w:rsid w:val="00842B3B"/>
    <w:rsid w:val="00846A18"/>
    <w:rsid w:val="00864308"/>
    <w:rsid w:val="008728F6"/>
    <w:rsid w:val="008825E1"/>
    <w:rsid w:val="00883693"/>
    <w:rsid w:val="00883ED0"/>
    <w:rsid w:val="008903E9"/>
    <w:rsid w:val="008916BB"/>
    <w:rsid w:val="00893554"/>
    <w:rsid w:val="008947F0"/>
    <w:rsid w:val="00894991"/>
    <w:rsid w:val="008A0406"/>
    <w:rsid w:val="008A1AEA"/>
    <w:rsid w:val="008B0854"/>
    <w:rsid w:val="008B5357"/>
    <w:rsid w:val="008B5B20"/>
    <w:rsid w:val="008C1734"/>
    <w:rsid w:val="008C20A2"/>
    <w:rsid w:val="008C3194"/>
    <w:rsid w:val="008C5D60"/>
    <w:rsid w:val="008D0A11"/>
    <w:rsid w:val="008D34C3"/>
    <w:rsid w:val="008D6920"/>
    <w:rsid w:val="008E7327"/>
    <w:rsid w:val="008F379B"/>
    <w:rsid w:val="008F67A7"/>
    <w:rsid w:val="00903AA1"/>
    <w:rsid w:val="0091395D"/>
    <w:rsid w:val="00916846"/>
    <w:rsid w:val="00926F55"/>
    <w:rsid w:val="00937325"/>
    <w:rsid w:val="009421AA"/>
    <w:rsid w:val="0094297D"/>
    <w:rsid w:val="00942A9C"/>
    <w:rsid w:val="009448B6"/>
    <w:rsid w:val="009515D3"/>
    <w:rsid w:val="00951E42"/>
    <w:rsid w:val="00953EFD"/>
    <w:rsid w:val="0095403A"/>
    <w:rsid w:val="00960572"/>
    <w:rsid w:val="00963BE5"/>
    <w:rsid w:val="00965209"/>
    <w:rsid w:val="00967102"/>
    <w:rsid w:val="00976E48"/>
    <w:rsid w:val="00977981"/>
    <w:rsid w:val="009821C4"/>
    <w:rsid w:val="00983437"/>
    <w:rsid w:val="009842AB"/>
    <w:rsid w:val="00984F98"/>
    <w:rsid w:val="0098588A"/>
    <w:rsid w:val="00995E90"/>
    <w:rsid w:val="009B1946"/>
    <w:rsid w:val="009B7FFA"/>
    <w:rsid w:val="009C3518"/>
    <w:rsid w:val="009C6063"/>
    <w:rsid w:val="009D5FBD"/>
    <w:rsid w:val="009D7C3C"/>
    <w:rsid w:val="009E7EB6"/>
    <w:rsid w:val="009F0426"/>
    <w:rsid w:val="00A003E9"/>
    <w:rsid w:val="00A010C3"/>
    <w:rsid w:val="00A16CDA"/>
    <w:rsid w:val="00A17CFA"/>
    <w:rsid w:val="00A21520"/>
    <w:rsid w:val="00A25AA3"/>
    <w:rsid w:val="00A30639"/>
    <w:rsid w:val="00A31A4A"/>
    <w:rsid w:val="00A42231"/>
    <w:rsid w:val="00A435FF"/>
    <w:rsid w:val="00A4389B"/>
    <w:rsid w:val="00A46FC9"/>
    <w:rsid w:val="00A56387"/>
    <w:rsid w:val="00A60754"/>
    <w:rsid w:val="00A631EA"/>
    <w:rsid w:val="00A70958"/>
    <w:rsid w:val="00A7195A"/>
    <w:rsid w:val="00A7326B"/>
    <w:rsid w:val="00A80C63"/>
    <w:rsid w:val="00A9100F"/>
    <w:rsid w:val="00A92010"/>
    <w:rsid w:val="00A95E14"/>
    <w:rsid w:val="00AA063C"/>
    <w:rsid w:val="00AA25E4"/>
    <w:rsid w:val="00AA3D02"/>
    <w:rsid w:val="00AA5069"/>
    <w:rsid w:val="00AA5A87"/>
    <w:rsid w:val="00AA6015"/>
    <w:rsid w:val="00AC4783"/>
    <w:rsid w:val="00AC5C7D"/>
    <w:rsid w:val="00AD0DAB"/>
    <w:rsid w:val="00AD1C8C"/>
    <w:rsid w:val="00AD20CC"/>
    <w:rsid w:val="00AE5F15"/>
    <w:rsid w:val="00AF7040"/>
    <w:rsid w:val="00B02656"/>
    <w:rsid w:val="00B060F8"/>
    <w:rsid w:val="00B0699D"/>
    <w:rsid w:val="00B204AF"/>
    <w:rsid w:val="00B2252E"/>
    <w:rsid w:val="00B2262A"/>
    <w:rsid w:val="00B22AAB"/>
    <w:rsid w:val="00B262FB"/>
    <w:rsid w:val="00B304DB"/>
    <w:rsid w:val="00B43B9C"/>
    <w:rsid w:val="00B52CF9"/>
    <w:rsid w:val="00B74F9A"/>
    <w:rsid w:val="00B775ED"/>
    <w:rsid w:val="00B8369F"/>
    <w:rsid w:val="00B8506C"/>
    <w:rsid w:val="00B902B6"/>
    <w:rsid w:val="00B95703"/>
    <w:rsid w:val="00BA3B54"/>
    <w:rsid w:val="00BA7E99"/>
    <w:rsid w:val="00BB68A6"/>
    <w:rsid w:val="00BB78B2"/>
    <w:rsid w:val="00BC0E92"/>
    <w:rsid w:val="00BC1C58"/>
    <w:rsid w:val="00BC27D3"/>
    <w:rsid w:val="00BD0C5C"/>
    <w:rsid w:val="00BD0EA1"/>
    <w:rsid w:val="00BD1135"/>
    <w:rsid w:val="00BD6674"/>
    <w:rsid w:val="00BD6F46"/>
    <w:rsid w:val="00BE0DC6"/>
    <w:rsid w:val="00BE6A61"/>
    <w:rsid w:val="00BF032C"/>
    <w:rsid w:val="00BF0416"/>
    <w:rsid w:val="00BF5F73"/>
    <w:rsid w:val="00BF6E3E"/>
    <w:rsid w:val="00C017C3"/>
    <w:rsid w:val="00C077B2"/>
    <w:rsid w:val="00C1211F"/>
    <w:rsid w:val="00C22E4A"/>
    <w:rsid w:val="00C23C58"/>
    <w:rsid w:val="00C24A4A"/>
    <w:rsid w:val="00C2651A"/>
    <w:rsid w:val="00C36DB3"/>
    <w:rsid w:val="00C419DF"/>
    <w:rsid w:val="00C41FA2"/>
    <w:rsid w:val="00C56DC2"/>
    <w:rsid w:val="00C56E17"/>
    <w:rsid w:val="00C62DF1"/>
    <w:rsid w:val="00C63241"/>
    <w:rsid w:val="00C67BD4"/>
    <w:rsid w:val="00C71E76"/>
    <w:rsid w:val="00C73BFB"/>
    <w:rsid w:val="00C773C1"/>
    <w:rsid w:val="00C823C4"/>
    <w:rsid w:val="00C8603E"/>
    <w:rsid w:val="00C9269C"/>
    <w:rsid w:val="00C96944"/>
    <w:rsid w:val="00CA361C"/>
    <w:rsid w:val="00CB4FE1"/>
    <w:rsid w:val="00CD1AA6"/>
    <w:rsid w:val="00CD496E"/>
    <w:rsid w:val="00CD5211"/>
    <w:rsid w:val="00CE5B07"/>
    <w:rsid w:val="00CE7C14"/>
    <w:rsid w:val="00D01232"/>
    <w:rsid w:val="00D0591E"/>
    <w:rsid w:val="00D077F3"/>
    <w:rsid w:val="00D14F26"/>
    <w:rsid w:val="00D3242C"/>
    <w:rsid w:val="00D33143"/>
    <w:rsid w:val="00D34826"/>
    <w:rsid w:val="00D40345"/>
    <w:rsid w:val="00D41F38"/>
    <w:rsid w:val="00D435CF"/>
    <w:rsid w:val="00D45E5E"/>
    <w:rsid w:val="00D47B32"/>
    <w:rsid w:val="00D47DC4"/>
    <w:rsid w:val="00D52487"/>
    <w:rsid w:val="00D533E5"/>
    <w:rsid w:val="00D561C3"/>
    <w:rsid w:val="00D56B71"/>
    <w:rsid w:val="00D579C6"/>
    <w:rsid w:val="00D627EE"/>
    <w:rsid w:val="00D63376"/>
    <w:rsid w:val="00D65CDD"/>
    <w:rsid w:val="00D70830"/>
    <w:rsid w:val="00D72D4B"/>
    <w:rsid w:val="00D74CA7"/>
    <w:rsid w:val="00D8441D"/>
    <w:rsid w:val="00D923AC"/>
    <w:rsid w:val="00D929C4"/>
    <w:rsid w:val="00DA0F0D"/>
    <w:rsid w:val="00DA3FE6"/>
    <w:rsid w:val="00DA64D0"/>
    <w:rsid w:val="00DA68ED"/>
    <w:rsid w:val="00DB52A9"/>
    <w:rsid w:val="00DC35CB"/>
    <w:rsid w:val="00DE590A"/>
    <w:rsid w:val="00DF24F8"/>
    <w:rsid w:val="00DF63A0"/>
    <w:rsid w:val="00DF7AAC"/>
    <w:rsid w:val="00E151D5"/>
    <w:rsid w:val="00E2161D"/>
    <w:rsid w:val="00E30999"/>
    <w:rsid w:val="00E32375"/>
    <w:rsid w:val="00E332C9"/>
    <w:rsid w:val="00E34CC7"/>
    <w:rsid w:val="00E35C8E"/>
    <w:rsid w:val="00E406C6"/>
    <w:rsid w:val="00E40748"/>
    <w:rsid w:val="00E43787"/>
    <w:rsid w:val="00E43F8F"/>
    <w:rsid w:val="00E44D0A"/>
    <w:rsid w:val="00E4564D"/>
    <w:rsid w:val="00E556E6"/>
    <w:rsid w:val="00E565D0"/>
    <w:rsid w:val="00E6030F"/>
    <w:rsid w:val="00E65231"/>
    <w:rsid w:val="00E67A55"/>
    <w:rsid w:val="00E72062"/>
    <w:rsid w:val="00E77486"/>
    <w:rsid w:val="00E80B02"/>
    <w:rsid w:val="00E83618"/>
    <w:rsid w:val="00E869AE"/>
    <w:rsid w:val="00E91797"/>
    <w:rsid w:val="00E973A8"/>
    <w:rsid w:val="00EA0BCD"/>
    <w:rsid w:val="00EA1BDB"/>
    <w:rsid w:val="00EA38C5"/>
    <w:rsid w:val="00EA5E09"/>
    <w:rsid w:val="00EA7816"/>
    <w:rsid w:val="00EA7D3A"/>
    <w:rsid w:val="00EB373A"/>
    <w:rsid w:val="00EB4A28"/>
    <w:rsid w:val="00EB6B9E"/>
    <w:rsid w:val="00EC2946"/>
    <w:rsid w:val="00EC4AD7"/>
    <w:rsid w:val="00EC640F"/>
    <w:rsid w:val="00EE2AEC"/>
    <w:rsid w:val="00EE54E1"/>
    <w:rsid w:val="00EE5915"/>
    <w:rsid w:val="00EF12C9"/>
    <w:rsid w:val="00EF14D0"/>
    <w:rsid w:val="00F017FB"/>
    <w:rsid w:val="00F04DA0"/>
    <w:rsid w:val="00F11A36"/>
    <w:rsid w:val="00F157FB"/>
    <w:rsid w:val="00F17ADF"/>
    <w:rsid w:val="00F21752"/>
    <w:rsid w:val="00F22C58"/>
    <w:rsid w:val="00F314A1"/>
    <w:rsid w:val="00F32153"/>
    <w:rsid w:val="00F343FA"/>
    <w:rsid w:val="00F35DD2"/>
    <w:rsid w:val="00F424E7"/>
    <w:rsid w:val="00F43AEA"/>
    <w:rsid w:val="00F53F69"/>
    <w:rsid w:val="00F54489"/>
    <w:rsid w:val="00F55470"/>
    <w:rsid w:val="00F55CAE"/>
    <w:rsid w:val="00F56070"/>
    <w:rsid w:val="00F56825"/>
    <w:rsid w:val="00F56BE7"/>
    <w:rsid w:val="00F60EBC"/>
    <w:rsid w:val="00F6189C"/>
    <w:rsid w:val="00F61F08"/>
    <w:rsid w:val="00F67FC7"/>
    <w:rsid w:val="00F709CA"/>
    <w:rsid w:val="00F74720"/>
    <w:rsid w:val="00F755FA"/>
    <w:rsid w:val="00F758F4"/>
    <w:rsid w:val="00F7672C"/>
    <w:rsid w:val="00F8545E"/>
    <w:rsid w:val="00F856F3"/>
    <w:rsid w:val="00F8608A"/>
    <w:rsid w:val="00F86910"/>
    <w:rsid w:val="00F97431"/>
    <w:rsid w:val="00FA2A6F"/>
    <w:rsid w:val="00FB2026"/>
    <w:rsid w:val="00FB3402"/>
    <w:rsid w:val="00FB4DD0"/>
    <w:rsid w:val="00FC611B"/>
    <w:rsid w:val="00FC6CFD"/>
    <w:rsid w:val="00FD0793"/>
    <w:rsid w:val="00FD69D7"/>
    <w:rsid w:val="00FE7CCD"/>
    <w:rsid w:val="00FE7EEB"/>
    <w:rsid w:val="00FE7FE5"/>
    <w:rsid w:val="00FF0E03"/>
    <w:rsid w:val="00FF2F61"/>
    <w:rsid w:val="00FF46B9"/>
    <w:rsid w:val="00FF63AD"/>
    <w:rsid w:val="00FF6729"/>
    <w:rsid w:val="01164A77"/>
    <w:rsid w:val="01311D17"/>
    <w:rsid w:val="014038D3"/>
    <w:rsid w:val="015123B9"/>
    <w:rsid w:val="016B0214"/>
    <w:rsid w:val="01917894"/>
    <w:rsid w:val="01A00C4B"/>
    <w:rsid w:val="01B97525"/>
    <w:rsid w:val="01C30DF7"/>
    <w:rsid w:val="01E878E7"/>
    <w:rsid w:val="01F3290A"/>
    <w:rsid w:val="01F37DE7"/>
    <w:rsid w:val="01F61C50"/>
    <w:rsid w:val="01F671EF"/>
    <w:rsid w:val="01F95703"/>
    <w:rsid w:val="01FA2C0B"/>
    <w:rsid w:val="01FD2C1A"/>
    <w:rsid w:val="0200793B"/>
    <w:rsid w:val="02013E0C"/>
    <w:rsid w:val="02064CB5"/>
    <w:rsid w:val="021B6523"/>
    <w:rsid w:val="02201ADC"/>
    <w:rsid w:val="022E26FA"/>
    <w:rsid w:val="025F68E9"/>
    <w:rsid w:val="027A79A3"/>
    <w:rsid w:val="02B669FD"/>
    <w:rsid w:val="02D346F7"/>
    <w:rsid w:val="02D37AE1"/>
    <w:rsid w:val="02E448D5"/>
    <w:rsid w:val="02E607A3"/>
    <w:rsid w:val="02ED1C6E"/>
    <w:rsid w:val="03034238"/>
    <w:rsid w:val="030C6666"/>
    <w:rsid w:val="031D2F23"/>
    <w:rsid w:val="03306128"/>
    <w:rsid w:val="03343E5C"/>
    <w:rsid w:val="035245C3"/>
    <w:rsid w:val="03532A8B"/>
    <w:rsid w:val="035D3B47"/>
    <w:rsid w:val="03740DA9"/>
    <w:rsid w:val="037F1465"/>
    <w:rsid w:val="039E1DCA"/>
    <w:rsid w:val="03A71F10"/>
    <w:rsid w:val="03BD1499"/>
    <w:rsid w:val="03CF75C5"/>
    <w:rsid w:val="03D34DCC"/>
    <w:rsid w:val="03EB12CE"/>
    <w:rsid w:val="042F236B"/>
    <w:rsid w:val="04564310"/>
    <w:rsid w:val="046F3719"/>
    <w:rsid w:val="04737FBB"/>
    <w:rsid w:val="0475648B"/>
    <w:rsid w:val="048B5FB4"/>
    <w:rsid w:val="048E56D2"/>
    <w:rsid w:val="049525BD"/>
    <w:rsid w:val="049D0D0D"/>
    <w:rsid w:val="04B7137A"/>
    <w:rsid w:val="04C80176"/>
    <w:rsid w:val="04DE38EC"/>
    <w:rsid w:val="04F0769E"/>
    <w:rsid w:val="04F82B4C"/>
    <w:rsid w:val="05063B48"/>
    <w:rsid w:val="051E41F2"/>
    <w:rsid w:val="053371A8"/>
    <w:rsid w:val="05352AAE"/>
    <w:rsid w:val="05432019"/>
    <w:rsid w:val="055C132D"/>
    <w:rsid w:val="056A1815"/>
    <w:rsid w:val="056A3A4A"/>
    <w:rsid w:val="05791EDF"/>
    <w:rsid w:val="05AD1B88"/>
    <w:rsid w:val="05B97AAD"/>
    <w:rsid w:val="05CE7A54"/>
    <w:rsid w:val="05DB22F2"/>
    <w:rsid w:val="05EA5181"/>
    <w:rsid w:val="05FD3AFF"/>
    <w:rsid w:val="06022278"/>
    <w:rsid w:val="0607573C"/>
    <w:rsid w:val="060A3D7B"/>
    <w:rsid w:val="060B16EF"/>
    <w:rsid w:val="06174162"/>
    <w:rsid w:val="061C4744"/>
    <w:rsid w:val="062570C3"/>
    <w:rsid w:val="06443FD4"/>
    <w:rsid w:val="06480444"/>
    <w:rsid w:val="066C1DFB"/>
    <w:rsid w:val="069B6956"/>
    <w:rsid w:val="06A504EC"/>
    <w:rsid w:val="06AA75C7"/>
    <w:rsid w:val="06B21B80"/>
    <w:rsid w:val="06B523B4"/>
    <w:rsid w:val="06B8233A"/>
    <w:rsid w:val="06B864B9"/>
    <w:rsid w:val="06D6265A"/>
    <w:rsid w:val="06E273A3"/>
    <w:rsid w:val="06F204F8"/>
    <w:rsid w:val="07277E4A"/>
    <w:rsid w:val="07285B9A"/>
    <w:rsid w:val="07312958"/>
    <w:rsid w:val="074A3B33"/>
    <w:rsid w:val="074E4D11"/>
    <w:rsid w:val="07583439"/>
    <w:rsid w:val="0774473E"/>
    <w:rsid w:val="07761957"/>
    <w:rsid w:val="078D7EC3"/>
    <w:rsid w:val="078E5986"/>
    <w:rsid w:val="07B0770E"/>
    <w:rsid w:val="07BF4B46"/>
    <w:rsid w:val="07CF67A4"/>
    <w:rsid w:val="07D33E57"/>
    <w:rsid w:val="07E07279"/>
    <w:rsid w:val="07E66441"/>
    <w:rsid w:val="07F7358F"/>
    <w:rsid w:val="08061610"/>
    <w:rsid w:val="0807018B"/>
    <w:rsid w:val="080F0AF7"/>
    <w:rsid w:val="0822060B"/>
    <w:rsid w:val="08234384"/>
    <w:rsid w:val="085A5FF7"/>
    <w:rsid w:val="085E77F2"/>
    <w:rsid w:val="08601CA5"/>
    <w:rsid w:val="08607386"/>
    <w:rsid w:val="086A214F"/>
    <w:rsid w:val="087F48B1"/>
    <w:rsid w:val="088E7D78"/>
    <w:rsid w:val="0893616A"/>
    <w:rsid w:val="08A301E0"/>
    <w:rsid w:val="08BA4CE8"/>
    <w:rsid w:val="08D31906"/>
    <w:rsid w:val="08D92472"/>
    <w:rsid w:val="08DB478B"/>
    <w:rsid w:val="08F22A9E"/>
    <w:rsid w:val="091769B7"/>
    <w:rsid w:val="09197F2C"/>
    <w:rsid w:val="091E5277"/>
    <w:rsid w:val="09281AE0"/>
    <w:rsid w:val="09357325"/>
    <w:rsid w:val="093700E7"/>
    <w:rsid w:val="0944330F"/>
    <w:rsid w:val="09546473"/>
    <w:rsid w:val="09573DEF"/>
    <w:rsid w:val="096C18EB"/>
    <w:rsid w:val="096C547C"/>
    <w:rsid w:val="097213F3"/>
    <w:rsid w:val="097D251D"/>
    <w:rsid w:val="098047A7"/>
    <w:rsid w:val="09804E9F"/>
    <w:rsid w:val="099A637A"/>
    <w:rsid w:val="099C24CF"/>
    <w:rsid w:val="09BD687E"/>
    <w:rsid w:val="0A172BED"/>
    <w:rsid w:val="0A206DCD"/>
    <w:rsid w:val="0A32400C"/>
    <w:rsid w:val="0A590531"/>
    <w:rsid w:val="0A7E7828"/>
    <w:rsid w:val="0A960A6B"/>
    <w:rsid w:val="0A98010A"/>
    <w:rsid w:val="0AA07F0D"/>
    <w:rsid w:val="0AAC0660"/>
    <w:rsid w:val="0AB72DDD"/>
    <w:rsid w:val="0AB80DB3"/>
    <w:rsid w:val="0AC0410C"/>
    <w:rsid w:val="0AC73DC4"/>
    <w:rsid w:val="0AD80F34"/>
    <w:rsid w:val="0AF34386"/>
    <w:rsid w:val="0AF662AE"/>
    <w:rsid w:val="0B0E26C8"/>
    <w:rsid w:val="0B1541E7"/>
    <w:rsid w:val="0B1A1627"/>
    <w:rsid w:val="0B274761"/>
    <w:rsid w:val="0B346345"/>
    <w:rsid w:val="0B4F2300"/>
    <w:rsid w:val="0B521208"/>
    <w:rsid w:val="0B616FA4"/>
    <w:rsid w:val="0B702C02"/>
    <w:rsid w:val="0B745622"/>
    <w:rsid w:val="0B7D48FF"/>
    <w:rsid w:val="0B8012D2"/>
    <w:rsid w:val="0B8E1012"/>
    <w:rsid w:val="0B931424"/>
    <w:rsid w:val="0BA23811"/>
    <w:rsid w:val="0BB7152E"/>
    <w:rsid w:val="0BBC48D3"/>
    <w:rsid w:val="0BC33EB3"/>
    <w:rsid w:val="0BC4723C"/>
    <w:rsid w:val="0BC72D6B"/>
    <w:rsid w:val="0BD04B76"/>
    <w:rsid w:val="0BD658E7"/>
    <w:rsid w:val="0BD7795F"/>
    <w:rsid w:val="0BE1433A"/>
    <w:rsid w:val="0BE74F15"/>
    <w:rsid w:val="0C057702"/>
    <w:rsid w:val="0C1629EF"/>
    <w:rsid w:val="0C213484"/>
    <w:rsid w:val="0C2A2BAB"/>
    <w:rsid w:val="0C2F7E00"/>
    <w:rsid w:val="0C337593"/>
    <w:rsid w:val="0C50326D"/>
    <w:rsid w:val="0C546C96"/>
    <w:rsid w:val="0C6256E0"/>
    <w:rsid w:val="0C647A28"/>
    <w:rsid w:val="0C870EF4"/>
    <w:rsid w:val="0C9775F7"/>
    <w:rsid w:val="0CB436E8"/>
    <w:rsid w:val="0CB52FB8"/>
    <w:rsid w:val="0CFF0057"/>
    <w:rsid w:val="0D102BB5"/>
    <w:rsid w:val="0D136775"/>
    <w:rsid w:val="0D177805"/>
    <w:rsid w:val="0D307FED"/>
    <w:rsid w:val="0D462F5B"/>
    <w:rsid w:val="0D527E74"/>
    <w:rsid w:val="0D533015"/>
    <w:rsid w:val="0D70006B"/>
    <w:rsid w:val="0D780753"/>
    <w:rsid w:val="0D7C7B7B"/>
    <w:rsid w:val="0D7D4536"/>
    <w:rsid w:val="0D801668"/>
    <w:rsid w:val="0D8C4C0C"/>
    <w:rsid w:val="0D9244CF"/>
    <w:rsid w:val="0DA66846"/>
    <w:rsid w:val="0DAB2E51"/>
    <w:rsid w:val="0DC30CBA"/>
    <w:rsid w:val="0DDE5C2E"/>
    <w:rsid w:val="0DFA4D41"/>
    <w:rsid w:val="0E09061B"/>
    <w:rsid w:val="0E1925C4"/>
    <w:rsid w:val="0E1B3897"/>
    <w:rsid w:val="0E1D07C2"/>
    <w:rsid w:val="0E22588D"/>
    <w:rsid w:val="0E295BF9"/>
    <w:rsid w:val="0E29697F"/>
    <w:rsid w:val="0E306AE6"/>
    <w:rsid w:val="0E3177FA"/>
    <w:rsid w:val="0E3F42DF"/>
    <w:rsid w:val="0E407913"/>
    <w:rsid w:val="0E415563"/>
    <w:rsid w:val="0E511205"/>
    <w:rsid w:val="0E6E2065"/>
    <w:rsid w:val="0E8B3064"/>
    <w:rsid w:val="0EA15B62"/>
    <w:rsid w:val="0EC37DFB"/>
    <w:rsid w:val="0ECD1762"/>
    <w:rsid w:val="0EE5178E"/>
    <w:rsid w:val="0EFE3455"/>
    <w:rsid w:val="0F346E76"/>
    <w:rsid w:val="0F457322"/>
    <w:rsid w:val="0F4C71A5"/>
    <w:rsid w:val="0F4E10C9"/>
    <w:rsid w:val="0F587009"/>
    <w:rsid w:val="0F5C6E37"/>
    <w:rsid w:val="0F655A1E"/>
    <w:rsid w:val="0F97145F"/>
    <w:rsid w:val="0FA04519"/>
    <w:rsid w:val="0FC5251E"/>
    <w:rsid w:val="0FC621C4"/>
    <w:rsid w:val="0FD1429A"/>
    <w:rsid w:val="0FDA17CC"/>
    <w:rsid w:val="0FE55601"/>
    <w:rsid w:val="0FFA018F"/>
    <w:rsid w:val="100121CB"/>
    <w:rsid w:val="100A5E45"/>
    <w:rsid w:val="1051674C"/>
    <w:rsid w:val="106D5EC4"/>
    <w:rsid w:val="1076213B"/>
    <w:rsid w:val="107A3E35"/>
    <w:rsid w:val="109E016A"/>
    <w:rsid w:val="10A21880"/>
    <w:rsid w:val="10B309F0"/>
    <w:rsid w:val="10B6400D"/>
    <w:rsid w:val="10B93EAC"/>
    <w:rsid w:val="10C05D7B"/>
    <w:rsid w:val="10CA1347"/>
    <w:rsid w:val="10DA72A9"/>
    <w:rsid w:val="10DE674D"/>
    <w:rsid w:val="11005262"/>
    <w:rsid w:val="110425E4"/>
    <w:rsid w:val="111331E7"/>
    <w:rsid w:val="112A25C0"/>
    <w:rsid w:val="115033D9"/>
    <w:rsid w:val="115455AE"/>
    <w:rsid w:val="117048C5"/>
    <w:rsid w:val="117143B2"/>
    <w:rsid w:val="117760A5"/>
    <w:rsid w:val="118A2253"/>
    <w:rsid w:val="11A021F8"/>
    <w:rsid w:val="11AD426E"/>
    <w:rsid w:val="11B06995"/>
    <w:rsid w:val="11B14D4D"/>
    <w:rsid w:val="11C0052E"/>
    <w:rsid w:val="11D16ECB"/>
    <w:rsid w:val="11D85406"/>
    <w:rsid w:val="11ED3C7D"/>
    <w:rsid w:val="12160F3D"/>
    <w:rsid w:val="12323B41"/>
    <w:rsid w:val="124949E7"/>
    <w:rsid w:val="124B4801"/>
    <w:rsid w:val="124D2729"/>
    <w:rsid w:val="126F278D"/>
    <w:rsid w:val="127663F0"/>
    <w:rsid w:val="12866A7B"/>
    <w:rsid w:val="128B4FFF"/>
    <w:rsid w:val="12955E7E"/>
    <w:rsid w:val="12AB3870"/>
    <w:rsid w:val="12BB31E6"/>
    <w:rsid w:val="12D15D0D"/>
    <w:rsid w:val="12DF1144"/>
    <w:rsid w:val="12E24E19"/>
    <w:rsid w:val="12EA61CA"/>
    <w:rsid w:val="12F34C62"/>
    <w:rsid w:val="12F56762"/>
    <w:rsid w:val="12F643C7"/>
    <w:rsid w:val="130A04BB"/>
    <w:rsid w:val="13207E3D"/>
    <w:rsid w:val="1321385B"/>
    <w:rsid w:val="13220F5F"/>
    <w:rsid w:val="13247647"/>
    <w:rsid w:val="132D1B34"/>
    <w:rsid w:val="13337B71"/>
    <w:rsid w:val="133438E9"/>
    <w:rsid w:val="13441D7E"/>
    <w:rsid w:val="136664A0"/>
    <w:rsid w:val="136B6693"/>
    <w:rsid w:val="137C1C8F"/>
    <w:rsid w:val="138764B6"/>
    <w:rsid w:val="13A13B8C"/>
    <w:rsid w:val="13BC3401"/>
    <w:rsid w:val="13C37F68"/>
    <w:rsid w:val="13CB3188"/>
    <w:rsid w:val="13CD2A8C"/>
    <w:rsid w:val="13DF3855"/>
    <w:rsid w:val="13E039BA"/>
    <w:rsid w:val="13E61520"/>
    <w:rsid w:val="13F637CD"/>
    <w:rsid w:val="140806B7"/>
    <w:rsid w:val="141D6EBE"/>
    <w:rsid w:val="142F05CE"/>
    <w:rsid w:val="14323171"/>
    <w:rsid w:val="14360F37"/>
    <w:rsid w:val="14364EC1"/>
    <w:rsid w:val="143E63F9"/>
    <w:rsid w:val="144A4FC4"/>
    <w:rsid w:val="145C566D"/>
    <w:rsid w:val="146E1D08"/>
    <w:rsid w:val="1487230E"/>
    <w:rsid w:val="14B76C54"/>
    <w:rsid w:val="14C52A4A"/>
    <w:rsid w:val="14C84A35"/>
    <w:rsid w:val="14CA0061"/>
    <w:rsid w:val="14D80E5F"/>
    <w:rsid w:val="14EC3E47"/>
    <w:rsid w:val="15240574"/>
    <w:rsid w:val="152500E3"/>
    <w:rsid w:val="152F25BA"/>
    <w:rsid w:val="154C514C"/>
    <w:rsid w:val="154F6C3C"/>
    <w:rsid w:val="15623122"/>
    <w:rsid w:val="1574656B"/>
    <w:rsid w:val="15773BCA"/>
    <w:rsid w:val="15856A55"/>
    <w:rsid w:val="15883C49"/>
    <w:rsid w:val="158D1EAF"/>
    <w:rsid w:val="1596310C"/>
    <w:rsid w:val="15A467AF"/>
    <w:rsid w:val="15AA2453"/>
    <w:rsid w:val="15BC36F9"/>
    <w:rsid w:val="15CA4C2B"/>
    <w:rsid w:val="15E2368E"/>
    <w:rsid w:val="15E84C14"/>
    <w:rsid w:val="15EE4223"/>
    <w:rsid w:val="15F0479D"/>
    <w:rsid w:val="15F25956"/>
    <w:rsid w:val="160459EA"/>
    <w:rsid w:val="16095A74"/>
    <w:rsid w:val="161A6DC6"/>
    <w:rsid w:val="161E1735"/>
    <w:rsid w:val="162E2871"/>
    <w:rsid w:val="163B5EDD"/>
    <w:rsid w:val="167D1059"/>
    <w:rsid w:val="168D0143"/>
    <w:rsid w:val="16907088"/>
    <w:rsid w:val="16D63253"/>
    <w:rsid w:val="16DE3544"/>
    <w:rsid w:val="16E01092"/>
    <w:rsid w:val="16F359DD"/>
    <w:rsid w:val="16FA3DEE"/>
    <w:rsid w:val="16FE5A71"/>
    <w:rsid w:val="17005FBC"/>
    <w:rsid w:val="170B5EA3"/>
    <w:rsid w:val="171320B4"/>
    <w:rsid w:val="173E6ABA"/>
    <w:rsid w:val="175B0F1E"/>
    <w:rsid w:val="177F092F"/>
    <w:rsid w:val="178F10EE"/>
    <w:rsid w:val="1792140E"/>
    <w:rsid w:val="17933799"/>
    <w:rsid w:val="17BF185E"/>
    <w:rsid w:val="17BF6EB3"/>
    <w:rsid w:val="17D8444E"/>
    <w:rsid w:val="17E23913"/>
    <w:rsid w:val="17E47CAD"/>
    <w:rsid w:val="17E625C2"/>
    <w:rsid w:val="17E849CD"/>
    <w:rsid w:val="17F075E3"/>
    <w:rsid w:val="17F457F1"/>
    <w:rsid w:val="17F87C6E"/>
    <w:rsid w:val="18025FDB"/>
    <w:rsid w:val="18051D7D"/>
    <w:rsid w:val="181D35D1"/>
    <w:rsid w:val="18335364"/>
    <w:rsid w:val="18396CD2"/>
    <w:rsid w:val="183B771E"/>
    <w:rsid w:val="185901D9"/>
    <w:rsid w:val="18592360"/>
    <w:rsid w:val="185A5BA0"/>
    <w:rsid w:val="186B4CDF"/>
    <w:rsid w:val="187212AC"/>
    <w:rsid w:val="187C02E7"/>
    <w:rsid w:val="18896F0C"/>
    <w:rsid w:val="18B011F1"/>
    <w:rsid w:val="18B36492"/>
    <w:rsid w:val="18CD6371"/>
    <w:rsid w:val="18DC65B5"/>
    <w:rsid w:val="18F2497C"/>
    <w:rsid w:val="190229CF"/>
    <w:rsid w:val="19097E8D"/>
    <w:rsid w:val="192341E3"/>
    <w:rsid w:val="19720CC7"/>
    <w:rsid w:val="1978688C"/>
    <w:rsid w:val="1997132A"/>
    <w:rsid w:val="199A10B7"/>
    <w:rsid w:val="19A075E2"/>
    <w:rsid w:val="19B72B7E"/>
    <w:rsid w:val="19C01A32"/>
    <w:rsid w:val="19CC2B35"/>
    <w:rsid w:val="19CF6119"/>
    <w:rsid w:val="19FB6C73"/>
    <w:rsid w:val="19FC2762"/>
    <w:rsid w:val="1A246AEB"/>
    <w:rsid w:val="1A2B7B75"/>
    <w:rsid w:val="1A313A5B"/>
    <w:rsid w:val="1A402B73"/>
    <w:rsid w:val="1A442663"/>
    <w:rsid w:val="1A5716FB"/>
    <w:rsid w:val="1A575719"/>
    <w:rsid w:val="1A613215"/>
    <w:rsid w:val="1A683AA6"/>
    <w:rsid w:val="1A887C1A"/>
    <w:rsid w:val="1A9D028E"/>
    <w:rsid w:val="1AA21277"/>
    <w:rsid w:val="1AA33380"/>
    <w:rsid w:val="1AA82939"/>
    <w:rsid w:val="1AB377E9"/>
    <w:rsid w:val="1ABF2240"/>
    <w:rsid w:val="1AD67034"/>
    <w:rsid w:val="1AEE4B5E"/>
    <w:rsid w:val="1B010554"/>
    <w:rsid w:val="1B17775C"/>
    <w:rsid w:val="1B177D78"/>
    <w:rsid w:val="1B1E4CC6"/>
    <w:rsid w:val="1B1F09DB"/>
    <w:rsid w:val="1B211756"/>
    <w:rsid w:val="1B291859"/>
    <w:rsid w:val="1B2A271F"/>
    <w:rsid w:val="1B5C1491"/>
    <w:rsid w:val="1B5D25D3"/>
    <w:rsid w:val="1B6F4B4B"/>
    <w:rsid w:val="1B7452CD"/>
    <w:rsid w:val="1B7937A7"/>
    <w:rsid w:val="1B895EE0"/>
    <w:rsid w:val="1BB13D28"/>
    <w:rsid w:val="1BBA4C58"/>
    <w:rsid w:val="1BC33A5C"/>
    <w:rsid w:val="1BD50639"/>
    <w:rsid w:val="1BD937BC"/>
    <w:rsid w:val="1BF06A09"/>
    <w:rsid w:val="1BF65128"/>
    <w:rsid w:val="1C0F742A"/>
    <w:rsid w:val="1C1945A6"/>
    <w:rsid w:val="1C1D7513"/>
    <w:rsid w:val="1C2D098F"/>
    <w:rsid w:val="1C4824DF"/>
    <w:rsid w:val="1C5967C2"/>
    <w:rsid w:val="1C60574F"/>
    <w:rsid w:val="1C656C23"/>
    <w:rsid w:val="1C6C5454"/>
    <w:rsid w:val="1C8A3438"/>
    <w:rsid w:val="1CA3588B"/>
    <w:rsid w:val="1CAE3454"/>
    <w:rsid w:val="1CBD66FD"/>
    <w:rsid w:val="1CD170A5"/>
    <w:rsid w:val="1CDD0B4D"/>
    <w:rsid w:val="1CE046C9"/>
    <w:rsid w:val="1D0667AD"/>
    <w:rsid w:val="1D1B167A"/>
    <w:rsid w:val="1D3544E5"/>
    <w:rsid w:val="1D3A5A10"/>
    <w:rsid w:val="1D613C19"/>
    <w:rsid w:val="1D6B6159"/>
    <w:rsid w:val="1D7033EA"/>
    <w:rsid w:val="1D723096"/>
    <w:rsid w:val="1D866C02"/>
    <w:rsid w:val="1DB34357"/>
    <w:rsid w:val="1DBE594D"/>
    <w:rsid w:val="1DDE692B"/>
    <w:rsid w:val="1DF63C75"/>
    <w:rsid w:val="1DFB128B"/>
    <w:rsid w:val="1DFD40CD"/>
    <w:rsid w:val="1DFF4788"/>
    <w:rsid w:val="1E0A702C"/>
    <w:rsid w:val="1E1B7B7F"/>
    <w:rsid w:val="1E214C26"/>
    <w:rsid w:val="1E320E33"/>
    <w:rsid w:val="1E430E84"/>
    <w:rsid w:val="1E45225B"/>
    <w:rsid w:val="1E477F11"/>
    <w:rsid w:val="1E483082"/>
    <w:rsid w:val="1E63486F"/>
    <w:rsid w:val="1E845724"/>
    <w:rsid w:val="1EB15DEE"/>
    <w:rsid w:val="1EB63404"/>
    <w:rsid w:val="1EB96638"/>
    <w:rsid w:val="1ED1023E"/>
    <w:rsid w:val="1ED3045A"/>
    <w:rsid w:val="1EE461C3"/>
    <w:rsid w:val="1EE73F05"/>
    <w:rsid w:val="1EF32682"/>
    <w:rsid w:val="1EF34658"/>
    <w:rsid w:val="1F0626C4"/>
    <w:rsid w:val="1F0A3228"/>
    <w:rsid w:val="1F0B0D8A"/>
    <w:rsid w:val="1F100258"/>
    <w:rsid w:val="1F407283"/>
    <w:rsid w:val="1F4C48BD"/>
    <w:rsid w:val="1F631E38"/>
    <w:rsid w:val="1F753185"/>
    <w:rsid w:val="1F841582"/>
    <w:rsid w:val="1F8F4381"/>
    <w:rsid w:val="1F923E71"/>
    <w:rsid w:val="1F941997"/>
    <w:rsid w:val="1F9C6082"/>
    <w:rsid w:val="1F9F20EA"/>
    <w:rsid w:val="1F9F7F81"/>
    <w:rsid w:val="1FA84DA5"/>
    <w:rsid w:val="1FAD781E"/>
    <w:rsid w:val="1FAE260D"/>
    <w:rsid w:val="1FB45B95"/>
    <w:rsid w:val="1FD1020D"/>
    <w:rsid w:val="200308CB"/>
    <w:rsid w:val="200A3F70"/>
    <w:rsid w:val="200E1C53"/>
    <w:rsid w:val="20186082"/>
    <w:rsid w:val="20286583"/>
    <w:rsid w:val="202C772C"/>
    <w:rsid w:val="203171E6"/>
    <w:rsid w:val="203767C6"/>
    <w:rsid w:val="203C0F45"/>
    <w:rsid w:val="203D1087"/>
    <w:rsid w:val="204443FE"/>
    <w:rsid w:val="204607B7"/>
    <w:rsid w:val="204C4020"/>
    <w:rsid w:val="205632FF"/>
    <w:rsid w:val="20660D56"/>
    <w:rsid w:val="20713A86"/>
    <w:rsid w:val="207548D4"/>
    <w:rsid w:val="207E0F00"/>
    <w:rsid w:val="20983B39"/>
    <w:rsid w:val="20A24BBD"/>
    <w:rsid w:val="20A774A8"/>
    <w:rsid w:val="20AD01D7"/>
    <w:rsid w:val="20AF6023"/>
    <w:rsid w:val="20BA1AE1"/>
    <w:rsid w:val="20CF5E7F"/>
    <w:rsid w:val="20D364EF"/>
    <w:rsid w:val="20DE1504"/>
    <w:rsid w:val="20E64474"/>
    <w:rsid w:val="20E9368B"/>
    <w:rsid w:val="20EF1769"/>
    <w:rsid w:val="21284ECA"/>
    <w:rsid w:val="212B00D9"/>
    <w:rsid w:val="21366A7E"/>
    <w:rsid w:val="215A751C"/>
    <w:rsid w:val="215F4766"/>
    <w:rsid w:val="216333D5"/>
    <w:rsid w:val="2168390B"/>
    <w:rsid w:val="216C1524"/>
    <w:rsid w:val="217774AF"/>
    <w:rsid w:val="21837A35"/>
    <w:rsid w:val="2185375B"/>
    <w:rsid w:val="21B41808"/>
    <w:rsid w:val="21C1096F"/>
    <w:rsid w:val="21E173C7"/>
    <w:rsid w:val="21E56E9A"/>
    <w:rsid w:val="21EA2970"/>
    <w:rsid w:val="21F47D0E"/>
    <w:rsid w:val="221225CA"/>
    <w:rsid w:val="22135B75"/>
    <w:rsid w:val="221B4682"/>
    <w:rsid w:val="221C138B"/>
    <w:rsid w:val="221C25CB"/>
    <w:rsid w:val="223009B6"/>
    <w:rsid w:val="22350AE4"/>
    <w:rsid w:val="224D407F"/>
    <w:rsid w:val="225A3C5D"/>
    <w:rsid w:val="227E248B"/>
    <w:rsid w:val="22B304A2"/>
    <w:rsid w:val="22F36350"/>
    <w:rsid w:val="22F535FA"/>
    <w:rsid w:val="23130E25"/>
    <w:rsid w:val="231E4F73"/>
    <w:rsid w:val="23386A7D"/>
    <w:rsid w:val="233F7DCA"/>
    <w:rsid w:val="23403BE4"/>
    <w:rsid w:val="23684505"/>
    <w:rsid w:val="237F77E2"/>
    <w:rsid w:val="23804D49"/>
    <w:rsid w:val="23965116"/>
    <w:rsid w:val="23BD3F0B"/>
    <w:rsid w:val="23BE2665"/>
    <w:rsid w:val="23D031BA"/>
    <w:rsid w:val="23DE7685"/>
    <w:rsid w:val="23F055C6"/>
    <w:rsid w:val="23FC7B97"/>
    <w:rsid w:val="24072635"/>
    <w:rsid w:val="24286B52"/>
    <w:rsid w:val="243D7784"/>
    <w:rsid w:val="24547947"/>
    <w:rsid w:val="24560E4E"/>
    <w:rsid w:val="24866EEE"/>
    <w:rsid w:val="24945C1D"/>
    <w:rsid w:val="24967F5F"/>
    <w:rsid w:val="24981B1E"/>
    <w:rsid w:val="249E3311"/>
    <w:rsid w:val="24B0357D"/>
    <w:rsid w:val="24B04F28"/>
    <w:rsid w:val="24BD6006"/>
    <w:rsid w:val="24C624D4"/>
    <w:rsid w:val="24C7369D"/>
    <w:rsid w:val="24DB0068"/>
    <w:rsid w:val="24E60522"/>
    <w:rsid w:val="24E8613B"/>
    <w:rsid w:val="24F728CC"/>
    <w:rsid w:val="24F7347E"/>
    <w:rsid w:val="24F9018D"/>
    <w:rsid w:val="250A6132"/>
    <w:rsid w:val="25140E84"/>
    <w:rsid w:val="25276E09"/>
    <w:rsid w:val="252E36C2"/>
    <w:rsid w:val="253B27C2"/>
    <w:rsid w:val="253E0642"/>
    <w:rsid w:val="255B7FD2"/>
    <w:rsid w:val="25626093"/>
    <w:rsid w:val="256B2D6E"/>
    <w:rsid w:val="257B496A"/>
    <w:rsid w:val="25801456"/>
    <w:rsid w:val="25897AC4"/>
    <w:rsid w:val="259D70CC"/>
    <w:rsid w:val="25B215E3"/>
    <w:rsid w:val="25CE3729"/>
    <w:rsid w:val="25DC5E46"/>
    <w:rsid w:val="25F21770"/>
    <w:rsid w:val="25FF6DE8"/>
    <w:rsid w:val="260E1545"/>
    <w:rsid w:val="261C22D6"/>
    <w:rsid w:val="263B5473"/>
    <w:rsid w:val="263F63D5"/>
    <w:rsid w:val="2640132A"/>
    <w:rsid w:val="264310FE"/>
    <w:rsid w:val="264A66CE"/>
    <w:rsid w:val="265260FC"/>
    <w:rsid w:val="265C3412"/>
    <w:rsid w:val="266B082C"/>
    <w:rsid w:val="266E404E"/>
    <w:rsid w:val="267077C7"/>
    <w:rsid w:val="26874BF2"/>
    <w:rsid w:val="268B2965"/>
    <w:rsid w:val="268E1A5C"/>
    <w:rsid w:val="26B90B00"/>
    <w:rsid w:val="26CB7B6F"/>
    <w:rsid w:val="27075101"/>
    <w:rsid w:val="271138CD"/>
    <w:rsid w:val="271625A8"/>
    <w:rsid w:val="27264473"/>
    <w:rsid w:val="273427DA"/>
    <w:rsid w:val="27403A7D"/>
    <w:rsid w:val="27480DA7"/>
    <w:rsid w:val="275237D6"/>
    <w:rsid w:val="275814FC"/>
    <w:rsid w:val="277104E3"/>
    <w:rsid w:val="27727EE2"/>
    <w:rsid w:val="27766B34"/>
    <w:rsid w:val="27785051"/>
    <w:rsid w:val="27985D9D"/>
    <w:rsid w:val="27A44A0A"/>
    <w:rsid w:val="27B17B6D"/>
    <w:rsid w:val="27BC0609"/>
    <w:rsid w:val="27CC2D21"/>
    <w:rsid w:val="27D0414E"/>
    <w:rsid w:val="280554C9"/>
    <w:rsid w:val="281C391F"/>
    <w:rsid w:val="283B1072"/>
    <w:rsid w:val="283C5DB3"/>
    <w:rsid w:val="28724840"/>
    <w:rsid w:val="28752360"/>
    <w:rsid w:val="287F01B3"/>
    <w:rsid w:val="289C5C7B"/>
    <w:rsid w:val="28AA3556"/>
    <w:rsid w:val="28AD37B6"/>
    <w:rsid w:val="28D027C1"/>
    <w:rsid w:val="28D74098"/>
    <w:rsid w:val="28D906B5"/>
    <w:rsid w:val="28E57C71"/>
    <w:rsid w:val="28EB2AD5"/>
    <w:rsid w:val="28EB3085"/>
    <w:rsid w:val="28F016C2"/>
    <w:rsid w:val="28FD43DB"/>
    <w:rsid w:val="290B2078"/>
    <w:rsid w:val="29195F6C"/>
    <w:rsid w:val="29275A5D"/>
    <w:rsid w:val="292B376C"/>
    <w:rsid w:val="29453F13"/>
    <w:rsid w:val="29506674"/>
    <w:rsid w:val="29524882"/>
    <w:rsid w:val="29542197"/>
    <w:rsid w:val="29581C87"/>
    <w:rsid w:val="296E3259"/>
    <w:rsid w:val="29724C94"/>
    <w:rsid w:val="29797D36"/>
    <w:rsid w:val="29A0362E"/>
    <w:rsid w:val="29B64C00"/>
    <w:rsid w:val="29BE6110"/>
    <w:rsid w:val="29C16D79"/>
    <w:rsid w:val="29FB0865"/>
    <w:rsid w:val="2A173A40"/>
    <w:rsid w:val="2A1F1A78"/>
    <w:rsid w:val="2A465F84"/>
    <w:rsid w:val="2A5A3AF4"/>
    <w:rsid w:val="2A5B004D"/>
    <w:rsid w:val="2A620326"/>
    <w:rsid w:val="2A7D7E1C"/>
    <w:rsid w:val="2A893327"/>
    <w:rsid w:val="2A8D6CCA"/>
    <w:rsid w:val="2A9924AA"/>
    <w:rsid w:val="2A9A19B5"/>
    <w:rsid w:val="2A9E58A2"/>
    <w:rsid w:val="2AAD1A87"/>
    <w:rsid w:val="2AAF0549"/>
    <w:rsid w:val="2AAF4247"/>
    <w:rsid w:val="2AB253C7"/>
    <w:rsid w:val="2AB353AB"/>
    <w:rsid w:val="2AB35CCC"/>
    <w:rsid w:val="2ACA2711"/>
    <w:rsid w:val="2AE65071"/>
    <w:rsid w:val="2AF543B4"/>
    <w:rsid w:val="2B05199B"/>
    <w:rsid w:val="2B122C35"/>
    <w:rsid w:val="2B28087B"/>
    <w:rsid w:val="2B2C33CC"/>
    <w:rsid w:val="2B3910D2"/>
    <w:rsid w:val="2B434271"/>
    <w:rsid w:val="2B470F10"/>
    <w:rsid w:val="2B586026"/>
    <w:rsid w:val="2B664413"/>
    <w:rsid w:val="2B681F2A"/>
    <w:rsid w:val="2B88197A"/>
    <w:rsid w:val="2BA00A37"/>
    <w:rsid w:val="2BA8442D"/>
    <w:rsid w:val="2BA967CA"/>
    <w:rsid w:val="2BB71148"/>
    <w:rsid w:val="2BCA0622"/>
    <w:rsid w:val="2BDB094E"/>
    <w:rsid w:val="2BDB3810"/>
    <w:rsid w:val="2BE617CC"/>
    <w:rsid w:val="2BEC411D"/>
    <w:rsid w:val="2BF657D8"/>
    <w:rsid w:val="2C0418F6"/>
    <w:rsid w:val="2C1B0514"/>
    <w:rsid w:val="2C244A8B"/>
    <w:rsid w:val="2C534988"/>
    <w:rsid w:val="2C5F332D"/>
    <w:rsid w:val="2C7B7883"/>
    <w:rsid w:val="2C7C4C65"/>
    <w:rsid w:val="2C82701B"/>
    <w:rsid w:val="2C974875"/>
    <w:rsid w:val="2C9C00DD"/>
    <w:rsid w:val="2CA76CEC"/>
    <w:rsid w:val="2CAC29D6"/>
    <w:rsid w:val="2CCE2260"/>
    <w:rsid w:val="2CCE400E"/>
    <w:rsid w:val="2CD535EF"/>
    <w:rsid w:val="2CDD532D"/>
    <w:rsid w:val="2CF41CC7"/>
    <w:rsid w:val="2D200D0E"/>
    <w:rsid w:val="2D472E00"/>
    <w:rsid w:val="2D4F1427"/>
    <w:rsid w:val="2D532087"/>
    <w:rsid w:val="2D60272E"/>
    <w:rsid w:val="2D7146D6"/>
    <w:rsid w:val="2D7D67A1"/>
    <w:rsid w:val="2D8639BE"/>
    <w:rsid w:val="2D8E4A3A"/>
    <w:rsid w:val="2D9124BA"/>
    <w:rsid w:val="2DAF13AE"/>
    <w:rsid w:val="2DB57E4B"/>
    <w:rsid w:val="2DB95E33"/>
    <w:rsid w:val="2DBA2F11"/>
    <w:rsid w:val="2DD05C60"/>
    <w:rsid w:val="2DDA6624"/>
    <w:rsid w:val="2DE36002"/>
    <w:rsid w:val="2DFA155F"/>
    <w:rsid w:val="2DFC337B"/>
    <w:rsid w:val="2E0D0AEF"/>
    <w:rsid w:val="2E0F0D1B"/>
    <w:rsid w:val="2E3F4DBA"/>
    <w:rsid w:val="2E440655"/>
    <w:rsid w:val="2E562A35"/>
    <w:rsid w:val="2E7B47CE"/>
    <w:rsid w:val="2EA22753"/>
    <w:rsid w:val="2EA27501"/>
    <w:rsid w:val="2EA86BAF"/>
    <w:rsid w:val="2ED42084"/>
    <w:rsid w:val="2EE97BBC"/>
    <w:rsid w:val="2F042A34"/>
    <w:rsid w:val="2F0957D2"/>
    <w:rsid w:val="2F154177"/>
    <w:rsid w:val="2F1871E9"/>
    <w:rsid w:val="2F1920D6"/>
    <w:rsid w:val="2F1D2BF9"/>
    <w:rsid w:val="2F30739F"/>
    <w:rsid w:val="2F482013"/>
    <w:rsid w:val="2F655F55"/>
    <w:rsid w:val="2F6D41A5"/>
    <w:rsid w:val="2F70458C"/>
    <w:rsid w:val="2F9C6646"/>
    <w:rsid w:val="2FBF5CA8"/>
    <w:rsid w:val="2FE24FA7"/>
    <w:rsid w:val="2FF84086"/>
    <w:rsid w:val="30043826"/>
    <w:rsid w:val="300B5720"/>
    <w:rsid w:val="301B0190"/>
    <w:rsid w:val="301F550A"/>
    <w:rsid w:val="304765B2"/>
    <w:rsid w:val="304F5466"/>
    <w:rsid w:val="30543E98"/>
    <w:rsid w:val="30550CCF"/>
    <w:rsid w:val="305F5242"/>
    <w:rsid w:val="30633E8D"/>
    <w:rsid w:val="30717AD3"/>
    <w:rsid w:val="309108BC"/>
    <w:rsid w:val="30972709"/>
    <w:rsid w:val="30A94822"/>
    <w:rsid w:val="30AD1EB0"/>
    <w:rsid w:val="30B71989"/>
    <w:rsid w:val="30C2496D"/>
    <w:rsid w:val="30C52242"/>
    <w:rsid w:val="30CC1770"/>
    <w:rsid w:val="30D37E45"/>
    <w:rsid w:val="30D431A5"/>
    <w:rsid w:val="30D435EB"/>
    <w:rsid w:val="30E7007E"/>
    <w:rsid w:val="30FF0C3A"/>
    <w:rsid w:val="3114343F"/>
    <w:rsid w:val="31195490"/>
    <w:rsid w:val="31226EF7"/>
    <w:rsid w:val="31321010"/>
    <w:rsid w:val="31350C4C"/>
    <w:rsid w:val="31553DF5"/>
    <w:rsid w:val="31576C02"/>
    <w:rsid w:val="3182724D"/>
    <w:rsid w:val="31921AAF"/>
    <w:rsid w:val="319B00D5"/>
    <w:rsid w:val="319D7B65"/>
    <w:rsid w:val="31A07835"/>
    <w:rsid w:val="31B27CB5"/>
    <w:rsid w:val="31B304DA"/>
    <w:rsid w:val="31C47610"/>
    <w:rsid w:val="31D00F1E"/>
    <w:rsid w:val="31F14A27"/>
    <w:rsid w:val="31F44517"/>
    <w:rsid w:val="32132BEF"/>
    <w:rsid w:val="321364C4"/>
    <w:rsid w:val="32180206"/>
    <w:rsid w:val="321F0552"/>
    <w:rsid w:val="32241C71"/>
    <w:rsid w:val="325B00F2"/>
    <w:rsid w:val="32600D96"/>
    <w:rsid w:val="326E688F"/>
    <w:rsid w:val="32867CA8"/>
    <w:rsid w:val="328F5FEE"/>
    <w:rsid w:val="32E135B2"/>
    <w:rsid w:val="32E766E9"/>
    <w:rsid w:val="32FE2F79"/>
    <w:rsid w:val="3301066E"/>
    <w:rsid w:val="33376012"/>
    <w:rsid w:val="33677CCD"/>
    <w:rsid w:val="337A3C46"/>
    <w:rsid w:val="337C47C4"/>
    <w:rsid w:val="33800718"/>
    <w:rsid w:val="33C068BB"/>
    <w:rsid w:val="33E33872"/>
    <w:rsid w:val="33F04F1F"/>
    <w:rsid w:val="33F109FA"/>
    <w:rsid w:val="340300E9"/>
    <w:rsid w:val="341F6763"/>
    <w:rsid w:val="34291BF8"/>
    <w:rsid w:val="343B642D"/>
    <w:rsid w:val="344277BC"/>
    <w:rsid w:val="346F3BA7"/>
    <w:rsid w:val="347037BD"/>
    <w:rsid w:val="34711F8B"/>
    <w:rsid w:val="34740116"/>
    <w:rsid w:val="34781430"/>
    <w:rsid w:val="347831DE"/>
    <w:rsid w:val="34812E8F"/>
    <w:rsid w:val="34880F47"/>
    <w:rsid w:val="349A34DB"/>
    <w:rsid w:val="34B55708"/>
    <w:rsid w:val="34B8755D"/>
    <w:rsid w:val="34C54AD8"/>
    <w:rsid w:val="34CC4B3B"/>
    <w:rsid w:val="34D874BA"/>
    <w:rsid w:val="34E46AC5"/>
    <w:rsid w:val="34E70AD6"/>
    <w:rsid w:val="34EA04D4"/>
    <w:rsid w:val="34FA1E45"/>
    <w:rsid w:val="35301450"/>
    <w:rsid w:val="35367747"/>
    <w:rsid w:val="355B3707"/>
    <w:rsid w:val="355D1FC2"/>
    <w:rsid w:val="356F260C"/>
    <w:rsid w:val="3571598B"/>
    <w:rsid w:val="358A3883"/>
    <w:rsid w:val="35A324DC"/>
    <w:rsid w:val="35CB37E1"/>
    <w:rsid w:val="35DF2B69"/>
    <w:rsid w:val="35E8498A"/>
    <w:rsid w:val="35EC0271"/>
    <w:rsid w:val="3604351D"/>
    <w:rsid w:val="360665DE"/>
    <w:rsid w:val="360D61CC"/>
    <w:rsid w:val="36201B3B"/>
    <w:rsid w:val="36261B42"/>
    <w:rsid w:val="362D444E"/>
    <w:rsid w:val="362E3E38"/>
    <w:rsid w:val="364041CF"/>
    <w:rsid w:val="364D63A5"/>
    <w:rsid w:val="364E6B57"/>
    <w:rsid w:val="36613E2D"/>
    <w:rsid w:val="36761704"/>
    <w:rsid w:val="36791FB9"/>
    <w:rsid w:val="368C2F70"/>
    <w:rsid w:val="36960A1A"/>
    <w:rsid w:val="369B046E"/>
    <w:rsid w:val="369D517D"/>
    <w:rsid w:val="36A4650C"/>
    <w:rsid w:val="36A77DAA"/>
    <w:rsid w:val="36B30CB6"/>
    <w:rsid w:val="36BA0E3D"/>
    <w:rsid w:val="36BA5D2F"/>
    <w:rsid w:val="36BF2124"/>
    <w:rsid w:val="36C42854"/>
    <w:rsid w:val="36DA1F2E"/>
    <w:rsid w:val="36DC7704"/>
    <w:rsid w:val="36FF67FF"/>
    <w:rsid w:val="37015A93"/>
    <w:rsid w:val="371552FC"/>
    <w:rsid w:val="37254F27"/>
    <w:rsid w:val="37396A83"/>
    <w:rsid w:val="377A4B26"/>
    <w:rsid w:val="377E3A62"/>
    <w:rsid w:val="37807C4D"/>
    <w:rsid w:val="378B02FC"/>
    <w:rsid w:val="37B10BEA"/>
    <w:rsid w:val="37B207B5"/>
    <w:rsid w:val="37C30D25"/>
    <w:rsid w:val="37C41C2B"/>
    <w:rsid w:val="37D408F9"/>
    <w:rsid w:val="37DC6E40"/>
    <w:rsid w:val="37DF696F"/>
    <w:rsid w:val="37E74C0F"/>
    <w:rsid w:val="37E8067A"/>
    <w:rsid w:val="37EA31A8"/>
    <w:rsid w:val="37F720AC"/>
    <w:rsid w:val="382B20B3"/>
    <w:rsid w:val="38465EC0"/>
    <w:rsid w:val="38495459"/>
    <w:rsid w:val="384F06F9"/>
    <w:rsid w:val="385B20CD"/>
    <w:rsid w:val="385C6972"/>
    <w:rsid w:val="38635F53"/>
    <w:rsid w:val="3872263A"/>
    <w:rsid w:val="38817344"/>
    <w:rsid w:val="388A7983"/>
    <w:rsid w:val="389B6CF0"/>
    <w:rsid w:val="389D1465"/>
    <w:rsid w:val="38A71472"/>
    <w:rsid w:val="38A74BF9"/>
    <w:rsid w:val="38B7563D"/>
    <w:rsid w:val="38BE1B5C"/>
    <w:rsid w:val="38DB7D7B"/>
    <w:rsid w:val="38E726E0"/>
    <w:rsid w:val="38EE3475"/>
    <w:rsid w:val="390414E4"/>
    <w:rsid w:val="390A3637"/>
    <w:rsid w:val="3914724D"/>
    <w:rsid w:val="3931022D"/>
    <w:rsid w:val="393A5014"/>
    <w:rsid w:val="39561614"/>
    <w:rsid w:val="396665B7"/>
    <w:rsid w:val="396C0E37"/>
    <w:rsid w:val="396E16FC"/>
    <w:rsid w:val="39847797"/>
    <w:rsid w:val="39BB7346"/>
    <w:rsid w:val="39CF56D4"/>
    <w:rsid w:val="39DD669A"/>
    <w:rsid w:val="39E37992"/>
    <w:rsid w:val="3A1C6D85"/>
    <w:rsid w:val="3A1F0DF9"/>
    <w:rsid w:val="3A1F1228"/>
    <w:rsid w:val="3A2E021B"/>
    <w:rsid w:val="3A3448AB"/>
    <w:rsid w:val="3A4F678F"/>
    <w:rsid w:val="3A6F4BA3"/>
    <w:rsid w:val="3A6F5083"/>
    <w:rsid w:val="3A933220"/>
    <w:rsid w:val="3A9B0410"/>
    <w:rsid w:val="3AAA60BB"/>
    <w:rsid w:val="3ACB7183"/>
    <w:rsid w:val="3AE841F3"/>
    <w:rsid w:val="3AF85306"/>
    <w:rsid w:val="3B1A02DA"/>
    <w:rsid w:val="3B2459B4"/>
    <w:rsid w:val="3B2A0FAA"/>
    <w:rsid w:val="3B3B4F65"/>
    <w:rsid w:val="3B4626B8"/>
    <w:rsid w:val="3B5B0FEB"/>
    <w:rsid w:val="3B7D236D"/>
    <w:rsid w:val="3BB92E6A"/>
    <w:rsid w:val="3BC767F9"/>
    <w:rsid w:val="3BCE5DD9"/>
    <w:rsid w:val="3BD0212B"/>
    <w:rsid w:val="3BD258C9"/>
    <w:rsid w:val="3BDA7340"/>
    <w:rsid w:val="3BE75B33"/>
    <w:rsid w:val="3BE965F9"/>
    <w:rsid w:val="3C107412"/>
    <w:rsid w:val="3C243C4B"/>
    <w:rsid w:val="3C2459F9"/>
    <w:rsid w:val="3C4168C9"/>
    <w:rsid w:val="3C5B4A7D"/>
    <w:rsid w:val="3C5E46B7"/>
    <w:rsid w:val="3C6A38E9"/>
    <w:rsid w:val="3C7250F5"/>
    <w:rsid w:val="3C800A4A"/>
    <w:rsid w:val="3C880AB0"/>
    <w:rsid w:val="3CA57752"/>
    <w:rsid w:val="3CB35D7B"/>
    <w:rsid w:val="3CB50635"/>
    <w:rsid w:val="3CB62DF3"/>
    <w:rsid w:val="3CBA54A8"/>
    <w:rsid w:val="3CC2331A"/>
    <w:rsid w:val="3CE202A8"/>
    <w:rsid w:val="3CE33B06"/>
    <w:rsid w:val="3CF32897"/>
    <w:rsid w:val="3D0038A0"/>
    <w:rsid w:val="3D0F323B"/>
    <w:rsid w:val="3D137E0A"/>
    <w:rsid w:val="3D216F2D"/>
    <w:rsid w:val="3D2F6973"/>
    <w:rsid w:val="3D412FC6"/>
    <w:rsid w:val="3D4D2D2E"/>
    <w:rsid w:val="3D53527D"/>
    <w:rsid w:val="3D577B32"/>
    <w:rsid w:val="3D597229"/>
    <w:rsid w:val="3D776940"/>
    <w:rsid w:val="3D8529C3"/>
    <w:rsid w:val="3D87623F"/>
    <w:rsid w:val="3DA212CB"/>
    <w:rsid w:val="3DA41C7B"/>
    <w:rsid w:val="3DA45043"/>
    <w:rsid w:val="3DA913E5"/>
    <w:rsid w:val="3DBF00CF"/>
    <w:rsid w:val="3DC525B3"/>
    <w:rsid w:val="3DD47DF1"/>
    <w:rsid w:val="3DEB12BB"/>
    <w:rsid w:val="3E185E32"/>
    <w:rsid w:val="3E2919ED"/>
    <w:rsid w:val="3E3948A1"/>
    <w:rsid w:val="3E3B5BB9"/>
    <w:rsid w:val="3E435C62"/>
    <w:rsid w:val="3E4619B8"/>
    <w:rsid w:val="3E4F1EC7"/>
    <w:rsid w:val="3E57400A"/>
    <w:rsid w:val="3E5F0F6A"/>
    <w:rsid w:val="3E620AC7"/>
    <w:rsid w:val="3E720C9E"/>
    <w:rsid w:val="3E841CC2"/>
    <w:rsid w:val="3E8A3BB3"/>
    <w:rsid w:val="3EA871A4"/>
    <w:rsid w:val="3EAB2402"/>
    <w:rsid w:val="3EB92D30"/>
    <w:rsid w:val="3EC63814"/>
    <w:rsid w:val="3ED262EA"/>
    <w:rsid w:val="3EEB28DF"/>
    <w:rsid w:val="3EF71CDA"/>
    <w:rsid w:val="3EFC2C5D"/>
    <w:rsid w:val="3F0E08CB"/>
    <w:rsid w:val="3F3D39E2"/>
    <w:rsid w:val="3F4B0F9A"/>
    <w:rsid w:val="3FA2799A"/>
    <w:rsid w:val="3FAF5BB6"/>
    <w:rsid w:val="3FC020EA"/>
    <w:rsid w:val="3FC13570"/>
    <w:rsid w:val="3FEB04B3"/>
    <w:rsid w:val="4010684E"/>
    <w:rsid w:val="403E177F"/>
    <w:rsid w:val="4042792B"/>
    <w:rsid w:val="404448BC"/>
    <w:rsid w:val="404A640F"/>
    <w:rsid w:val="404D19C2"/>
    <w:rsid w:val="405E1406"/>
    <w:rsid w:val="40690E39"/>
    <w:rsid w:val="40691B67"/>
    <w:rsid w:val="40733156"/>
    <w:rsid w:val="40834568"/>
    <w:rsid w:val="409E0CC7"/>
    <w:rsid w:val="40A4535A"/>
    <w:rsid w:val="40B105F4"/>
    <w:rsid w:val="40B12799"/>
    <w:rsid w:val="40D10977"/>
    <w:rsid w:val="40ED0D4B"/>
    <w:rsid w:val="40FD3F09"/>
    <w:rsid w:val="411128F0"/>
    <w:rsid w:val="41126768"/>
    <w:rsid w:val="41151554"/>
    <w:rsid w:val="41320BD3"/>
    <w:rsid w:val="414152CA"/>
    <w:rsid w:val="4141765A"/>
    <w:rsid w:val="415110E2"/>
    <w:rsid w:val="415146FD"/>
    <w:rsid w:val="415575CE"/>
    <w:rsid w:val="416877D3"/>
    <w:rsid w:val="416E383B"/>
    <w:rsid w:val="417C49FE"/>
    <w:rsid w:val="4181636E"/>
    <w:rsid w:val="41A54B4A"/>
    <w:rsid w:val="41AE2D1C"/>
    <w:rsid w:val="41B0445E"/>
    <w:rsid w:val="41B33AA7"/>
    <w:rsid w:val="41C5325F"/>
    <w:rsid w:val="41C639A7"/>
    <w:rsid w:val="41CA788D"/>
    <w:rsid w:val="41D75A95"/>
    <w:rsid w:val="41E30EFE"/>
    <w:rsid w:val="420936C7"/>
    <w:rsid w:val="421D0489"/>
    <w:rsid w:val="42274495"/>
    <w:rsid w:val="422E2341"/>
    <w:rsid w:val="42390D6B"/>
    <w:rsid w:val="424B327F"/>
    <w:rsid w:val="426104F4"/>
    <w:rsid w:val="426923B8"/>
    <w:rsid w:val="427A45AA"/>
    <w:rsid w:val="428117D6"/>
    <w:rsid w:val="42831B60"/>
    <w:rsid w:val="428D00BE"/>
    <w:rsid w:val="42AC04F6"/>
    <w:rsid w:val="42C07EB5"/>
    <w:rsid w:val="42CB7533"/>
    <w:rsid w:val="42CC5625"/>
    <w:rsid w:val="42D7524E"/>
    <w:rsid w:val="431C679B"/>
    <w:rsid w:val="43246398"/>
    <w:rsid w:val="435F5219"/>
    <w:rsid w:val="43661FA0"/>
    <w:rsid w:val="437C1F45"/>
    <w:rsid w:val="437E00E5"/>
    <w:rsid w:val="439E5C56"/>
    <w:rsid w:val="43B12A88"/>
    <w:rsid w:val="43B83004"/>
    <w:rsid w:val="43BB5451"/>
    <w:rsid w:val="43BD6E5F"/>
    <w:rsid w:val="43C07951"/>
    <w:rsid w:val="43D3757F"/>
    <w:rsid w:val="43ED087F"/>
    <w:rsid w:val="43F40165"/>
    <w:rsid w:val="441B472E"/>
    <w:rsid w:val="442F0DCA"/>
    <w:rsid w:val="443570D7"/>
    <w:rsid w:val="4448673A"/>
    <w:rsid w:val="4459501E"/>
    <w:rsid w:val="446E63AB"/>
    <w:rsid w:val="44887A84"/>
    <w:rsid w:val="44961852"/>
    <w:rsid w:val="449851D6"/>
    <w:rsid w:val="44E15803"/>
    <w:rsid w:val="44F259C2"/>
    <w:rsid w:val="450B0DDE"/>
    <w:rsid w:val="451A2516"/>
    <w:rsid w:val="45303661"/>
    <w:rsid w:val="45421FCD"/>
    <w:rsid w:val="4576695D"/>
    <w:rsid w:val="459B1F40"/>
    <w:rsid w:val="45A476A5"/>
    <w:rsid w:val="45AC2B2B"/>
    <w:rsid w:val="45C11FC0"/>
    <w:rsid w:val="45E2669A"/>
    <w:rsid w:val="45E75259"/>
    <w:rsid w:val="45FD4563"/>
    <w:rsid w:val="46032E96"/>
    <w:rsid w:val="460B5851"/>
    <w:rsid w:val="460D530B"/>
    <w:rsid w:val="46233B9F"/>
    <w:rsid w:val="46235681"/>
    <w:rsid w:val="46276812"/>
    <w:rsid w:val="462C55F9"/>
    <w:rsid w:val="464B2443"/>
    <w:rsid w:val="46801E15"/>
    <w:rsid w:val="46BF7B12"/>
    <w:rsid w:val="46D27A40"/>
    <w:rsid w:val="46D31D8E"/>
    <w:rsid w:val="46E266F9"/>
    <w:rsid w:val="46EF64CA"/>
    <w:rsid w:val="46F866AE"/>
    <w:rsid w:val="46FA0409"/>
    <w:rsid w:val="47082F5C"/>
    <w:rsid w:val="47150183"/>
    <w:rsid w:val="47174AD8"/>
    <w:rsid w:val="471F1551"/>
    <w:rsid w:val="473E2065"/>
    <w:rsid w:val="47474688"/>
    <w:rsid w:val="47543636"/>
    <w:rsid w:val="475A3339"/>
    <w:rsid w:val="47695665"/>
    <w:rsid w:val="476F1007"/>
    <w:rsid w:val="47795428"/>
    <w:rsid w:val="47882E21"/>
    <w:rsid w:val="47A15E61"/>
    <w:rsid w:val="47C76B8A"/>
    <w:rsid w:val="47F80042"/>
    <w:rsid w:val="48080CD4"/>
    <w:rsid w:val="480E5EDB"/>
    <w:rsid w:val="48154BA4"/>
    <w:rsid w:val="485D29BF"/>
    <w:rsid w:val="487F395F"/>
    <w:rsid w:val="489D100D"/>
    <w:rsid w:val="48C52312"/>
    <w:rsid w:val="48D013E2"/>
    <w:rsid w:val="49093633"/>
    <w:rsid w:val="49296D45"/>
    <w:rsid w:val="493059DD"/>
    <w:rsid w:val="49322248"/>
    <w:rsid w:val="4933371F"/>
    <w:rsid w:val="493545AB"/>
    <w:rsid w:val="494E2313"/>
    <w:rsid w:val="49522C7F"/>
    <w:rsid w:val="49621A56"/>
    <w:rsid w:val="49660998"/>
    <w:rsid w:val="49715A2D"/>
    <w:rsid w:val="499D0B37"/>
    <w:rsid w:val="49AD606D"/>
    <w:rsid w:val="49BB167F"/>
    <w:rsid w:val="49C35B92"/>
    <w:rsid w:val="49C90446"/>
    <w:rsid w:val="49CC7DFC"/>
    <w:rsid w:val="49D51AEB"/>
    <w:rsid w:val="49E11675"/>
    <w:rsid w:val="49ED62A0"/>
    <w:rsid w:val="49F57B95"/>
    <w:rsid w:val="49F66C27"/>
    <w:rsid w:val="49FB07B0"/>
    <w:rsid w:val="49FE565F"/>
    <w:rsid w:val="4A0E6D99"/>
    <w:rsid w:val="4A1A65A2"/>
    <w:rsid w:val="4A2413C1"/>
    <w:rsid w:val="4A315EB1"/>
    <w:rsid w:val="4A41607E"/>
    <w:rsid w:val="4A44591A"/>
    <w:rsid w:val="4A4A73D8"/>
    <w:rsid w:val="4A527BD5"/>
    <w:rsid w:val="4A702F34"/>
    <w:rsid w:val="4A706FB0"/>
    <w:rsid w:val="4A9B0728"/>
    <w:rsid w:val="4AA71029"/>
    <w:rsid w:val="4AAF28D1"/>
    <w:rsid w:val="4AB03279"/>
    <w:rsid w:val="4AB12B4E"/>
    <w:rsid w:val="4AC42904"/>
    <w:rsid w:val="4AC9433B"/>
    <w:rsid w:val="4AE864D4"/>
    <w:rsid w:val="4AEE3FFB"/>
    <w:rsid w:val="4AF1706D"/>
    <w:rsid w:val="4B10712C"/>
    <w:rsid w:val="4B146BA5"/>
    <w:rsid w:val="4B262FD0"/>
    <w:rsid w:val="4B281166"/>
    <w:rsid w:val="4B4D0F13"/>
    <w:rsid w:val="4B565F6E"/>
    <w:rsid w:val="4B703D18"/>
    <w:rsid w:val="4B751DCD"/>
    <w:rsid w:val="4B8F0CB2"/>
    <w:rsid w:val="4B8F3F68"/>
    <w:rsid w:val="4BA56C4D"/>
    <w:rsid w:val="4BAF73C3"/>
    <w:rsid w:val="4BB212CB"/>
    <w:rsid w:val="4BBF129A"/>
    <w:rsid w:val="4BDD4E1E"/>
    <w:rsid w:val="4C0E55AC"/>
    <w:rsid w:val="4C2550C9"/>
    <w:rsid w:val="4C2D26A8"/>
    <w:rsid w:val="4C312059"/>
    <w:rsid w:val="4C382624"/>
    <w:rsid w:val="4C586ACF"/>
    <w:rsid w:val="4C62632A"/>
    <w:rsid w:val="4C720A7B"/>
    <w:rsid w:val="4C945753"/>
    <w:rsid w:val="4C9A22FD"/>
    <w:rsid w:val="4CBD32D6"/>
    <w:rsid w:val="4CC254E6"/>
    <w:rsid w:val="4CD174D7"/>
    <w:rsid w:val="4CE26193"/>
    <w:rsid w:val="4CE34B29"/>
    <w:rsid w:val="4CE832B7"/>
    <w:rsid w:val="4CF5766A"/>
    <w:rsid w:val="4D046F69"/>
    <w:rsid w:val="4D1122D4"/>
    <w:rsid w:val="4D1C7995"/>
    <w:rsid w:val="4D314B85"/>
    <w:rsid w:val="4D352139"/>
    <w:rsid w:val="4D37405A"/>
    <w:rsid w:val="4D381304"/>
    <w:rsid w:val="4D3E28A0"/>
    <w:rsid w:val="4D4128AF"/>
    <w:rsid w:val="4D461C73"/>
    <w:rsid w:val="4D467EC5"/>
    <w:rsid w:val="4D4D75A2"/>
    <w:rsid w:val="4D663D60"/>
    <w:rsid w:val="4D673D6B"/>
    <w:rsid w:val="4DC1754C"/>
    <w:rsid w:val="4DC220FC"/>
    <w:rsid w:val="4DC74523"/>
    <w:rsid w:val="4DCE7BB7"/>
    <w:rsid w:val="4DDE6C7A"/>
    <w:rsid w:val="4DE52644"/>
    <w:rsid w:val="4DEB5D35"/>
    <w:rsid w:val="4DFC0584"/>
    <w:rsid w:val="4E054FA6"/>
    <w:rsid w:val="4E28352F"/>
    <w:rsid w:val="4E2C224E"/>
    <w:rsid w:val="4E3713AB"/>
    <w:rsid w:val="4E4F2DA9"/>
    <w:rsid w:val="4E5873A6"/>
    <w:rsid w:val="4E62626F"/>
    <w:rsid w:val="4E7A1B98"/>
    <w:rsid w:val="4E7B61FE"/>
    <w:rsid w:val="4E95627B"/>
    <w:rsid w:val="4EA830AA"/>
    <w:rsid w:val="4EA96124"/>
    <w:rsid w:val="4EAB75D6"/>
    <w:rsid w:val="4EB34D80"/>
    <w:rsid w:val="4EB97F4D"/>
    <w:rsid w:val="4EC004A5"/>
    <w:rsid w:val="4EC64E12"/>
    <w:rsid w:val="4ECF3EEA"/>
    <w:rsid w:val="4ED344AE"/>
    <w:rsid w:val="4EF62403"/>
    <w:rsid w:val="4EF92D15"/>
    <w:rsid w:val="4EFE5534"/>
    <w:rsid w:val="4F22226C"/>
    <w:rsid w:val="4F710AFD"/>
    <w:rsid w:val="4F7111DE"/>
    <w:rsid w:val="4F820F5D"/>
    <w:rsid w:val="4F822221"/>
    <w:rsid w:val="4FB5281E"/>
    <w:rsid w:val="4FBD16B4"/>
    <w:rsid w:val="4FD639DB"/>
    <w:rsid w:val="4FF43C08"/>
    <w:rsid w:val="4FFA44AF"/>
    <w:rsid w:val="500656EA"/>
    <w:rsid w:val="50095513"/>
    <w:rsid w:val="5015592D"/>
    <w:rsid w:val="501A5098"/>
    <w:rsid w:val="501C4F0D"/>
    <w:rsid w:val="5025337C"/>
    <w:rsid w:val="50281B04"/>
    <w:rsid w:val="50554DF4"/>
    <w:rsid w:val="505E3468"/>
    <w:rsid w:val="50966F9E"/>
    <w:rsid w:val="50AF5037"/>
    <w:rsid w:val="50BB2A88"/>
    <w:rsid w:val="50BF6A72"/>
    <w:rsid w:val="50C8299F"/>
    <w:rsid w:val="50D64CE2"/>
    <w:rsid w:val="510734C7"/>
    <w:rsid w:val="510A7E4A"/>
    <w:rsid w:val="51150640"/>
    <w:rsid w:val="512166AA"/>
    <w:rsid w:val="512322CB"/>
    <w:rsid w:val="512E03AD"/>
    <w:rsid w:val="512E314A"/>
    <w:rsid w:val="512E7AC2"/>
    <w:rsid w:val="514E7348"/>
    <w:rsid w:val="515E0EB3"/>
    <w:rsid w:val="516543C6"/>
    <w:rsid w:val="51676676"/>
    <w:rsid w:val="516B2505"/>
    <w:rsid w:val="51761433"/>
    <w:rsid w:val="51986815"/>
    <w:rsid w:val="51B84622"/>
    <w:rsid w:val="51C27D36"/>
    <w:rsid w:val="51D4574B"/>
    <w:rsid w:val="520C6D30"/>
    <w:rsid w:val="520F4294"/>
    <w:rsid w:val="52195048"/>
    <w:rsid w:val="52295F56"/>
    <w:rsid w:val="522960B8"/>
    <w:rsid w:val="524F0A3A"/>
    <w:rsid w:val="525E180D"/>
    <w:rsid w:val="5297014C"/>
    <w:rsid w:val="529766F8"/>
    <w:rsid w:val="529C78D8"/>
    <w:rsid w:val="529D307A"/>
    <w:rsid w:val="529F47E0"/>
    <w:rsid w:val="52AE7979"/>
    <w:rsid w:val="52CA163E"/>
    <w:rsid w:val="52E635B0"/>
    <w:rsid w:val="52FB6732"/>
    <w:rsid w:val="52FC4A0B"/>
    <w:rsid w:val="53005373"/>
    <w:rsid w:val="53010E8A"/>
    <w:rsid w:val="53034162"/>
    <w:rsid w:val="5314461F"/>
    <w:rsid w:val="531A53CB"/>
    <w:rsid w:val="535574D8"/>
    <w:rsid w:val="53582C67"/>
    <w:rsid w:val="535F50D0"/>
    <w:rsid w:val="537312E8"/>
    <w:rsid w:val="537A08C9"/>
    <w:rsid w:val="537D14F5"/>
    <w:rsid w:val="53824486"/>
    <w:rsid w:val="539154AF"/>
    <w:rsid w:val="53962EE1"/>
    <w:rsid w:val="539F0D5A"/>
    <w:rsid w:val="53C30D8D"/>
    <w:rsid w:val="53D46B7A"/>
    <w:rsid w:val="53EE23BF"/>
    <w:rsid w:val="53F06FCA"/>
    <w:rsid w:val="540E12C9"/>
    <w:rsid w:val="54642756"/>
    <w:rsid w:val="547307E2"/>
    <w:rsid w:val="547630D1"/>
    <w:rsid w:val="54A85071"/>
    <w:rsid w:val="54B7270E"/>
    <w:rsid w:val="54BF4C96"/>
    <w:rsid w:val="54F25559"/>
    <w:rsid w:val="550D12C8"/>
    <w:rsid w:val="55286102"/>
    <w:rsid w:val="553A5043"/>
    <w:rsid w:val="556C60B3"/>
    <w:rsid w:val="557F3674"/>
    <w:rsid w:val="558F7F2F"/>
    <w:rsid w:val="55D342C0"/>
    <w:rsid w:val="55EB4403"/>
    <w:rsid w:val="55F22EC4"/>
    <w:rsid w:val="5606068F"/>
    <w:rsid w:val="560E52F8"/>
    <w:rsid w:val="56222973"/>
    <w:rsid w:val="56310F05"/>
    <w:rsid w:val="56345D01"/>
    <w:rsid w:val="56347BFE"/>
    <w:rsid w:val="56383F0B"/>
    <w:rsid w:val="56445083"/>
    <w:rsid w:val="56552F27"/>
    <w:rsid w:val="565C2946"/>
    <w:rsid w:val="56890A8D"/>
    <w:rsid w:val="568D0DB1"/>
    <w:rsid w:val="56B67D84"/>
    <w:rsid w:val="56C11464"/>
    <w:rsid w:val="56C33BDD"/>
    <w:rsid w:val="5720659C"/>
    <w:rsid w:val="572425F8"/>
    <w:rsid w:val="57283E0B"/>
    <w:rsid w:val="57452F9B"/>
    <w:rsid w:val="575E47E5"/>
    <w:rsid w:val="576737A0"/>
    <w:rsid w:val="576B5785"/>
    <w:rsid w:val="5785616A"/>
    <w:rsid w:val="578C3FD7"/>
    <w:rsid w:val="57B41ECF"/>
    <w:rsid w:val="57E9559F"/>
    <w:rsid w:val="57EB51CE"/>
    <w:rsid w:val="57F17159"/>
    <w:rsid w:val="57FE3247"/>
    <w:rsid w:val="581F1A3E"/>
    <w:rsid w:val="581F559B"/>
    <w:rsid w:val="58226E39"/>
    <w:rsid w:val="58254B7B"/>
    <w:rsid w:val="582F7C9C"/>
    <w:rsid w:val="58325FE5"/>
    <w:rsid w:val="583848AE"/>
    <w:rsid w:val="583E1426"/>
    <w:rsid w:val="5841694D"/>
    <w:rsid w:val="585C28AB"/>
    <w:rsid w:val="58615BB3"/>
    <w:rsid w:val="586701A1"/>
    <w:rsid w:val="586F7B54"/>
    <w:rsid w:val="58871392"/>
    <w:rsid w:val="589A10C5"/>
    <w:rsid w:val="58BB5FE9"/>
    <w:rsid w:val="58C24204"/>
    <w:rsid w:val="58D75D19"/>
    <w:rsid w:val="58DB7B6B"/>
    <w:rsid w:val="58E00368"/>
    <w:rsid w:val="58ED4F64"/>
    <w:rsid w:val="59154BEF"/>
    <w:rsid w:val="59210902"/>
    <w:rsid w:val="592D1F39"/>
    <w:rsid w:val="593B3F1E"/>
    <w:rsid w:val="593E44C7"/>
    <w:rsid w:val="59517F0B"/>
    <w:rsid w:val="595F58A2"/>
    <w:rsid w:val="59654336"/>
    <w:rsid w:val="598F746B"/>
    <w:rsid w:val="5999295C"/>
    <w:rsid w:val="599D2627"/>
    <w:rsid w:val="59A65A05"/>
    <w:rsid w:val="59B61F2F"/>
    <w:rsid w:val="59C1099F"/>
    <w:rsid w:val="59C208D3"/>
    <w:rsid w:val="59C4180C"/>
    <w:rsid w:val="59C969D3"/>
    <w:rsid w:val="59CA5962"/>
    <w:rsid w:val="5A0927A0"/>
    <w:rsid w:val="5A187629"/>
    <w:rsid w:val="5A2532A7"/>
    <w:rsid w:val="5A2570B4"/>
    <w:rsid w:val="5A317220"/>
    <w:rsid w:val="5A33532D"/>
    <w:rsid w:val="5A4E698F"/>
    <w:rsid w:val="5A6220B6"/>
    <w:rsid w:val="5A726C23"/>
    <w:rsid w:val="5A985AD8"/>
    <w:rsid w:val="5AA93841"/>
    <w:rsid w:val="5AAD49D1"/>
    <w:rsid w:val="5AB865E5"/>
    <w:rsid w:val="5ABF3065"/>
    <w:rsid w:val="5AC445F6"/>
    <w:rsid w:val="5AD122E5"/>
    <w:rsid w:val="5AD703AE"/>
    <w:rsid w:val="5AE453BD"/>
    <w:rsid w:val="5AF42EC6"/>
    <w:rsid w:val="5AFA040B"/>
    <w:rsid w:val="5B1B5005"/>
    <w:rsid w:val="5B1C0F1F"/>
    <w:rsid w:val="5B224E09"/>
    <w:rsid w:val="5B3927B9"/>
    <w:rsid w:val="5B4535FC"/>
    <w:rsid w:val="5B4F5409"/>
    <w:rsid w:val="5B6A1223"/>
    <w:rsid w:val="5B6C7E29"/>
    <w:rsid w:val="5B7E082A"/>
    <w:rsid w:val="5B97180A"/>
    <w:rsid w:val="5BAD170D"/>
    <w:rsid w:val="5BF50512"/>
    <w:rsid w:val="5BFF6ACC"/>
    <w:rsid w:val="5C0A6562"/>
    <w:rsid w:val="5C0A6E8C"/>
    <w:rsid w:val="5C180DA3"/>
    <w:rsid w:val="5C2A6C04"/>
    <w:rsid w:val="5C2B1EBA"/>
    <w:rsid w:val="5C2C297C"/>
    <w:rsid w:val="5C337866"/>
    <w:rsid w:val="5C367357"/>
    <w:rsid w:val="5C495E44"/>
    <w:rsid w:val="5C551969"/>
    <w:rsid w:val="5C7D4F86"/>
    <w:rsid w:val="5C896D10"/>
    <w:rsid w:val="5C8E760E"/>
    <w:rsid w:val="5C91292C"/>
    <w:rsid w:val="5CA96CF6"/>
    <w:rsid w:val="5CB32A73"/>
    <w:rsid w:val="5CCC56F5"/>
    <w:rsid w:val="5CD050B5"/>
    <w:rsid w:val="5CFD7060"/>
    <w:rsid w:val="5D0123F2"/>
    <w:rsid w:val="5D072428"/>
    <w:rsid w:val="5D187049"/>
    <w:rsid w:val="5D23147E"/>
    <w:rsid w:val="5D235F07"/>
    <w:rsid w:val="5D2E6FEF"/>
    <w:rsid w:val="5D3B6409"/>
    <w:rsid w:val="5D444EF8"/>
    <w:rsid w:val="5D454A73"/>
    <w:rsid w:val="5D747B5B"/>
    <w:rsid w:val="5D752101"/>
    <w:rsid w:val="5D8B5480"/>
    <w:rsid w:val="5D981D53"/>
    <w:rsid w:val="5DD14A36"/>
    <w:rsid w:val="5DD92690"/>
    <w:rsid w:val="5DDE6969"/>
    <w:rsid w:val="5DFC702A"/>
    <w:rsid w:val="5E005E6E"/>
    <w:rsid w:val="5E055233"/>
    <w:rsid w:val="5E177400"/>
    <w:rsid w:val="5E22218C"/>
    <w:rsid w:val="5E224037"/>
    <w:rsid w:val="5E401FE2"/>
    <w:rsid w:val="5E4931BC"/>
    <w:rsid w:val="5E4A70E9"/>
    <w:rsid w:val="5E581E70"/>
    <w:rsid w:val="5E677C9B"/>
    <w:rsid w:val="5E784311"/>
    <w:rsid w:val="5E7D5649"/>
    <w:rsid w:val="5E803DEA"/>
    <w:rsid w:val="5E8F1627"/>
    <w:rsid w:val="5E916DC8"/>
    <w:rsid w:val="5E96467B"/>
    <w:rsid w:val="5E9B09F9"/>
    <w:rsid w:val="5EA20CD3"/>
    <w:rsid w:val="5EB12E81"/>
    <w:rsid w:val="5EB660B8"/>
    <w:rsid w:val="5EEA547B"/>
    <w:rsid w:val="5EED0B0C"/>
    <w:rsid w:val="5EFB03E4"/>
    <w:rsid w:val="5F087AE6"/>
    <w:rsid w:val="5F0D5B98"/>
    <w:rsid w:val="5F1B5D93"/>
    <w:rsid w:val="5F1D12CB"/>
    <w:rsid w:val="5F294F51"/>
    <w:rsid w:val="5F2B1033"/>
    <w:rsid w:val="5F35587B"/>
    <w:rsid w:val="5F4D3766"/>
    <w:rsid w:val="5F4F22C4"/>
    <w:rsid w:val="5F504E76"/>
    <w:rsid w:val="5F5528B7"/>
    <w:rsid w:val="5F574344"/>
    <w:rsid w:val="5F5875E4"/>
    <w:rsid w:val="5F64242D"/>
    <w:rsid w:val="5F681F1D"/>
    <w:rsid w:val="5F7D646E"/>
    <w:rsid w:val="5F7D7F1C"/>
    <w:rsid w:val="5F821A41"/>
    <w:rsid w:val="5F8235B3"/>
    <w:rsid w:val="5F824C39"/>
    <w:rsid w:val="5F920D48"/>
    <w:rsid w:val="5F936A1D"/>
    <w:rsid w:val="5FB05B4B"/>
    <w:rsid w:val="5FB80723"/>
    <w:rsid w:val="5FB9411A"/>
    <w:rsid w:val="5FC30301"/>
    <w:rsid w:val="5FD21144"/>
    <w:rsid w:val="5FD71A66"/>
    <w:rsid w:val="5FEA7730"/>
    <w:rsid w:val="5FF540B9"/>
    <w:rsid w:val="5FFA069B"/>
    <w:rsid w:val="5FFE63DD"/>
    <w:rsid w:val="600D3631"/>
    <w:rsid w:val="601E25DC"/>
    <w:rsid w:val="60657FE9"/>
    <w:rsid w:val="607D096B"/>
    <w:rsid w:val="60981BA4"/>
    <w:rsid w:val="609B54C7"/>
    <w:rsid w:val="60B577B8"/>
    <w:rsid w:val="60B72FE0"/>
    <w:rsid w:val="60B976D8"/>
    <w:rsid w:val="60CD491F"/>
    <w:rsid w:val="60DA0809"/>
    <w:rsid w:val="60EA1611"/>
    <w:rsid w:val="60EA7270"/>
    <w:rsid w:val="60EF580B"/>
    <w:rsid w:val="60F6302D"/>
    <w:rsid w:val="610712C2"/>
    <w:rsid w:val="61092F57"/>
    <w:rsid w:val="6110141C"/>
    <w:rsid w:val="612B059A"/>
    <w:rsid w:val="612B1454"/>
    <w:rsid w:val="61427DA8"/>
    <w:rsid w:val="614B38A4"/>
    <w:rsid w:val="614B78B7"/>
    <w:rsid w:val="615C0334"/>
    <w:rsid w:val="61761FA3"/>
    <w:rsid w:val="61811074"/>
    <w:rsid w:val="619C3F0D"/>
    <w:rsid w:val="61A730E0"/>
    <w:rsid w:val="61B424C8"/>
    <w:rsid w:val="61B825BC"/>
    <w:rsid w:val="61C15914"/>
    <w:rsid w:val="61D21690"/>
    <w:rsid w:val="61DA0020"/>
    <w:rsid w:val="61DC05B2"/>
    <w:rsid w:val="62031A89"/>
    <w:rsid w:val="620D6B6D"/>
    <w:rsid w:val="6219320E"/>
    <w:rsid w:val="621A37F2"/>
    <w:rsid w:val="62344338"/>
    <w:rsid w:val="623B212D"/>
    <w:rsid w:val="623E682E"/>
    <w:rsid w:val="625E47E9"/>
    <w:rsid w:val="6269523A"/>
    <w:rsid w:val="626D17D6"/>
    <w:rsid w:val="62753F10"/>
    <w:rsid w:val="62836482"/>
    <w:rsid w:val="628C282C"/>
    <w:rsid w:val="629038C3"/>
    <w:rsid w:val="62934162"/>
    <w:rsid w:val="62955E55"/>
    <w:rsid w:val="62C16F08"/>
    <w:rsid w:val="62C87F3B"/>
    <w:rsid w:val="62D1432C"/>
    <w:rsid w:val="62D73DFA"/>
    <w:rsid w:val="62DD4F4B"/>
    <w:rsid w:val="62EF131E"/>
    <w:rsid w:val="62F24A93"/>
    <w:rsid w:val="62F7128B"/>
    <w:rsid w:val="63065CD5"/>
    <w:rsid w:val="63075E72"/>
    <w:rsid w:val="63091321"/>
    <w:rsid w:val="63105DC5"/>
    <w:rsid w:val="63116428"/>
    <w:rsid w:val="633962AA"/>
    <w:rsid w:val="633E33FA"/>
    <w:rsid w:val="6340727D"/>
    <w:rsid w:val="63585FEA"/>
    <w:rsid w:val="635D46A7"/>
    <w:rsid w:val="635E1A4C"/>
    <w:rsid w:val="63831726"/>
    <w:rsid w:val="6389196F"/>
    <w:rsid w:val="63A11D9E"/>
    <w:rsid w:val="63A67290"/>
    <w:rsid w:val="63AE3561"/>
    <w:rsid w:val="63B42696"/>
    <w:rsid w:val="63B56327"/>
    <w:rsid w:val="63D06B04"/>
    <w:rsid w:val="63DF4E72"/>
    <w:rsid w:val="63E044E9"/>
    <w:rsid w:val="63F35B2D"/>
    <w:rsid w:val="64176014"/>
    <w:rsid w:val="641F786F"/>
    <w:rsid w:val="642364CD"/>
    <w:rsid w:val="64491BE5"/>
    <w:rsid w:val="64511BB6"/>
    <w:rsid w:val="64560557"/>
    <w:rsid w:val="645F5F9F"/>
    <w:rsid w:val="646511A7"/>
    <w:rsid w:val="649D0724"/>
    <w:rsid w:val="64A752BA"/>
    <w:rsid w:val="64B67DAA"/>
    <w:rsid w:val="64CF401E"/>
    <w:rsid w:val="64DC0FDF"/>
    <w:rsid w:val="64DD4E4E"/>
    <w:rsid w:val="64E03CA3"/>
    <w:rsid w:val="64E16127"/>
    <w:rsid w:val="64F22C70"/>
    <w:rsid w:val="650545E2"/>
    <w:rsid w:val="65154E0A"/>
    <w:rsid w:val="652016BA"/>
    <w:rsid w:val="6522377E"/>
    <w:rsid w:val="6527447A"/>
    <w:rsid w:val="655C2FFD"/>
    <w:rsid w:val="65771194"/>
    <w:rsid w:val="657D7DA4"/>
    <w:rsid w:val="658114EF"/>
    <w:rsid w:val="65960098"/>
    <w:rsid w:val="65AA3652"/>
    <w:rsid w:val="65B10E33"/>
    <w:rsid w:val="65C41CFB"/>
    <w:rsid w:val="65D60AC7"/>
    <w:rsid w:val="65E32B41"/>
    <w:rsid w:val="65EE2A50"/>
    <w:rsid w:val="65F128EE"/>
    <w:rsid w:val="662B5608"/>
    <w:rsid w:val="662B687D"/>
    <w:rsid w:val="663A71E5"/>
    <w:rsid w:val="663E1E4C"/>
    <w:rsid w:val="663F7D97"/>
    <w:rsid w:val="66563E7C"/>
    <w:rsid w:val="66571DE3"/>
    <w:rsid w:val="6689537B"/>
    <w:rsid w:val="668A47AC"/>
    <w:rsid w:val="668A6C93"/>
    <w:rsid w:val="668C6B3F"/>
    <w:rsid w:val="66953589"/>
    <w:rsid w:val="66AB6254"/>
    <w:rsid w:val="66D005D0"/>
    <w:rsid w:val="66D126B0"/>
    <w:rsid w:val="66D63C10"/>
    <w:rsid w:val="66E92013"/>
    <w:rsid w:val="66EC6F90"/>
    <w:rsid w:val="66F255B7"/>
    <w:rsid w:val="66FB3454"/>
    <w:rsid w:val="670A045C"/>
    <w:rsid w:val="670B716E"/>
    <w:rsid w:val="6716225F"/>
    <w:rsid w:val="672229B1"/>
    <w:rsid w:val="675A4090"/>
    <w:rsid w:val="676036B1"/>
    <w:rsid w:val="677714F7"/>
    <w:rsid w:val="67874E83"/>
    <w:rsid w:val="679A7B08"/>
    <w:rsid w:val="679C6B4C"/>
    <w:rsid w:val="67A1421E"/>
    <w:rsid w:val="67A354C4"/>
    <w:rsid w:val="67C25F42"/>
    <w:rsid w:val="67C9401B"/>
    <w:rsid w:val="67EA66B4"/>
    <w:rsid w:val="680926B6"/>
    <w:rsid w:val="680A1C4F"/>
    <w:rsid w:val="681A41F0"/>
    <w:rsid w:val="68295FC1"/>
    <w:rsid w:val="6853303E"/>
    <w:rsid w:val="68562B69"/>
    <w:rsid w:val="685E3EBD"/>
    <w:rsid w:val="6870457B"/>
    <w:rsid w:val="687F4C1D"/>
    <w:rsid w:val="68830991"/>
    <w:rsid w:val="68A76DEF"/>
    <w:rsid w:val="68B622A2"/>
    <w:rsid w:val="68C1444C"/>
    <w:rsid w:val="68C2756A"/>
    <w:rsid w:val="68CB1738"/>
    <w:rsid w:val="68DD2333"/>
    <w:rsid w:val="68F170ED"/>
    <w:rsid w:val="69037103"/>
    <w:rsid w:val="690D1CEB"/>
    <w:rsid w:val="690F0847"/>
    <w:rsid w:val="690F0BE9"/>
    <w:rsid w:val="6915152B"/>
    <w:rsid w:val="6917406C"/>
    <w:rsid w:val="69342E70"/>
    <w:rsid w:val="693D1B33"/>
    <w:rsid w:val="694A247E"/>
    <w:rsid w:val="694A7E4A"/>
    <w:rsid w:val="695A130B"/>
    <w:rsid w:val="696279DD"/>
    <w:rsid w:val="697B45FB"/>
    <w:rsid w:val="697E2537"/>
    <w:rsid w:val="697E3A53"/>
    <w:rsid w:val="69847953"/>
    <w:rsid w:val="69896C65"/>
    <w:rsid w:val="699F653B"/>
    <w:rsid w:val="69A71894"/>
    <w:rsid w:val="69A92D68"/>
    <w:rsid w:val="69B30FB3"/>
    <w:rsid w:val="69CF65B0"/>
    <w:rsid w:val="69D01719"/>
    <w:rsid w:val="69E15273"/>
    <w:rsid w:val="69EF29CD"/>
    <w:rsid w:val="69FC1BE0"/>
    <w:rsid w:val="6A040161"/>
    <w:rsid w:val="6A1339DD"/>
    <w:rsid w:val="6A26203C"/>
    <w:rsid w:val="6A3273AF"/>
    <w:rsid w:val="6A3C4858"/>
    <w:rsid w:val="6A5E1EE4"/>
    <w:rsid w:val="6A69230B"/>
    <w:rsid w:val="6A7241DA"/>
    <w:rsid w:val="6A937403"/>
    <w:rsid w:val="6AAD6A36"/>
    <w:rsid w:val="6AB06526"/>
    <w:rsid w:val="6ABD7DF6"/>
    <w:rsid w:val="6ACB5C2B"/>
    <w:rsid w:val="6AD9366F"/>
    <w:rsid w:val="6ADA2A71"/>
    <w:rsid w:val="6AF8486A"/>
    <w:rsid w:val="6B071B4A"/>
    <w:rsid w:val="6B182A49"/>
    <w:rsid w:val="6B19056B"/>
    <w:rsid w:val="6B217424"/>
    <w:rsid w:val="6B6C2B07"/>
    <w:rsid w:val="6B882FFF"/>
    <w:rsid w:val="6B8C0D41"/>
    <w:rsid w:val="6BA3608B"/>
    <w:rsid w:val="6BA66E4A"/>
    <w:rsid w:val="6BAE6F0A"/>
    <w:rsid w:val="6BEA5A68"/>
    <w:rsid w:val="6BF16DF6"/>
    <w:rsid w:val="6BF71E5E"/>
    <w:rsid w:val="6C17640D"/>
    <w:rsid w:val="6C2602F3"/>
    <w:rsid w:val="6C2C28FE"/>
    <w:rsid w:val="6C376EFF"/>
    <w:rsid w:val="6C507FC1"/>
    <w:rsid w:val="6C513D7B"/>
    <w:rsid w:val="6C6258FC"/>
    <w:rsid w:val="6C6475C8"/>
    <w:rsid w:val="6C684E81"/>
    <w:rsid w:val="6C6D760C"/>
    <w:rsid w:val="6C7215F1"/>
    <w:rsid w:val="6C7254B6"/>
    <w:rsid w:val="6C742662"/>
    <w:rsid w:val="6CBD3075"/>
    <w:rsid w:val="6CBE4EEC"/>
    <w:rsid w:val="6CC13006"/>
    <w:rsid w:val="6CC446FE"/>
    <w:rsid w:val="6CF23B24"/>
    <w:rsid w:val="6D062D75"/>
    <w:rsid w:val="6D0D5EB2"/>
    <w:rsid w:val="6D0E459C"/>
    <w:rsid w:val="6D1E63B1"/>
    <w:rsid w:val="6D2032E6"/>
    <w:rsid w:val="6D342975"/>
    <w:rsid w:val="6D370656"/>
    <w:rsid w:val="6D372C22"/>
    <w:rsid w:val="6D503294"/>
    <w:rsid w:val="6D871E5D"/>
    <w:rsid w:val="6DB7708E"/>
    <w:rsid w:val="6DC9002B"/>
    <w:rsid w:val="6DDE3657"/>
    <w:rsid w:val="6DEF7365"/>
    <w:rsid w:val="6DF73A48"/>
    <w:rsid w:val="6DF8337A"/>
    <w:rsid w:val="6E1C4E4E"/>
    <w:rsid w:val="6E297030"/>
    <w:rsid w:val="6E3F5BBC"/>
    <w:rsid w:val="6E502C6C"/>
    <w:rsid w:val="6E521FD7"/>
    <w:rsid w:val="6E664226"/>
    <w:rsid w:val="6E7D0E15"/>
    <w:rsid w:val="6E866BAD"/>
    <w:rsid w:val="6E8C46C4"/>
    <w:rsid w:val="6E9047F2"/>
    <w:rsid w:val="6E9D1166"/>
    <w:rsid w:val="6EC07D65"/>
    <w:rsid w:val="6EC60A8D"/>
    <w:rsid w:val="6EC86F6E"/>
    <w:rsid w:val="6EDD4597"/>
    <w:rsid w:val="6EE175F6"/>
    <w:rsid w:val="6F0230C8"/>
    <w:rsid w:val="6F560DE8"/>
    <w:rsid w:val="6F764817"/>
    <w:rsid w:val="6F7E6BF3"/>
    <w:rsid w:val="6F827023"/>
    <w:rsid w:val="6FC572DF"/>
    <w:rsid w:val="6FCE5BF7"/>
    <w:rsid w:val="6FEF189F"/>
    <w:rsid w:val="6FEF5D43"/>
    <w:rsid w:val="6FFE5185"/>
    <w:rsid w:val="70003A62"/>
    <w:rsid w:val="70074E3A"/>
    <w:rsid w:val="70092FF8"/>
    <w:rsid w:val="701F6D13"/>
    <w:rsid w:val="702279FC"/>
    <w:rsid w:val="702F4391"/>
    <w:rsid w:val="703F77CC"/>
    <w:rsid w:val="70447E3C"/>
    <w:rsid w:val="70495C48"/>
    <w:rsid w:val="704A2A3D"/>
    <w:rsid w:val="705A140E"/>
    <w:rsid w:val="7084221D"/>
    <w:rsid w:val="70995ECF"/>
    <w:rsid w:val="709C0E93"/>
    <w:rsid w:val="70B207FF"/>
    <w:rsid w:val="70BF2A0E"/>
    <w:rsid w:val="70C31153"/>
    <w:rsid w:val="70D76A75"/>
    <w:rsid w:val="70E37F25"/>
    <w:rsid w:val="70F6775A"/>
    <w:rsid w:val="710E3FF5"/>
    <w:rsid w:val="711A0B9D"/>
    <w:rsid w:val="71321D8A"/>
    <w:rsid w:val="7141612A"/>
    <w:rsid w:val="71526589"/>
    <w:rsid w:val="715B4FAC"/>
    <w:rsid w:val="7161477F"/>
    <w:rsid w:val="716A17CC"/>
    <w:rsid w:val="71717CF1"/>
    <w:rsid w:val="717B5E76"/>
    <w:rsid w:val="719170B1"/>
    <w:rsid w:val="719B1CDE"/>
    <w:rsid w:val="71A17684"/>
    <w:rsid w:val="71B31295"/>
    <w:rsid w:val="71B811A6"/>
    <w:rsid w:val="71C55B0A"/>
    <w:rsid w:val="71EC35A3"/>
    <w:rsid w:val="71F94A47"/>
    <w:rsid w:val="721D6B97"/>
    <w:rsid w:val="723513B9"/>
    <w:rsid w:val="723B6834"/>
    <w:rsid w:val="72401A80"/>
    <w:rsid w:val="724463AD"/>
    <w:rsid w:val="72550630"/>
    <w:rsid w:val="725620A9"/>
    <w:rsid w:val="727A3E4E"/>
    <w:rsid w:val="7281214F"/>
    <w:rsid w:val="728501EE"/>
    <w:rsid w:val="72A4012B"/>
    <w:rsid w:val="72A95837"/>
    <w:rsid w:val="72B8241C"/>
    <w:rsid w:val="72C46849"/>
    <w:rsid w:val="72D52916"/>
    <w:rsid w:val="72D82ABE"/>
    <w:rsid w:val="72DD4E94"/>
    <w:rsid w:val="72F17CFC"/>
    <w:rsid w:val="73064B45"/>
    <w:rsid w:val="73131B2F"/>
    <w:rsid w:val="73173CE2"/>
    <w:rsid w:val="731857BB"/>
    <w:rsid w:val="7318735E"/>
    <w:rsid w:val="731B27F6"/>
    <w:rsid w:val="732D5A3F"/>
    <w:rsid w:val="73343453"/>
    <w:rsid w:val="73373C88"/>
    <w:rsid w:val="73412411"/>
    <w:rsid w:val="73463ECB"/>
    <w:rsid w:val="734A6502"/>
    <w:rsid w:val="73627B42"/>
    <w:rsid w:val="73702CF6"/>
    <w:rsid w:val="73704370"/>
    <w:rsid w:val="739174B8"/>
    <w:rsid w:val="73920EBF"/>
    <w:rsid w:val="73A365F5"/>
    <w:rsid w:val="73A429A0"/>
    <w:rsid w:val="73D65B7A"/>
    <w:rsid w:val="73DC2164"/>
    <w:rsid w:val="73DC4D25"/>
    <w:rsid w:val="73DC52C4"/>
    <w:rsid w:val="73DE5EB2"/>
    <w:rsid w:val="73DF2697"/>
    <w:rsid w:val="73F81B3F"/>
    <w:rsid w:val="74081181"/>
    <w:rsid w:val="740F40B8"/>
    <w:rsid w:val="742C182C"/>
    <w:rsid w:val="7431777C"/>
    <w:rsid w:val="74343D24"/>
    <w:rsid w:val="744A3547"/>
    <w:rsid w:val="744D51D2"/>
    <w:rsid w:val="745436E9"/>
    <w:rsid w:val="74556589"/>
    <w:rsid w:val="7465289D"/>
    <w:rsid w:val="7469726F"/>
    <w:rsid w:val="746A3BEA"/>
    <w:rsid w:val="748A603A"/>
    <w:rsid w:val="749D5D6D"/>
    <w:rsid w:val="74A23383"/>
    <w:rsid w:val="74B409C4"/>
    <w:rsid w:val="74B66A46"/>
    <w:rsid w:val="74BB5506"/>
    <w:rsid w:val="74C27582"/>
    <w:rsid w:val="74CD520A"/>
    <w:rsid w:val="74D17167"/>
    <w:rsid w:val="74DF3644"/>
    <w:rsid w:val="75087BAF"/>
    <w:rsid w:val="751221E3"/>
    <w:rsid w:val="75190329"/>
    <w:rsid w:val="7521086E"/>
    <w:rsid w:val="75231131"/>
    <w:rsid w:val="75274981"/>
    <w:rsid w:val="75285475"/>
    <w:rsid w:val="7534651D"/>
    <w:rsid w:val="75633811"/>
    <w:rsid w:val="7564262E"/>
    <w:rsid w:val="75812EAD"/>
    <w:rsid w:val="75842495"/>
    <w:rsid w:val="758E56B6"/>
    <w:rsid w:val="75933184"/>
    <w:rsid w:val="759A22AD"/>
    <w:rsid w:val="75B855D2"/>
    <w:rsid w:val="75C379FA"/>
    <w:rsid w:val="75ED62E0"/>
    <w:rsid w:val="75F36C4E"/>
    <w:rsid w:val="76004806"/>
    <w:rsid w:val="76110225"/>
    <w:rsid w:val="761402B1"/>
    <w:rsid w:val="762A5170"/>
    <w:rsid w:val="762F086F"/>
    <w:rsid w:val="76316133"/>
    <w:rsid w:val="76330607"/>
    <w:rsid w:val="76333EAE"/>
    <w:rsid w:val="76412E37"/>
    <w:rsid w:val="765451DC"/>
    <w:rsid w:val="765A05BC"/>
    <w:rsid w:val="767353F2"/>
    <w:rsid w:val="767825EE"/>
    <w:rsid w:val="768C46AC"/>
    <w:rsid w:val="76962A74"/>
    <w:rsid w:val="769D02A6"/>
    <w:rsid w:val="769E5DCD"/>
    <w:rsid w:val="76B31878"/>
    <w:rsid w:val="76BD6FDB"/>
    <w:rsid w:val="76C53359"/>
    <w:rsid w:val="76D85AD0"/>
    <w:rsid w:val="76DB4EA8"/>
    <w:rsid w:val="76DD5D22"/>
    <w:rsid w:val="76EA61FF"/>
    <w:rsid w:val="76EF1C48"/>
    <w:rsid w:val="770372E4"/>
    <w:rsid w:val="770A68B1"/>
    <w:rsid w:val="772207AC"/>
    <w:rsid w:val="773F2A17"/>
    <w:rsid w:val="775237CF"/>
    <w:rsid w:val="77561351"/>
    <w:rsid w:val="775E513F"/>
    <w:rsid w:val="77866F8C"/>
    <w:rsid w:val="778B45B5"/>
    <w:rsid w:val="77A9308F"/>
    <w:rsid w:val="77AA492E"/>
    <w:rsid w:val="77B33969"/>
    <w:rsid w:val="77B3540E"/>
    <w:rsid w:val="77BB4043"/>
    <w:rsid w:val="77C5611D"/>
    <w:rsid w:val="77D00809"/>
    <w:rsid w:val="77FF6F6D"/>
    <w:rsid w:val="780B2656"/>
    <w:rsid w:val="78415524"/>
    <w:rsid w:val="78482494"/>
    <w:rsid w:val="784A3E33"/>
    <w:rsid w:val="786C5C11"/>
    <w:rsid w:val="786D7532"/>
    <w:rsid w:val="787E3A98"/>
    <w:rsid w:val="788259A6"/>
    <w:rsid w:val="78911745"/>
    <w:rsid w:val="78BD7DA6"/>
    <w:rsid w:val="78D6184E"/>
    <w:rsid w:val="78F22CE7"/>
    <w:rsid w:val="79256331"/>
    <w:rsid w:val="79265D8B"/>
    <w:rsid w:val="793D1463"/>
    <w:rsid w:val="794371E8"/>
    <w:rsid w:val="79444A09"/>
    <w:rsid w:val="796675DC"/>
    <w:rsid w:val="79876F3B"/>
    <w:rsid w:val="798835C0"/>
    <w:rsid w:val="79914562"/>
    <w:rsid w:val="79935991"/>
    <w:rsid w:val="79986827"/>
    <w:rsid w:val="799C2A97"/>
    <w:rsid w:val="799C4845"/>
    <w:rsid w:val="79C771E2"/>
    <w:rsid w:val="79D9271B"/>
    <w:rsid w:val="79ED50A1"/>
    <w:rsid w:val="79F30AC2"/>
    <w:rsid w:val="79FA2101"/>
    <w:rsid w:val="7A100362"/>
    <w:rsid w:val="7A1A5A52"/>
    <w:rsid w:val="7A606E5F"/>
    <w:rsid w:val="7A74131E"/>
    <w:rsid w:val="7A765096"/>
    <w:rsid w:val="7A7E3F4B"/>
    <w:rsid w:val="7A9A52A7"/>
    <w:rsid w:val="7A9E3444"/>
    <w:rsid w:val="7AA87668"/>
    <w:rsid w:val="7ACC6BEA"/>
    <w:rsid w:val="7ACF2BC4"/>
    <w:rsid w:val="7ADC65FD"/>
    <w:rsid w:val="7AE11581"/>
    <w:rsid w:val="7AF7642E"/>
    <w:rsid w:val="7AFB16F7"/>
    <w:rsid w:val="7B241A11"/>
    <w:rsid w:val="7B26210E"/>
    <w:rsid w:val="7B2F5245"/>
    <w:rsid w:val="7B334F2B"/>
    <w:rsid w:val="7B5042D8"/>
    <w:rsid w:val="7B5E4E76"/>
    <w:rsid w:val="7B637DB6"/>
    <w:rsid w:val="7B673063"/>
    <w:rsid w:val="7B676E25"/>
    <w:rsid w:val="7B6A2721"/>
    <w:rsid w:val="7B784E3E"/>
    <w:rsid w:val="7B7B3AC4"/>
    <w:rsid w:val="7B841A35"/>
    <w:rsid w:val="7BA060D4"/>
    <w:rsid w:val="7BB01186"/>
    <w:rsid w:val="7BB92FD8"/>
    <w:rsid w:val="7BC77D94"/>
    <w:rsid w:val="7BDA728E"/>
    <w:rsid w:val="7BE76C0E"/>
    <w:rsid w:val="7BEC38D9"/>
    <w:rsid w:val="7BF0651E"/>
    <w:rsid w:val="7C1E6245"/>
    <w:rsid w:val="7C1F3E1B"/>
    <w:rsid w:val="7C2106CE"/>
    <w:rsid w:val="7C2B0D47"/>
    <w:rsid w:val="7C484810"/>
    <w:rsid w:val="7C642B27"/>
    <w:rsid w:val="7C651F05"/>
    <w:rsid w:val="7C731C1C"/>
    <w:rsid w:val="7C765821"/>
    <w:rsid w:val="7C782AB0"/>
    <w:rsid w:val="7C7E6484"/>
    <w:rsid w:val="7C88331E"/>
    <w:rsid w:val="7CA22FEA"/>
    <w:rsid w:val="7CAB3634"/>
    <w:rsid w:val="7CEF6506"/>
    <w:rsid w:val="7CF40EC8"/>
    <w:rsid w:val="7CF66AAB"/>
    <w:rsid w:val="7CF85855"/>
    <w:rsid w:val="7CFA011A"/>
    <w:rsid w:val="7CFD08F0"/>
    <w:rsid w:val="7D056BA5"/>
    <w:rsid w:val="7D330928"/>
    <w:rsid w:val="7D510C4B"/>
    <w:rsid w:val="7D5611AF"/>
    <w:rsid w:val="7D61509E"/>
    <w:rsid w:val="7D6D684D"/>
    <w:rsid w:val="7D8269D3"/>
    <w:rsid w:val="7DD80EB4"/>
    <w:rsid w:val="7DE15E86"/>
    <w:rsid w:val="7DFE2FC3"/>
    <w:rsid w:val="7E067666"/>
    <w:rsid w:val="7E11330D"/>
    <w:rsid w:val="7E207BF6"/>
    <w:rsid w:val="7E290672"/>
    <w:rsid w:val="7E3E6E71"/>
    <w:rsid w:val="7E5A082B"/>
    <w:rsid w:val="7E5C63E0"/>
    <w:rsid w:val="7E670A3E"/>
    <w:rsid w:val="7E763D23"/>
    <w:rsid w:val="7E8F46DC"/>
    <w:rsid w:val="7E9E5C9C"/>
    <w:rsid w:val="7EAD6101"/>
    <w:rsid w:val="7EB33FB5"/>
    <w:rsid w:val="7EB93807"/>
    <w:rsid w:val="7EBD63C0"/>
    <w:rsid w:val="7EBF1CF5"/>
    <w:rsid w:val="7ED82D3A"/>
    <w:rsid w:val="7EE24D87"/>
    <w:rsid w:val="7EEA095D"/>
    <w:rsid w:val="7EEC1626"/>
    <w:rsid w:val="7F0B7248"/>
    <w:rsid w:val="7F140DB1"/>
    <w:rsid w:val="7F2A57B6"/>
    <w:rsid w:val="7F4F16B1"/>
    <w:rsid w:val="7F695182"/>
    <w:rsid w:val="7F763462"/>
    <w:rsid w:val="7F7A0221"/>
    <w:rsid w:val="7F8D0FEB"/>
    <w:rsid w:val="7F983D01"/>
    <w:rsid w:val="7FB725E1"/>
    <w:rsid w:val="7FC02287"/>
    <w:rsid w:val="7FC76391"/>
    <w:rsid w:val="7FC76394"/>
    <w:rsid w:val="7FDA2C42"/>
    <w:rsid w:val="7FE83C65"/>
    <w:rsid w:val="7FE92466"/>
    <w:rsid w:val="7FEB723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ocked="1"/>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0" w:semiHidden="0" w:name="Body Text First Indent" w:locked="1"/>
    <w:lsdException w:qFormat="1"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4"/>
      <w:szCs w:val="22"/>
      <w:lang w:val="en-US" w:eastAsia="zh-CN" w:bidi="ar-SA"/>
    </w:rPr>
  </w:style>
  <w:style w:type="paragraph" w:styleId="2">
    <w:name w:val="heading 1"/>
    <w:basedOn w:val="1"/>
    <w:next w:val="3"/>
    <w:link w:val="56"/>
    <w:qFormat/>
    <w:uiPriority w:val="0"/>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4">
    <w:name w:val="heading 2"/>
    <w:basedOn w:val="1"/>
    <w:next w:val="3"/>
    <w:link w:val="57"/>
    <w:qFormat/>
    <w:uiPriority w:val="0"/>
    <w:pPr>
      <w:keepNext/>
      <w:keepLines/>
      <w:numPr>
        <w:ilvl w:val="1"/>
        <w:numId w:val="1"/>
      </w:numPr>
      <w:tabs>
        <w:tab w:val="left" w:pos="0"/>
        <w:tab w:val="left" w:pos="360"/>
      </w:tabs>
      <w:adjustRightInd w:val="0"/>
      <w:spacing w:before="160" w:after="160" w:line="160" w:lineRule="atLeast"/>
      <w:textAlignment w:val="baseline"/>
      <w:outlineLvl w:val="1"/>
    </w:pPr>
    <w:rPr>
      <w:rFonts w:ascii="黑体" w:eastAsia="黑体"/>
      <w:kern w:val="0"/>
      <w:sz w:val="28"/>
      <w:szCs w:val="20"/>
    </w:rPr>
  </w:style>
  <w:style w:type="paragraph" w:styleId="5">
    <w:name w:val="heading 3"/>
    <w:basedOn w:val="1"/>
    <w:next w:val="3"/>
    <w:link w:val="58"/>
    <w:qFormat/>
    <w:uiPriority w:val="0"/>
    <w:pPr>
      <w:keepNext/>
      <w:keepLines/>
      <w:numPr>
        <w:ilvl w:val="2"/>
        <w:numId w:val="1"/>
      </w:numPr>
      <w:tabs>
        <w:tab w:val="left" w:pos="360"/>
      </w:tabs>
      <w:adjustRightInd w:val="0"/>
      <w:spacing w:before="160" w:after="160" w:line="160" w:lineRule="atLeast"/>
      <w:ind w:hanging="284"/>
      <w:textAlignment w:val="baseline"/>
      <w:outlineLvl w:val="2"/>
    </w:pPr>
    <w:rPr>
      <w:rFonts w:ascii="黑体" w:eastAsia="黑体"/>
      <w:kern w:val="0"/>
      <w:sz w:val="28"/>
      <w:szCs w:val="20"/>
    </w:rPr>
  </w:style>
  <w:style w:type="paragraph" w:styleId="6">
    <w:name w:val="heading 4"/>
    <w:basedOn w:val="1"/>
    <w:next w:val="1"/>
    <w:link w:val="59"/>
    <w:qFormat/>
    <w:uiPriority w:val="0"/>
    <w:pPr>
      <w:keepNext/>
      <w:keepLines/>
      <w:numPr>
        <w:ilvl w:val="3"/>
        <w:numId w:val="1"/>
      </w:numPr>
      <w:tabs>
        <w:tab w:val="left" w:pos="0"/>
        <w:tab w:val="left" w:pos="360"/>
      </w:tab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link w:val="60"/>
    <w:qFormat/>
    <w:uiPriority w:val="0"/>
    <w:pPr>
      <w:keepNext/>
      <w:keepLines/>
      <w:numPr>
        <w:ilvl w:val="4"/>
        <w:numId w:val="1"/>
      </w:numPr>
      <w:tabs>
        <w:tab w:val="left" w:pos="0"/>
        <w:tab w:val="left" w:pos="360"/>
      </w:tabs>
      <w:adjustRightInd w:val="0"/>
      <w:spacing w:before="280" w:after="290" w:line="376" w:lineRule="atLeast"/>
      <w:textAlignment w:val="baseline"/>
      <w:outlineLvl w:val="4"/>
    </w:pPr>
    <w:rPr>
      <w:rFonts w:ascii="Times New Roman" w:hAnsi="Times New Roman"/>
      <w:b/>
      <w:kern w:val="0"/>
      <w:sz w:val="28"/>
      <w:szCs w:val="20"/>
    </w:rPr>
  </w:style>
  <w:style w:type="paragraph" w:styleId="8">
    <w:name w:val="heading 6"/>
    <w:basedOn w:val="1"/>
    <w:next w:val="1"/>
    <w:link w:val="61"/>
    <w:qFormat/>
    <w:uiPriority w:val="0"/>
    <w:pPr>
      <w:keepNext/>
      <w:keepLines/>
      <w:numPr>
        <w:ilvl w:val="5"/>
        <w:numId w:val="1"/>
      </w:numPr>
      <w:tabs>
        <w:tab w:val="left" w:pos="0"/>
        <w:tab w:val="left" w:pos="360"/>
      </w:tabs>
      <w:adjustRightInd w:val="0"/>
      <w:spacing w:before="240" w:after="64" w:line="320" w:lineRule="atLeast"/>
      <w:textAlignment w:val="baseline"/>
      <w:outlineLvl w:val="5"/>
    </w:pPr>
    <w:rPr>
      <w:rFonts w:ascii="Arial" w:hAnsi="Arial" w:eastAsia="黑体"/>
      <w:b/>
      <w:kern w:val="0"/>
      <w:szCs w:val="20"/>
    </w:rPr>
  </w:style>
  <w:style w:type="paragraph" w:styleId="9">
    <w:name w:val="heading 7"/>
    <w:basedOn w:val="1"/>
    <w:next w:val="1"/>
    <w:link w:val="62"/>
    <w:qFormat/>
    <w:uiPriority w:val="0"/>
    <w:pPr>
      <w:keepNext/>
      <w:keepLines/>
      <w:numPr>
        <w:ilvl w:val="6"/>
        <w:numId w:val="1"/>
      </w:numPr>
      <w:tabs>
        <w:tab w:val="left" w:pos="0"/>
        <w:tab w:val="left" w:pos="360"/>
      </w:tabs>
      <w:adjustRightInd w:val="0"/>
      <w:spacing w:before="240" w:after="64" w:line="320" w:lineRule="atLeast"/>
      <w:textAlignment w:val="baseline"/>
      <w:outlineLvl w:val="6"/>
    </w:pPr>
    <w:rPr>
      <w:rFonts w:ascii="Times New Roman" w:hAnsi="Times New Roman"/>
      <w:b/>
      <w:kern w:val="0"/>
      <w:szCs w:val="20"/>
    </w:rPr>
  </w:style>
  <w:style w:type="paragraph" w:styleId="10">
    <w:name w:val="heading 8"/>
    <w:basedOn w:val="1"/>
    <w:next w:val="1"/>
    <w:link w:val="63"/>
    <w:qFormat/>
    <w:uiPriority w:val="0"/>
    <w:pPr>
      <w:keepNext/>
      <w:keepLines/>
      <w:numPr>
        <w:ilvl w:val="7"/>
        <w:numId w:val="1"/>
      </w:numPr>
      <w:tabs>
        <w:tab w:val="left" w:pos="0"/>
        <w:tab w:val="left" w:pos="360"/>
      </w:tabs>
      <w:adjustRightInd w:val="0"/>
      <w:spacing w:before="240" w:after="64" w:line="320" w:lineRule="atLeast"/>
      <w:textAlignment w:val="baseline"/>
      <w:outlineLvl w:val="7"/>
    </w:pPr>
    <w:rPr>
      <w:rFonts w:ascii="Arial" w:hAnsi="Arial" w:eastAsia="黑体"/>
      <w:kern w:val="0"/>
      <w:szCs w:val="20"/>
    </w:rPr>
  </w:style>
  <w:style w:type="paragraph" w:styleId="11">
    <w:name w:val="heading 9"/>
    <w:basedOn w:val="1"/>
    <w:next w:val="1"/>
    <w:link w:val="64"/>
    <w:qFormat/>
    <w:uiPriority w:val="0"/>
    <w:pPr>
      <w:keepNext/>
      <w:keepLines/>
      <w:numPr>
        <w:ilvl w:val="8"/>
        <w:numId w:val="1"/>
      </w:numPr>
      <w:tabs>
        <w:tab w:val="left" w:pos="0"/>
        <w:tab w:val="left" w:pos="360"/>
      </w:tab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customStyle="1" w:styleId="3">
    <w:name w:val="文档正文"/>
    <w:basedOn w:val="1"/>
    <w:qFormat/>
    <w:uiPriority w:val="99"/>
    <w:pPr>
      <w:adjustRightInd w:val="0"/>
      <w:spacing w:line="480" w:lineRule="atLeast"/>
      <w:ind w:firstLine="567"/>
      <w:textAlignment w:val="baseline"/>
    </w:pPr>
    <w:rPr>
      <w:rFonts w:ascii="仿宋_GB2312" w:eastAsia="仿宋_GB2312"/>
      <w:kern w:val="0"/>
      <w:sz w:val="28"/>
      <w:szCs w:val="20"/>
    </w:rPr>
  </w:style>
  <w:style w:type="paragraph" w:styleId="12">
    <w:name w:val="List 3"/>
    <w:basedOn w:val="1"/>
    <w:qFormat/>
    <w:uiPriority w:val="99"/>
    <w:pPr>
      <w:ind w:left="600" w:leftChars="400" w:hanging="200" w:hangingChars="200"/>
    </w:pPr>
    <w:rPr>
      <w:rFonts w:ascii="Times New Roman" w:hAnsi="Times New Roman"/>
      <w:szCs w:val="20"/>
    </w:rPr>
  </w:style>
  <w:style w:type="paragraph" w:styleId="13">
    <w:name w:val="Normal Indent"/>
    <w:basedOn w:val="1"/>
    <w:qFormat/>
    <w:uiPriority w:val="0"/>
    <w:pPr>
      <w:ind w:firstLine="420"/>
    </w:pPr>
    <w:rPr>
      <w:rFonts w:ascii="Times New Roman" w:hAnsi="Times New Roman"/>
      <w:sz w:val="28"/>
      <w:szCs w:val="20"/>
    </w:rPr>
  </w:style>
  <w:style w:type="paragraph" w:styleId="14">
    <w:name w:val="caption"/>
    <w:basedOn w:val="1"/>
    <w:next w:val="1"/>
    <w:qFormat/>
    <w:uiPriority w:val="99"/>
    <w:pPr>
      <w:spacing w:before="152" w:after="160"/>
    </w:pPr>
    <w:rPr>
      <w:rFonts w:ascii="Arial" w:hAnsi="Arial" w:eastAsia="黑体" w:cs="Arial"/>
      <w:sz w:val="20"/>
      <w:szCs w:val="20"/>
    </w:rPr>
  </w:style>
  <w:style w:type="paragraph" w:styleId="15">
    <w:name w:val="annotation text"/>
    <w:basedOn w:val="1"/>
    <w:next w:val="13"/>
    <w:link w:val="65"/>
    <w:qFormat/>
    <w:uiPriority w:val="99"/>
    <w:pPr>
      <w:jc w:val="left"/>
    </w:pPr>
  </w:style>
  <w:style w:type="paragraph" w:styleId="16">
    <w:name w:val="Body Text 3"/>
    <w:basedOn w:val="1"/>
    <w:link w:val="67"/>
    <w:qFormat/>
    <w:uiPriority w:val="99"/>
    <w:pPr>
      <w:spacing w:after="120"/>
    </w:pPr>
    <w:rPr>
      <w:rFonts w:ascii="Times New Roman" w:hAnsi="Times New Roman"/>
      <w:sz w:val="16"/>
      <w:szCs w:val="16"/>
    </w:rPr>
  </w:style>
  <w:style w:type="paragraph" w:styleId="17">
    <w:name w:val="Body Text"/>
    <w:basedOn w:val="1"/>
    <w:next w:val="18"/>
    <w:link w:val="68"/>
    <w:qFormat/>
    <w:uiPriority w:val="0"/>
    <w:pPr>
      <w:spacing w:line="360" w:lineRule="auto"/>
    </w:pPr>
    <w:rPr>
      <w:rFonts w:ascii="Times New Roman" w:hAnsi="Times New Roman"/>
      <w:szCs w:val="20"/>
    </w:rPr>
  </w:style>
  <w:style w:type="paragraph" w:customStyle="1" w:styleId="18">
    <w:name w:val="Default"/>
    <w:next w:val="19"/>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
    <w:name w:val="大标题"/>
    <w:basedOn w:val="1"/>
    <w:next w:val="20"/>
    <w:qFormat/>
    <w:uiPriority w:val="0"/>
    <w:pPr>
      <w:jc w:val="center"/>
    </w:pPr>
    <w:rPr>
      <w:rFonts w:ascii="Arial" w:hAnsi="Arial"/>
      <w:b/>
      <w:sz w:val="28"/>
      <w:szCs w:val="24"/>
    </w:rPr>
  </w:style>
  <w:style w:type="paragraph" w:styleId="20">
    <w:name w:val="Body Text First Indent 2"/>
    <w:basedOn w:val="21"/>
    <w:next w:val="17"/>
    <w:link w:val="99"/>
    <w:semiHidden/>
    <w:unhideWhenUsed/>
    <w:qFormat/>
    <w:locked/>
    <w:uiPriority w:val="99"/>
    <w:pPr>
      <w:spacing w:after="120"/>
      <w:ind w:left="420" w:leftChars="200" w:firstLine="420" w:firstLineChars="200"/>
    </w:pPr>
    <w:rPr>
      <w:rFonts w:ascii="Calibri"/>
      <w:sz w:val="24"/>
      <w:szCs w:val="22"/>
    </w:rPr>
  </w:style>
  <w:style w:type="paragraph" w:styleId="21">
    <w:name w:val="Body Text Indent"/>
    <w:basedOn w:val="1"/>
    <w:next w:val="17"/>
    <w:link w:val="69"/>
    <w:qFormat/>
    <w:uiPriority w:val="99"/>
    <w:pPr>
      <w:ind w:firstLine="645"/>
    </w:pPr>
    <w:rPr>
      <w:rFonts w:ascii="宋体"/>
      <w:sz w:val="32"/>
      <w:szCs w:val="20"/>
    </w:rPr>
  </w:style>
  <w:style w:type="paragraph" w:styleId="22">
    <w:name w:val="List 2"/>
    <w:basedOn w:val="1"/>
    <w:qFormat/>
    <w:uiPriority w:val="99"/>
    <w:pPr>
      <w:ind w:left="400" w:leftChars="200" w:hanging="200" w:hangingChars="200"/>
    </w:pPr>
    <w:rPr>
      <w:rFonts w:ascii="Times New Roman" w:hAnsi="Times New Roman"/>
      <w:szCs w:val="20"/>
    </w:rPr>
  </w:style>
  <w:style w:type="paragraph" w:styleId="23">
    <w:name w:val="Block Text"/>
    <w:basedOn w:val="1"/>
    <w:qFormat/>
    <w:locked/>
    <w:uiPriority w:val="0"/>
    <w:pPr>
      <w:autoSpaceDE w:val="0"/>
      <w:autoSpaceDN w:val="0"/>
      <w:adjustRightInd w:val="0"/>
      <w:spacing w:line="500" w:lineRule="exact"/>
      <w:ind w:left="391" w:right="246"/>
    </w:pPr>
    <w:rPr>
      <w:rFonts w:ascii="仿宋_GB2312" w:hAnsi="Times New Roman" w:eastAsia="仿宋_GB2312"/>
      <w:kern w:val="0"/>
      <w:szCs w:val="24"/>
    </w:rPr>
  </w:style>
  <w:style w:type="paragraph" w:styleId="24">
    <w:name w:val="toc 3"/>
    <w:basedOn w:val="1"/>
    <w:next w:val="1"/>
    <w:qFormat/>
    <w:uiPriority w:val="99"/>
    <w:pPr>
      <w:tabs>
        <w:tab w:val="right" w:leader="dot" w:pos="8776"/>
      </w:tabs>
      <w:spacing w:line="400" w:lineRule="exact"/>
      <w:ind w:left="400" w:leftChars="400" w:firstLine="200" w:firstLineChars="200"/>
    </w:pPr>
    <w:rPr>
      <w:rFonts w:ascii="宋体"/>
      <w:bCs/>
      <w:sz w:val="18"/>
      <w:szCs w:val="18"/>
    </w:rPr>
  </w:style>
  <w:style w:type="paragraph" w:styleId="25">
    <w:name w:val="Plain Text"/>
    <w:basedOn w:val="1"/>
    <w:link w:val="70"/>
    <w:qFormat/>
    <w:uiPriority w:val="0"/>
    <w:pPr>
      <w:spacing w:line="360" w:lineRule="auto"/>
      <w:ind w:firstLine="200" w:firstLineChars="200"/>
    </w:pPr>
    <w:rPr>
      <w:rFonts w:ascii="宋体" w:hAnsi="宋体" w:eastAsia="仿宋_GB2312" w:cs="Courier New"/>
      <w:szCs w:val="21"/>
    </w:rPr>
  </w:style>
  <w:style w:type="paragraph" w:styleId="26">
    <w:name w:val="Date"/>
    <w:basedOn w:val="1"/>
    <w:next w:val="1"/>
    <w:link w:val="71"/>
    <w:qFormat/>
    <w:uiPriority w:val="99"/>
    <w:pPr>
      <w:ind w:left="2500" w:leftChars="2500"/>
    </w:pPr>
  </w:style>
  <w:style w:type="paragraph" w:styleId="27">
    <w:name w:val="Body Text Indent 2"/>
    <w:basedOn w:val="1"/>
    <w:link w:val="72"/>
    <w:qFormat/>
    <w:uiPriority w:val="99"/>
    <w:pPr>
      <w:ind w:firstLine="630"/>
    </w:pPr>
    <w:rPr>
      <w:rFonts w:ascii="宋体"/>
      <w:sz w:val="32"/>
      <w:szCs w:val="20"/>
    </w:rPr>
  </w:style>
  <w:style w:type="paragraph" w:styleId="28">
    <w:name w:val="List Continue 5"/>
    <w:basedOn w:val="1"/>
    <w:qFormat/>
    <w:uiPriority w:val="99"/>
    <w:pPr>
      <w:spacing w:after="120"/>
      <w:ind w:left="1000" w:leftChars="1000"/>
    </w:pPr>
    <w:rPr>
      <w:rFonts w:ascii="Times New Roman" w:hAnsi="Times New Roman"/>
      <w:szCs w:val="20"/>
    </w:rPr>
  </w:style>
  <w:style w:type="paragraph" w:styleId="29">
    <w:name w:val="Balloon Text"/>
    <w:basedOn w:val="1"/>
    <w:link w:val="73"/>
    <w:qFormat/>
    <w:uiPriority w:val="99"/>
    <w:rPr>
      <w:sz w:val="18"/>
      <w:szCs w:val="18"/>
    </w:rPr>
  </w:style>
  <w:style w:type="paragraph" w:styleId="30">
    <w:name w:val="footer"/>
    <w:basedOn w:val="1"/>
    <w:link w:val="74"/>
    <w:qFormat/>
    <w:uiPriority w:val="99"/>
    <w:pPr>
      <w:tabs>
        <w:tab w:val="center" w:pos="4153"/>
        <w:tab w:val="right" w:pos="8306"/>
      </w:tabs>
      <w:snapToGrid w:val="0"/>
      <w:jc w:val="left"/>
    </w:pPr>
    <w:rPr>
      <w:kern w:val="0"/>
      <w:sz w:val="18"/>
      <w:szCs w:val="18"/>
    </w:rPr>
  </w:style>
  <w:style w:type="paragraph" w:styleId="31">
    <w:name w:val="header"/>
    <w:basedOn w:val="1"/>
    <w:link w:val="75"/>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qFormat/>
    <w:uiPriority w:val="39"/>
    <w:pPr>
      <w:tabs>
        <w:tab w:val="right" w:leader="dot" w:pos="8776"/>
      </w:tabs>
      <w:spacing w:line="360" w:lineRule="exact"/>
      <w:ind w:firstLine="200" w:firstLineChars="200"/>
    </w:pPr>
    <w:rPr>
      <w:rFonts w:ascii="华文中宋" w:eastAsia="华文中宋"/>
      <w:b/>
      <w:szCs w:val="24"/>
    </w:rPr>
  </w:style>
  <w:style w:type="paragraph" w:styleId="33">
    <w:name w:val="List Continue 4"/>
    <w:basedOn w:val="1"/>
    <w:qFormat/>
    <w:uiPriority w:val="99"/>
    <w:pPr>
      <w:spacing w:after="120"/>
      <w:ind w:left="800" w:leftChars="800"/>
    </w:pPr>
    <w:rPr>
      <w:rFonts w:ascii="Times New Roman" w:hAnsi="Times New Roman"/>
      <w:szCs w:val="20"/>
    </w:rPr>
  </w:style>
  <w:style w:type="paragraph" w:styleId="34">
    <w:name w:val="Subtitle"/>
    <w:basedOn w:val="1"/>
    <w:next w:val="1"/>
    <w:qFormat/>
    <w:locked/>
    <w:uiPriority w:val="11"/>
    <w:pPr>
      <w:spacing w:before="60" w:after="60" w:line="360" w:lineRule="auto"/>
      <w:jc w:val="left"/>
      <w:outlineLvl w:val="1"/>
    </w:pPr>
    <w:rPr>
      <w:rFonts w:ascii="Calibri Light" w:hAnsi="Calibri Light"/>
      <w:b/>
      <w:bCs/>
      <w:kern w:val="28"/>
      <w:sz w:val="28"/>
      <w:szCs w:val="32"/>
    </w:rPr>
  </w:style>
  <w:style w:type="paragraph" w:styleId="35">
    <w:name w:val="List"/>
    <w:basedOn w:val="1"/>
    <w:qFormat/>
    <w:uiPriority w:val="99"/>
    <w:pPr>
      <w:ind w:left="200" w:hanging="200" w:hangingChars="200"/>
    </w:pPr>
    <w:rPr>
      <w:rFonts w:ascii="Times New Roman" w:hAnsi="Times New Roman"/>
      <w:szCs w:val="20"/>
    </w:rPr>
  </w:style>
  <w:style w:type="paragraph" w:styleId="36">
    <w:name w:val="footnote text"/>
    <w:basedOn w:val="1"/>
    <w:link w:val="76"/>
    <w:qFormat/>
    <w:uiPriority w:val="99"/>
    <w:pPr>
      <w:adjustRightInd w:val="0"/>
      <w:spacing w:line="312" w:lineRule="atLeast"/>
      <w:jc w:val="left"/>
    </w:pPr>
    <w:rPr>
      <w:rFonts w:ascii="Times New Roman" w:hAnsi="Times New Roman"/>
      <w:kern w:val="0"/>
      <w:sz w:val="18"/>
      <w:szCs w:val="20"/>
    </w:rPr>
  </w:style>
  <w:style w:type="paragraph" w:styleId="37">
    <w:name w:val="List 5"/>
    <w:basedOn w:val="1"/>
    <w:qFormat/>
    <w:uiPriority w:val="99"/>
    <w:pPr>
      <w:ind w:left="1000" w:leftChars="800" w:hanging="200" w:hangingChars="200"/>
    </w:pPr>
    <w:rPr>
      <w:rFonts w:ascii="Times New Roman" w:hAnsi="Times New Roman"/>
      <w:szCs w:val="20"/>
    </w:rPr>
  </w:style>
  <w:style w:type="paragraph" w:styleId="38">
    <w:name w:val="Body Text Indent 3"/>
    <w:basedOn w:val="1"/>
    <w:link w:val="77"/>
    <w:qFormat/>
    <w:uiPriority w:val="99"/>
    <w:pPr>
      <w:spacing w:line="360" w:lineRule="auto"/>
      <w:ind w:firstLine="468"/>
    </w:pPr>
    <w:rPr>
      <w:rFonts w:ascii="Times New Roman" w:hAnsi="Times New Roman"/>
      <w:szCs w:val="20"/>
    </w:rPr>
  </w:style>
  <w:style w:type="paragraph" w:styleId="39">
    <w:name w:val="toc 2"/>
    <w:basedOn w:val="1"/>
    <w:next w:val="1"/>
    <w:qFormat/>
    <w:uiPriority w:val="39"/>
    <w:pPr>
      <w:tabs>
        <w:tab w:val="right" w:leader="dot" w:pos="8776"/>
      </w:tabs>
      <w:spacing w:line="360" w:lineRule="auto"/>
      <w:ind w:left="200" w:leftChars="200" w:firstLine="200" w:firstLineChars="200"/>
      <w:jc w:val="distribute"/>
    </w:pPr>
    <w:rPr>
      <w:rFonts w:ascii="华文中宋" w:eastAsia="华文中宋"/>
      <w:szCs w:val="24"/>
    </w:rPr>
  </w:style>
  <w:style w:type="paragraph" w:styleId="40">
    <w:name w:val="Body Text 2"/>
    <w:basedOn w:val="1"/>
    <w:link w:val="78"/>
    <w:qFormat/>
    <w:uiPriority w:val="99"/>
    <w:pPr>
      <w:spacing w:after="120" w:line="480" w:lineRule="auto"/>
    </w:pPr>
    <w:rPr>
      <w:rFonts w:ascii="Times New Roman" w:hAnsi="Times New Roman"/>
      <w:szCs w:val="20"/>
    </w:rPr>
  </w:style>
  <w:style w:type="paragraph" w:styleId="41">
    <w:name w:val="List 4"/>
    <w:basedOn w:val="1"/>
    <w:qFormat/>
    <w:uiPriority w:val="99"/>
    <w:pPr>
      <w:ind w:left="800" w:leftChars="600" w:hanging="200" w:hangingChars="200"/>
    </w:pPr>
    <w:rPr>
      <w:rFonts w:ascii="Times New Roman" w:hAnsi="Times New Roman"/>
      <w:szCs w:val="20"/>
    </w:rPr>
  </w:style>
  <w:style w:type="paragraph" w:styleId="42">
    <w:name w:val="List Continue 2"/>
    <w:basedOn w:val="1"/>
    <w:qFormat/>
    <w:uiPriority w:val="99"/>
    <w:pPr>
      <w:spacing w:after="120"/>
      <w:ind w:left="400" w:leftChars="400"/>
    </w:pPr>
    <w:rPr>
      <w:rFonts w:ascii="Times New Roman" w:hAnsi="Times New Roman"/>
      <w:szCs w:val="20"/>
    </w:rPr>
  </w:style>
  <w:style w:type="paragraph" w:styleId="43">
    <w:name w:val="Normal (Web)"/>
    <w:basedOn w:val="1"/>
    <w:qFormat/>
    <w:uiPriority w:val="99"/>
    <w:pPr>
      <w:widowControl/>
      <w:spacing w:before="100" w:beforeAutospacing="1" w:after="100" w:afterAutospacing="1"/>
      <w:jc w:val="left"/>
    </w:pPr>
    <w:rPr>
      <w:rFonts w:ascii="宋体"/>
      <w:kern w:val="0"/>
      <w:szCs w:val="24"/>
    </w:rPr>
  </w:style>
  <w:style w:type="paragraph" w:styleId="44">
    <w:name w:val="List Continue 3"/>
    <w:basedOn w:val="1"/>
    <w:qFormat/>
    <w:uiPriority w:val="99"/>
    <w:pPr>
      <w:spacing w:after="120"/>
      <w:ind w:left="600" w:leftChars="600"/>
    </w:pPr>
    <w:rPr>
      <w:rFonts w:ascii="Times New Roman" w:hAnsi="Times New Roman"/>
      <w:szCs w:val="20"/>
    </w:rPr>
  </w:style>
  <w:style w:type="paragraph" w:styleId="45">
    <w:name w:val="annotation subject"/>
    <w:basedOn w:val="15"/>
    <w:next w:val="15"/>
    <w:link w:val="66"/>
    <w:qFormat/>
    <w:uiPriority w:val="99"/>
    <w:rPr>
      <w:b/>
      <w:bCs/>
    </w:rPr>
  </w:style>
  <w:style w:type="paragraph" w:styleId="46">
    <w:name w:val="Body Text First Indent"/>
    <w:basedOn w:val="17"/>
    <w:qFormat/>
    <w:locked/>
    <w:uiPriority w:val="0"/>
    <w:pPr>
      <w:ind w:firstLine="420" w:firstLineChars="100"/>
    </w:pPr>
  </w:style>
  <w:style w:type="table" w:styleId="48">
    <w:name w:val="Table Grid"/>
    <w:basedOn w:val="47"/>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page number"/>
    <w:qFormat/>
    <w:uiPriority w:val="0"/>
    <w:rPr>
      <w:rFonts w:cs="Times New Roman"/>
    </w:rPr>
  </w:style>
  <w:style w:type="character" w:styleId="51">
    <w:name w:val="FollowedHyperlink"/>
    <w:qFormat/>
    <w:uiPriority w:val="99"/>
    <w:rPr>
      <w:rFonts w:cs="Times New Roman"/>
      <w:color w:val="800080"/>
      <w:u w:val="single"/>
    </w:rPr>
  </w:style>
  <w:style w:type="character" w:styleId="52">
    <w:name w:val="Hyperlink"/>
    <w:qFormat/>
    <w:uiPriority w:val="99"/>
    <w:rPr>
      <w:rFonts w:cs="Times New Roman"/>
      <w:color w:val="0000FF"/>
      <w:u w:val="single"/>
    </w:rPr>
  </w:style>
  <w:style w:type="character" w:styleId="53">
    <w:name w:val="annotation reference"/>
    <w:qFormat/>
    <w:uiPriority w:val="99"/>
    <w:rPr>
      <w:rFonts w:cs="Times New Roman"/>
      <w:sz w:val="21"/>
      <w:szCs w:val="21"/>
    </w:rPr>
  </w:style>
  <w:style w:type="paragraph" w:customStyle="1" w:styleId="54">
    <w:name w:val="正文1"/>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paragraph" w:customStyle="1" w:styleId="55">
    <w:name w:val="无间隔1"/>
    <w:basedOn w:val="1"/>
    <w:qFormat/>
    <w:uiPriority w:val="1"/>
    <w:pPr>
      <w:spacing w:line="400" w:lineRule="exact"/>
    </w:pPr>
  </w:style>
  <w:style w:type="character" w:customStyle="1" w:styleId="56">
    <w:name w:val="标题 1 字符"/>
    <w:link w:val="2"/>
    <w:qFormat/>
    <w:uiPriority w:val="9"/>
    <w:rPr>
      <w:rFonts w:ascii="Calibri" w:hAnsi="Calibri"/>
      <w:b/>
      <w:bCs/>
      <w:kern w:val="44"/>
      <w:sz w:val="44"/>
      <w:szCs w:val="44"/>
    </w:rPr>
  </w:style>
  <w:style w:type="character" w:customStyle="1" w:styleId="57">
    <w:name w:val="标题 2 字符"/>
    <w:link w:val="4"/>
    <w:qFormat/>
    <w:uiPriority w:val="0"/>
    <w:rPr>
      <w:rFonts w:ascii="黑体" w:hAnsi="Calibri" w:eastAsia="黑体"/>
      <w:sz w:val="28"/>
    </w:rPr>
  </w:style>
  <w:style w:type="character" w:customStyle="1" w:styleId="58">
    <w:name w:val="标题 3 字符"/>
    <w:link w:val="5"/>
    <w:semiHidden/>
    <w:qFormat/>
    <w:uiPriority w:val="9"/>
    <w:rPr>
      <w:rFonts w:ascii="Calibri" w:hAnsi="Calibri"/>
      <w:b/>
      <w:bCs/>
      <w:sz w:val="32"/>
      <w:szCs w:val="32"/>
    </w:rPr>
  </w:style>
  <w:style w:type="character" w:customStyle="1" w:styleId="59">
    <w:name w:val="标题 4 字符"/>
    <w:link w:val="6"/>
    <w:semiHidden/>
    <w:qFormat/>
    <w:uiPriority w:val="9"/>
    <w:rPr>
      <w:rFonts w:ascii="Cambria" w:hAnsi="Cambria" w:eastAsia="宋体" w:cs="Times New Roman"/>
      <w:b/>
      <w:bCs/>
      <w:sz w:val="28"/>
      <w:szCs w:val="28"/>
    </w:rPr>
  </w:style>
  <w:style w:type="character" w:customStyle="1" w:styleId="60">
    <w:name w:val="标题 5 字符"/>
    <w:link w:val="7"/>
    <w:semiHidden/>
    <w:qFormat/>
    <w:uiPriority w:val="9"/>
    <w:rPr>
      <w:rFonts w:ascii="Calibri" w:hAnsi="Calibri"/>
      <w:b/>
      <w:bCs/>
      <w:sz w:val="28"/>
      <w:szCs w:val="28"/>
    </w:rPr>
  </w:style>
  <w:style w:type="character" w:customStyle="1" w:styleId="61">
    <w:name w:val="标题 6 字符"/>
    <w:link w:val="8"/>
    <w:semiHidden/>
    <w:qFormat/>
    <w:uiPriority w:val="9"/>
    <w:rPr>
      <w:rFonts w:ascii="Cambria" w:hAnsi="Cambria" w:eastAsia="宋体" w:cs="Times New Roman"/>
      <w:b/>
      <w:bCs/>
      <w:sz w:val="24"/>
      <w:szCs w:val="24"/>
    </w:rPr>
  </w:style>
  <w:style w:type="character" w:customStyle="1" w:styleId="62">
    <w:name w:val="标题 7 字符"/>
    <w:link w:val="9"/>
    <w:semiHidden/>
    <w:qFormat/>
    <w:uiPriority w:val="9"/>
    <w:rPr>
      <w:rFonts w:ascii="Calibri" w:hAnsi="Calibri"/>
      <w:b/>
      <w:bCs/>
      <w:sz w:val="24"/>
      <w:szCs w:val="24"/>
    </w:rPr>
  </w:style>
  <w:style w:type="character" w:customStyle="1" w:styleId="63">
    <w:name w:val="标题 8 字符"/>
    <w:link w:val="10"/>
    <w:semiHidden/>
    <w:qFormat/>
    <w:uiPriority w:val="9"/>
    <w:rPr>
      <w:rFonts w:ascii="Cambria" w:hAnsi="Cambria" w:eastAsia="宋体" w:cs="Times New Roman"/>
      <w:sz w:val="24"/>
      <w:szCs w:val="24"/>
    </w:rPr>
  </w:style>
  <w:style w:type="character" w:customStyle="1" w:styleId="64">
    <w:name w:val="标题 9 字符"/>
    <w:link w:val="11"/>
    <w:semiHidden/>
    <w:qFormat/>
    <w:uiPriority w:val="9"/>
    <w:rPr>
      <w:rFonts w:ascii="Cambria" w:hAnsi="Cambria" w:eastAsia="宋体" w:cs="Times New Roman"/>
      <w:szCs w:val="21"/>
    </w:rPr>
  </w:style>
  <w:style w:type="character" w:customStyle="1" w:styleId="65">
    <w:name w:val="批注文字 字符"/>
    <w:link w:val="15"/>
    <w:qFormat/>
    <w:uiPriority w:val="99"/>
    <w:rPr>
      <w:rFonts w:ascii="Calibri" w:hAnsi="Calibri"/>
    </w:rPr>
  </w:style>
  <w:style w:type="character" w:customStyle="1" w:styleId="66">
    <w:name w:val="批注主题 字符"/>
    <w:link w:val="45"/>
    <w:semiHidden/>
    <w:qFormat/>
    <w:uiPriority w:val="99"/>
    <w:rPr>
      <w:rFonts w:ascii="Calibri" w:hAnsi="Calibri"/>
      <w:b/>
      <w:bCs/>
    </w:rPr>
  </w:style>
  <w:style w:type="character" w:customStyle="1" w:styleId="67">
    <w:name w:val="正文文本 3 字符"/>
    <w:link w:val="16"/>
    <w:semiHidden/>
    <w:qFormat/>
    <w:uiPriority w:val="99"/>
    <w:rPr>
      <w:rFonts w:ascii="Calibri" w:hAnsi="Calibri"/>
      <w:sz w:val="16"/>
      <w:szCs w:val="16"/>
    </w:rPr>
  </w:style>
  <w:style w:type="character" w:customStyle="1" w:styleId="68">
    <w:name w:val="正文文本 字符"/>
    <w:link w:val="17"/>
    <w:semiHidden/>
    <w:qFormat/>
    <w:uiPriority w:val="99"/>
    <w:rPr>
      <w:rFonts w:ascii="Calibri" w:hAnsi="Calibri"/>
    </w:rPr>
  </w:style>
  <w:style w:type="character" w:customStyle="1" w:styleId="69">
    <w:name w:val="正文文本缩进 字符"/>
    <w:link w:val="21"/>
    <w:semiHidden/>
    <w:qFormat/>
    <w:uiPriority w:val="99"/>
    <w:rPr>
      <w:rFonts w:ascii="Calibri" w:hAnsi="Calibri"/>
    </w:rPr>
  </w:style>
  <w:style w:type="character" w:customStyle="1" w:styleId="70">
    <w:name w:val="纯文本 字符"/>
    <w:link w:val="25"/>
    <w:semiHidden/>
    <w:qFormat/>
    <w:uiPriority w:val="99"/>
    <w:rPr>
      <w:rFonts w:ascii="宋体" w:hAnsi="Courier New" w:cs="Courier New"/>
      <w:szCs w:val="21"/>
    </w:rPr>
  </w:style>
  <w:style w:type="character" w:customStyle="1" w:styleId="71">
    <w:name w:val="日期 字符"/>
    <w:link w:val="26"/>
    <w:semiHidden/>
    <w:qFormat/>
    <w:uiPriority w:val="99"/>
    <w:rPr>
      <w:rFonts w:ascii="Calibri" w:hAnsi="Calibri"/>
    </w:rPr>
  </w:style>
  <w:style w:type="character" w:customStyle="1" w:styleId="72">
    <w:name w:val="正文文本缩进 2 字符"/>
    <w:link w:val="27"/>
    <w:semiHidden/>
    <w:qFormat/>
    <w:uiPriority w:val="99"/>
    <w:rPr>
      <w:rFonts w:ascii="Calibri" w:hAnsi="Calibri"/>
    </w:rPr>
  </w:style>
  <w:style w:type="character" w:customStyle="1" w:styleId="73">
    <w:name w:val="批注框文本 字符"/>
    <w:link w:val="29"/>
    <w:semiHidden/>
    <w:qFormat/>
    <w:uiPriority w:val="99"/>
    <w:rPr>
      <w:rFonts w:ascii="Calibri" w:hAnsi="Calibri"/>
      <w:sz w:val="0"/>
      <w:szCs w:val="0"/>
    </w:rPr>
  </w:style>
  <w:style w:type="character" w:customStyle="1" w:styleId="74">
    <w:name w:val="页脚 字符"/>
    <w:link w:val="30"/>
    <w:qFormat/>
    <w:uiPriority w:val="99"/>
    <w:rPr>
      <w:rFonts w:ascii="Calibri" w:hAnsi="Calibri"/>
      <w:sz w:val="18"/>
      <w:szCs w:val="18"/>
    </w:rPr>
  </w:style>
  <w:style w:type="character" w:customStyle="1" w:styleId="75">
    <w:name w:val="页眉 字符"/>
    <w:link w:val="31"/>
    <w:semiHidden/>
    <w:qFormat/>
    <w:uiPriority w:val="99"/>
    <w:rPr>
      <w:rFonts w:ascii="Calibri" w:hAnsi="Calibri"/>
      <w:sz w:val="18"/>
      <w:szCs w:val="18"/>
    </w:rPr>
  </w:style>
  <w:style w:type="character" w:customStyle="1" w:styleId="76">
    <w:name w:val="脚注文本 字符"/>
    <w:link w:val="36"/>
    <w:semiHidden/>
    <w:qFormat/>
    <w:uiPriority w:val="99"/>
    <w:rPr>
      <w:rFonts w:ascii="Calibri" w:hAnsi="Calibri"/>
      <w:sz w:val="18"/>
      <w:szCs w:val="18"/>
    </w:rPr>
  </w:style>
  <w:style w:type="character" w:customStyle="1" w:styleId="77">
    <w:name w:val="正文文本缩进 3 字符"/>
    <w:link w:val="38"/>
    <w:semiHidden/>
    <w:qFormat/>
    <w:uiPriority w:val="99"/>
    <w:rPr>
      <w:rFonts w:ascii="Calibri" w:hAnsi="Calibri"/>
      <w:sz w:val="16"/>
      <w:szCs w:val="16"/>
    </w:rPr>
  </w:style>
  <w:style w:type="character" w:customStyle="1" w:styleId="78">
    <w:name w:val="正文文本 2 字符"/>
    <w:link w:val="40"/>
    <w:semiHidden/>
    <w:qFormat/>
    <w:uiPriority w:val="99"/>
    <w:rPr>
      <w:rFonts w:ascii="Calibri" w:hAnsi="Calibri"/>
    </w:rPr>
  </w:style>
  <w:style w:type="paragraph" w:customStyle="1" w:styleId="79">
    <w:name w:val="表格"/>
    <w:basedOn w:val="1"/>
    <w:qFormat/>
    <w:uiPriority w:val="0"/>
    <w:pPr>
      <w:adjustRightInd w:val="0"/>
      <w:spacing w:line="400" w:lineRule="atLeast"/>
      <w:textAlignment w:val="baseline"/>
    </w:pPr>
    <w:rPr>
      <w:rFonts w:ascii="仿宋_GB2312" w:eastAsia="仿宋_GB2312"/>
      <w:kern w:val="0"/>
      <w:sz w:val="28"/>
      <w:szCs w:val="20"/>
    </w:rPr>
  </w:style>
  <w:style w:type="paragraph" w:customStyle="1" w:styleId="80">
    <w:name w:val="简单回函地址"/>
    <w:basedOn w:val="1"/>
    <w:qFormat/>
    <w:uiPriority w:val="99"/>
    <w:rPr>
      <w:rFonts w:ascii="Times New Roman" w:hAnsi="Times New Roman"/>
      <w:szCs w:val="20"/>
    </w:rPr>
  </w:style>
  <w:style w:type="paragraph" w:customStyle="1" w:styleId="81">
    <w:name w:val="Blockquote"/>
    <w:basedOn w:val="1"/>
    <w:qFormat/>
    <w:uiPriority w:val="99"/>
    <w:pPr>
      <w:autoSpaceDE w:val="0"/>
      <w:autoSpaceDN w:val="0"/>
      <w:adjustRightInd w:val="0"/>
      <w:spacing w:before="100" w:after="100"/>
      <w:ind w:left="360" w:right="360"/>
      <w:jc w:val="left"/>
    </w:pPr>
    <w:rPr>
      <w:rFonts w:ascii="Times New Roman" w:hAnsi="Times New Roman"/>
      <w:kern w:val="0"/>
      <w:szCs w:val="20"/>
    </w:rPr>
  </w:style>
  <w:style w:type="paragraph" w:customStyle="1" w:styleId="82">
    <w:name w:val="font5"/>
    <w:basedOn w:val="1"/>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Cs w:val="24"/>
    </w:rPr>
  </w:style>
  <w:style w:type="paragraph" w:customStyle="1" w:styleId="83">
    <w:name w:val="font6"/>
    <w:basedOn w:val="1"/>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 w:val="18"/>
      <w:szCs w:val="18"/>
    </w:rPr>
  </w:style>
  <w:style w:type="paragraph" w:customStyle="1" w:styleId="84">
    <w:name w:val="font7"/>
    <w:basedOn w:val="1"/>
    <w:qFormat/>
    <w:uiPriority w:val="99"/>
    <w:pPr>
      <w:widowControl/>
      <w:spacing w:before="100" w:beforeAutospacing="1" w:after="100" w:afterAutospacing="1" w:line="360" w:lineRule="auto"/>
      <w:ind w:firstLine="200" w:firstLineChars="200"/>
      <w:jc w:val="left"/>
    </w:pPr>
    <w:rPr>
      <w:rFonts w:ascii="仿宋_GB2312" w:hAnsi="Times New Roman" w:eastAsia="仿宋_GB2312"/>
      <w:kern w:val="0"/>
      <w:szCs w:val="24"/>
    </w:rPr>
  </w:style>
  <w:style w:type="paragraph" w:customStyle="1" w:styleId="85">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eastAsia="Times New Roman" w:cs="Arial Unicode MS"/>
      <w:kern w:val="0"/>
      <w:szCs w:val="24"/>
    </w:rPr>
  </w:style>
  <w:style w:type="paragraph" w:customStyle="1" w:styleId="86">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eastAsia="Times New Roman" w:cs="Arial Unicode MS"/>
      <w:kern w:val="0"/>
      <w:szCs w:val="24"/>
    </w:rPr>
  </w:style>
  <w:style w:type="paragraph" w:customStyle="1" w:styleId="87">
    <w:name w:val="xl2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200" w:firstLineChars="200"/>
      <w:jc w:val="center"/>
    </w:pPr>
    <w:rPr>
      <w:rFonts w:ascii="Arial Unicode MS" w:eastAsia="Times New Roman" w:cs="Arial Unicode MS"/>
      <w:kern w:val="0"/>
      <w:sz w:val="18"/>
      <w:szCs w:val="18"/>
    </w:rPr>
  </w:style>
  <w:style w:type="paragraph" w:customStyle="1" w:styleId="88">
    <w:name w:val="正文内容"/>
    <w:basedOn w:val="1"/>
    <w:qFormat/>
    <w:uiPriority w:val="99"/>
    <w:pPr>
      <w:widowControl/>
      <w:jc w:val="left"/>
    </w:pPr>
    <w:rPr>
      <w:rFonts w:ascii="宋体" w:cs="宋体"/>
      <w:kern w:val="0"/>
      <w:sz w:val="28"/>
      <w:szCs w:val="24"/>
    </w:rPr>
  </w:style>
  <w:style w:type="paragraph" w:customStyle="1" w:styleId="89">
    <w:name w:val="Default Text"/>
    <w:basedOn w:val="1"/>
    <w:qFormat/>
    <w:uiPriority w:val="99"/>
    <w:pPr>
      <w:widowControl/>
      <w:overflowPunct w:val="0"/>
      <w:autoSpaceDE w:val="0"/>
      <w:autoSpaceDN w:val="0"/>
      <w:adjustRightInd w:val="0"/>
      <w:jc w:val="left"/>
      <w:textAlignment w:val="baseline"/>
    </w:pPr>
    <w:rPr>
      <w:rFonts w:ascii="Times New Roman" w:hAnsi="Times New Roman"/>
      <w:kern w:val="0"/>
      <w:szCs w:val="24"/>
    </w:rPr>
  </w:style>
  <w:style w:type="paragraph" w:customStyle="1" w:styleId="90">
    <w:name w:val="_Style 6"/>
    <w:basedOn w:val="1"/>
    <w:qFormat/>
    <w:uiPriority w:val="99"/>
    <w:pPr>
      <w:adjustRightInd w:val="0"/>
      <w:spacing w:line="360" w:lineRule="atLeast"/>
    </w:pPr>
    <w:rPr>
      <w:rFonts w:ascii="Times New Roman" w:hAnsi="Times New Roman"/>
      <w:szCs w:val="24"/>
    </w:rPr>
  </w:style>
  <w:style w:type="paragraph" w:customStyle="1" w:styleId="91">
    <w:name w:val="p0"/>
    <w:basedOn w:val="1"/>
    <w:qFormat/>
    <w:uiPriority w:val="99"/>
    <w:pPr>
      <w:widowControl/>
    </w:pPr>
    <w:rPr>
      <w:rFonts w:ascii="Times New Roman" w:hAnsi="Times New Roman"/>
      <w:kern w:val="0"/>
      <w:szCs w:val="21"/>
    </w:rPr>
  </w:style>
  <w:style w:type="character" w:customStyle="1" w:styleId="92">
    <w:name w:val="1051"/>
    <w:qFormat/>
    <w:uiPriority w:val="99"/>
    <w:rPr>
      <w:rFonts w:cs="Times New Roman"/>
      <w:sz w:val="21"/>
      <w:szCs w:val="21"/>
    </w:rPr>
  </w:style>
  <w:style w:type="character" w:customStyle="1" w:styleId="93">
    <w:name w:val="ca-10"/>
    <w:basedOn w:val="49"/>
    <w:qFormat/>
    <w:uiPriority w:val="0"/>
  </w:style>
  <w:style w:type="character" w:customStyle="1" w:styleId="94">
    <w:name w:val="ca-12"/>
    <w:basedOn w:val="49"/>
    <w:qFormat/>
    <w:uiPriority w:val="0"/>
  </w:style>
  <w:style w:type="character" w:customStyle="1" w:styleId="95">
    <w:name w:val="页眉 Char"/>
    <w:qFormat/>
    <w:uiPriority w:val="0"/>
    <w:rPr>
      <w:sz w:val="18"/>
      <w:szCs w:val="18"/>
    </w:rPr>
  </w:style>
  <w:style w:type="character" w:customStyle="1" w:styleId="96">
    <w:name w:val="页脚 Char"/>
    <w:qFormat/>
    <w:uiPriority w:val="0"/>
    <w:rPr>
      <w:sz w:val="18"/>
      <w:szCs w:val="18"/>
    </w:rPr>
  </w:style>
  <w:style w:type="paragraph" w:customStyle="1" w:styleId="9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98">
    <w:name w:val="List Paragraph"/>
    <w:basedOn w:val="1"/>
    <w:qFormat/>
    <w:uiPriority w:val="99"/>
    <w:pPr>
      <w:ind w:firstLine="420" w:firstLineChars="200"/>
    </w:pPr>
  </w:style>
  <w:style w:type="character" w:customStyle="1" w:styleId="99">
    <w:name w:val="正文文本首行缩进 2 字符"/>
    <w:basedOn w:val="69"/>
    <w:link w:val="20"/>
    <w:semiHidden/>
    <w:qFormat/>
    <w:uiPriority w:val="99"/>
    <w:rPr>
      <w:rFonts w:ascii="Calibri" w:hAnsi="Calibri"/>
      <w:kern w:val="2"/>
      <w:sz w:val="24"/>
      <w:szCs w:val="22"/>
    </w:rPr>
  </w:style>
  <w:style w:type="paragraph" w:customStyle="1" w:styleId="100">
    <w:name w:val="样式3"/>
    <w:basedOn w:val="25"/>
    <w:qFormat/>
    <w:uiPriority w:val="0"/>
    <w:pPr>
      <w:spacing w:line="0" w:lineRule="atLeast"/>
      <w:outlineLvl w:val="0"/>
    </w:pPr>
    <w:rPr>
      <w:sz w:val="28"/>
    </w:rPr>
  </w:style>
  <w:style w:type="paragraph" w:customStyle="1" w:styleId="101">
    <w:name w:val="Table Paragraph"/>
    <w:basedOn w:val="1"/>
    <w:qFormat/>
    <w:uiPriority w:val="1"/>
    <w:rPr>
      <w:rFonts w:ascii="宋体" w:hAnsi="宋体" w:cs="宋体"/>
      <w:lang w:val="zh-CN" w:bidi="zh-CN"/>
    </w:rPr>
  </w:style>
  <w:style w:type="paragraph" w:customStyle="1" w:styleId="102">
    <w:name w:val="Revision"/>
    <w:hidden/>
    <w:unhideWhenUsed/>
    <w:qFormat/>
    <w:uiPriority w:val="99"/>
    <w:rPr>
      <w:rFonts w:ascii="Calibri" w:hAnsi="Calibri" w:eastAsia="宋体" w:cs="Times New Roman"/>
      <w:kern w:val="2"/>
      <w:sz w:val="24"/>
      <w:szCs w:val="22"/>
      <w:lang w:val="en-US" w:eastAsia="zh-CN" w:bidi="ar-SA"/>
    </w:rPr>
  </w:style>
  <w:style w:type="paragraph" w:customStyle="1" w:styleId="103">
    <w:name w:val="列出段落11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38</Pages>
  <Words>4265</Words>
  <Characters>4375</Characters>
  <Lines>153</Lines>
  <Paragraphs>43</Paragraphs>
  <TotalTime>29</TotalTime>
  <ScaleCrop>false</ScaleCrop>
  <LinksUpToDate>false</LinksUpToDate>
  <CharactersWithSpaces>4464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2024-07-15T04:44:00Z</dcterms:created>
  <dc:creator>张鹏飞</dc:creator>
  <cp:lastModifiedBy>开元壹号-冰飞神话15037954375</cp:lastModifiedBy>
  <cp:lastPrinted>2021-08-30T04:11:00Z</cp:lastPrinted>
  <dcterms:modified xsi:type="dcterms:W3CDTF">2025-06-03T02:49:15Z</dcterms:modified>
  <dc:title>洛</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E219C3E7C1B647E8A17E56FE2F672AB1_13</vt:lpwstr>
  </property>
  <property fmtid="{D5CDD505-2E9C-101B-9397-08002B2CF9AE}" pid="4" name="commondata">
    <vt:lpwstr>eyJoZGlkIjoiZDU5ODE0N2QzZTY2Y2Y3NjY0ZjQ3OTEzYmE5Njk3ZWUifQ==</vt:lpwstr>
  </property>
  <property fmtid="{D5CDD505-2E9C-101B-9397-08002B2CF9AE}" pid="5" name="KSOTemplateDocerSaveRecord">
    <vt:lpwstr>eyJoZGlkIjoiNmQzYTI5MmJjNTM0NWMwNDM5NmE1MjkzM2MyYmI4ZDYiLCJ1c2VySWQiOiI0MTExNjU2NjAifQ==</vt:lpwstr>
  </property>
</Properties>
</file>