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CC28A">
      <w:pPr>
        <w:pStyle w:val="5"/>
        <w:spacing w:before="0"/>
        <w:ind w:left="0"/>
        <w:rPr>
          <w:rFonts w:ascii="Times New Roman"/>
          <w:sz w:val="20"/>
        </w:rPr>
      </w:pPr>
    </w:p>
    <w:p w14:paraId="719D4586">
      <w:pPr>
        <w:pStyle w:val="5"/>
        <w:spacing w:before="0"/>
        <w:ind w:left="0"/>
        <w:rPr>
          <w:rFonts w:ascii="Times New Roman"/>
          <w:sz w:val="20"/>
        </w:rPr>
      </w:pPr>
    </w:p>
    <w:p w14:paraId="30CE11AB">
      <w:pPr>
        <w:pStyle w:val="5"/>
        <w:spacing w:before="4"/>
        <w:ind w:left="0"/>
        <w:rPr>
          <w:rFonts w:ascii="Times New Roman"/>
          <w:sz w:val="25"/>
        </w:rPr>
      </w:pPr>
    </w:p>
    <w:p w14:paraId="5A8E10C8">
      <w:pPr>
        <w:spacing w:before="33"/>
        <w:ind w:left="355" w:right="0" w:firstLine="0"/>
        <w:jc w:val="center"/>
        <w:rPr>
          <w:b/>
          <w:sz w:val="48"/>
        </w:rPr>
      </w:pPr>
      <w:bookmarkStart w:id="0" w:name="悠然居项目标识标牌制作及安装工程合同"/>
      <w:bookmarkEnd w:id="0"/>
      <w:r>
        <w:rPr>
          <w:rFonts w:hint="eastAsia"/>
          <w:b/>
          <w:sz w:val="48"/>
        </w:rPr>
        <w:t>悠然居定制字体制作与安装</w:t>
      </w:r>
      <w:r>
        <w:rPr>
          <w:b/>
          <w:sz w:val="48"/>
        </w:rPr>
        <w:t>工程合同</w:t>
      </w:r>
    </w:p>
    <w:p w14:paraId="09B6BBDA">
      <w:pPr>
        <w:pStyle w:val="5"/>
        <w:spacing w:before="0"/>
        <w:ind w:left="0"/>
        <w:rPr>
          <w:b/>
          <w:sz w:val="48"/>
        </w:rPr>
      </w:pPr>
    </w:p>
    <w:p w14:paraId="6792E69E">
      <w:pPr>
        <w:pStyle w:val="5"/>
        <w:spacing w:before="0"/>
        <w:ind w:left="0"/>
        <w:rPr>
          <w:b/>
          <w:sz w:val="48"/>
        </w:rPr>
      </w:pPr>
    </w:p>
    <w:p w14:paraId="40C47BE9">
      <w:pPr>
        <w:pStyle w:val="5"/>
        <w:spacing w:before="0"/>
        <w:ind w:left="0"/>
        <w:rPr>
          <w:b/>
          <w:sz w:val="48"/>
        </w:rPr>
      </w:pPr>
    </w:p>
    <w:p w14:paraId="483F32A3">
      <w:pPr>
        <w:pStyle w:val="5"/>
        <w:spacing w:before="0"/>
        <w:ind w:left="0"/>
        <w:rPr>
          <w:b/>
          <w:sz w:val="48"/>
        </w:rPr>
      </w:pPr>
    </w:p>
    <w:p w14:paraId="5A964847">
      <w:pPr>
        <w:pStyle w:val="5"/>
        <w:spacing w:before="0"/>
        <w:ind w:left="0"/>
        <w:rPr>
          <w:b/>
          <w:sz w:val="48"/>
        </w:rPr>
      </w:pPr>
    </w:p>
    <w:p w14:paraId="7FA7869B">
      <w:pPr>
        <w:pStyle w:val="5"/>
        <w:spacing w:before="0"/>
        <w:ind w:left="0"/>
        <w:rPr>
          <w:b/>
          <w:sz w:val="48"/>
        </w:rPr>
      </w:pPr>
    </w:p>
    <w:p w14:paraId="53BDED10">
      <w:pPr>
        <w:pStyle w:val="5"/>
        <w:spacing w:before="0"/>
        <w:ind w:left="0"/>
        <w:rPr>
          <w:b/>
          <w:sz w:val="48"/>
        </w:rPr>
      </w:pPr>
    </w:p>
    <w:p w14:paraId="48204864">
      <w:pPr>
        <w:pStyle w:val="5"/>
        <w:spacing w:before="6"/>
        <w:ind w:left="0"/>
        <w:rPr>
          <w:b/>
          <w:sz w:val="66"/>
        </w:rPr>
      </w:pPr>
    </w:p>
    <w:p w14:paraId="30D408F2">
      <w:pPr>
        <w:spacing w:before="0"/>
        <w:ind w:left="2594" w:right="0" w:firstLine="0"/>
        <w:jc w:val="left"/>
        <w:rPr>
          <w:rFonts w:hint="eastAsia" w:eastAsia="宋体"/>
          <w:sz w:val="30"/>
          <w:lang w:val="en-US" w:eastAsia="zh-CN"/>
        </w:rPr>
      </w:pPr>
      <w:r>
        <w:rPr>
          <w:sz w:val="30"/>
        </w:rPr>
        <w:t>成本代码：</w:t>
      </w:r>
      <w:r>
        <w:rPr>
          <w:sz w:val="30"/>
          <w:u w:val="single"/>
        </w:rPr>
        <w:t>3.</w:t>
      </w:r>
      <w:r>
        <w:rPr>
          <w:rFonts w:hint="eastAsia"/>
          <w:sz w:val="30"/>
          <w:u w:val="single"/>
          <w:lang w:val="en-US" w:eastAsia="zh-CN"/>
        </w:rPr>
        <w:t>1</w:t>
      </w:r>
    </w:p>
    <w:p w14:paraId="010CF047">
      <w:pPr>
        <w:pStyle w:val="5"/>
        <w:spacing w:before="6"/>
        <w:ind w:left="0"/>
        <w:rPr>
          <w:sz w:val="13"/>
        </w:rPr>
      </w:pPr>
    </w:p>
    <w:p w14:paraId="137A4CEC">
      <w:pPr>
        <w:tabs>
          <w:tab w:val="left" w:pos="6042"/>
        </w:tabs>
        <w:spacing w:before="67"/>
        <w:ind w:left="2594" w:right="0" w:firstLine="0"/>
        <w:jc w:val="left"/>
        <w:rPr>
          <w:sz w:val="30"/>
        </w:rPr>
      </w:pPr>
      <w:r>
        <w:rPr>
          <w:sz w:val="30"/>
        </w:rPr>
        <w:t>合同编号：</w:t>
      </w:r>
      <w:r>
        <w:rPr>
          <w:spacing w:val="-5"/>
          <w:sz w:val="30"/>
          <w:u w:val="single"/>
        </w:rPr>
        <w:t xml:space="preserve"> </w:t>
      </w:r>
      <w:r>
        <w:rPr>
          <w:sz w:val="30"/>
          <w:u w:val="single"/>
        </w:rPr>
        <w:t>BLT.JA.</w:t>
      </w:r>
      <w:r>
        <w:rPr>
          <w:rFonts w:hint="eastAsia"/>
          <w:sz w:val="30"/>
          <w:u w:val="single"/>
          <w:lang w:val="en-US" w:eastAsia="zh-CN"/>
        </w:rPr>
        <w:t>121</w:t>
      </w:r>
      <w:r>
        <w:rPr>
          <w:sz w:val="30"/>
          <w:u w:val="single"/>
        </w:rPr>
        <w:tab/>
      </w:r>
    </w:p>
    <w:p w14:paraId="4D62035C">
      <w:pPr>
        <w:pStyle w:val="5"/>
        <w:spacing w:before="0"/>
        <w:ind w:left="0"/>
        <w:rPr>
          <w:sz w:val="20"/>
        </w:rPr>
      </w:pPr>
    </w:p>
    <w:p w14:paraId="11E0A765">
      <w:pPr>
        <w:pStyle w:val="5"/>
        <w:spacing w:before="0"/>
        <w:ind w:left="0"/>
        <w:rPr>
          <w:sz w:val="20"/>
        </w:rPr>
      </w:pPr>
    </w:p>
    <w:p w14:paraId="2AD93F31">
      <w:pPr>
        <w:pStyle w:val="5"/>
        <w:spacing w:before="0"/>
        <w:ind w:left="0"/>
        <w:rPr>
          <w:sz w:val="20"/>
        </w:rPr>
      </w:pPr>
    </w:p>
    <w:p w14:paraId="39228383">
      <w:pPr>
        <w:pStyle w:val="5"/>
        <w:spacing w:before="0"/>
        <w:ind w:left="0"/>
        <w:rPr>
          <w:sz w:val="20"/>
        </w:rPr>
      </w:pPr>
    </w:p>
    <w:p w14:paraId="7DA3177F">
      <w:pPr>
        <w:pStyle w:val="5"/>
        <w:spacing w:before="0"/>
        <w:ind w:left="0"/>
        <w:rPr>
          <w:sz w:val="20"/>
        </w:rPr>
      </w:pPr>
    </w:p>
    <w:p w14:paraId="5695D4AB">
      <w:pPr>
        <w:pStyle w:val="5"/>
        <w:spacing w:before="0"/>
        <w:ind w:left="0"/>
        <w:rPr>
          <w:sz w:val="20"/>
        </w:rPr>
      </w:pPr>
    </w:p>
    <w:p w14:paraId="094B4264">
      <w:pPr>
        <w:pStyle w:val="5"/>
        <w:spacing w:before="0"/>
        <w:ind w:left="0"/>
        <w:rPr>
          <w:sz w:val="20"/>
        </w:rPr>
      </w:pPr>
    </w:p>
    <w:p w14:paraId="3BC7B7CB">
      <w:pPr>
        <w:pStyle w:val="5"/>
        <w:spacing w:before="0"/>
        <w:ind w:left="0"/>
        <w:rPr>
          <w:sz w:val="20"/>
        </w:rPr>
      </w:pPr>
    </w:p>
    <w:p w14:paraId="15B1474E">
      <w:pPr>
        <w:pStyle w:val="5"/>
        <w:spacing w:before="0"/>
        <w:ind w:left="0"/>
        <w:rPr>
          <w:sz w:val="20"/>
        </w:rPr>
      </w:pPr>
    </w:p>
    <w:p w14:paraId="6B5FDEEE">
      <w:pPr>
        <w:pStyle w:val="5"/>
        <w:spacing w:before="11"/>
        <w:ind w:left="0"/>
        <w:rPr>
          <w:sz w:val="16"/>
        </w:rPr>
      </w:pPr>
    </w:p>
    <w:p w14:paraId="24197C28">
      <w:pPr>
        <w:spacing w:before="58"/>
        <w:ind w:left="1603" w:right="0" w:firstLine="0"/>
        <w:jc w:val="left"/>
        <w:rPr>
          <w:b/>
          <w:sz w:val="30"/>
        </w:rPr>
      </w:pPr>
      <w:bookmarkStart w:id="1" w:name="甲方：河南浩德龙瑞置业有限公司"/>
      <w:bookmarkEnd w:id="1"/>
      <w:r>
        <w:rPr>
          <w:b/>
          <w:w w:val="95"/>
          <w:sz w:val="30"/>
        </w:rPr>
        <w:t>甲方：</w:t>
      </w:r>
      <w:r>
        <w:rPr>
          <w:b/>
          <w:w w:val="95"/>
          <w:sz w:val="30"/>
          <w:u w:val="single"/>
        </w:rPr>
        <w:t>河南浩德龙瑞置业有限公司</w:t>
      </w:r>
    </w:p>
    <w:p w14:paraId="69B48E69">
      <w:pPr>
        <w:pStyle w:val="5"/>
        <w:spacing w:before="2"/>
        <w:ind w:left="0"/>
        <w:rPr>
          <w:b/>
          <w:sz w:val="14"/>
        </w:rPr>
      </w:pPr>
    </w:p>
    <w:p w14:paraId="2C3B37D6">
      <w:pPr>
        <w:spacing w:before="58"/>
        <w:ind w:left="1603" w:right="0" w:firstLine="0"/>
        <w:jc w:val="left"/>
        <w:rPr>
          <w:b/>
          <w:w w:val="95"/>
          <w:sz w:val="30"/>
          <w:u w:val="single"/>
        </w:rPr>
      </w:pPr>
      <w:r>
        <w:rPr>
          <w:b/>
          <w:w w:val="95"/>
          <w:sz w:val="30"/>
        </w:rPr>
        <w:t>乙方：</w:t>
      </w:r>
      <w:r>
        <w:rPr>
          <w:rFonts w:hint="eastAsia"/>
          <w:b/>
          <w:w w:val="95"/>
          <w:sz w:val="30"/>
          <w:u w:val="single"/>
        </w:rPr>
        <w:t>洛阳泰智文化传媒有限公司</w:t>
      </w:r>
    </w:p>
    <w:p w14:paraId="200DD56A">
      <w:pPr>
        <w:pStyle w:val="5"/>
        <w:spacing w:before="2"/>
        <w:ind w:left="0"/>
        <w:rPr>
          <w:b/>
          <w:sz w:val="14"/>
        </w:rPr>
      </w:pPr>
    </w:p>
    <w:p w14:paraId="4CB78204">
      <w:pPr>
        <w:tabs>
          <w:tab w:val="left" w:pos="4165"/>
          <w:tab w:val="left" w:pos="5671"/>
        </w:tabs>
        <w:spacing w:before="58"/>
        <w:ind w:left="1603" w:right="0" w:firstLine="0"/>
        <w:jc w:val="left"/>
        <w:rPr>
          <w:b/>
          <w:sz w:val="30"/>
        </w:rPr>
      </w:pPr>
      <w:r>
        <w:rPr>
          <w:b/>
          <w:sz w:val="30"/>
        </w:rPr>
        <w:t>签订时间：</w:t>
      </w:r>
      <w:r>
        <w:rPr>
          <w:b/>
          <w:spacing w:val="-2"/>
          <w:sz w:val="30"/>
          <w:u w:val="single"/>
        </w:rPr>
        <w:t xml:space="preserve"> </w:t>
      </w:r>
      <w:r>
        <w:rPr>
          <w:b/>
          <w:sz w:val="30"/>
          <w:u w:val="single"/>
        </w:rPr>
        <w:t>202</w:t>
      </w:r>
      <w:r>
        <w:rPr>
          <w:rFonts w:hint="eastAsia"/>
          <w:b/>
          <w:sz w:val="30"/>
          <w:u w:val="single"/>
          <w:lang w:val="en-US" w:eastAsia="zh-CN"/>
        </w:rPr>
        <w:t>5</w:t>
      </w:r>
      <w:r>
        <w:rPr>
          <w:b/>
          <w:sz w:val="30"/>
          <w:u w:val="single"/>
        </w:rPr>
        <w:tab/>
      </w:r>
      <w:r>
        <w:rPr>
          <w:b/>
          <w:sz w:val="30"/>
        </w:rPr>
        <w:t>年</w:t>
      </w:r>
      <w:r>
        <w:rPr>
          <w:b/>
          <w:spacing w:val="-2"/>
          <w:sz w:val="30"/>
          <w:u w:val="single"/>
        </w:rPr>
        <w:t xml:space="preserve"> </w:t>
      </w:r>
      <w:r>
        <w:rPr>
          <w:rFonts w:hint="eastAsia"/>
          <w:b/>
          <w:sz w:val="30"/>
          <w:u w:val="single"/>
          <w:lang w:val="en-US" w:eastAsia="zh-CN"/>
        </w:rPr>
        <w:t>8</w:t>
      </w:r>
      <w:r>
        <w:rPr>
          <w:b/>
          <w:spacing w:val="-1"/>
          <w:sz w:val="30"/>
          <w:u w:val="single"/>
        </w:rPr>
        <w:t xml:space="preserve"> </w:t>
      </w:r>
      <w:r>
        <w:rPr>
          <w:b/>
          <w:sz w:val="30"/>
        </w:rPr>
        <w:t>月</w:t>
      </w:r>
      <w:r>
        <w:rPr>
          <w:b/>
          <w:sz w:val="30"/>
          <w:u w:val="single"/>
        </w:rPr>
        <w:t xml:space="preserve"> </w:t>
      </w:r>
      <w:r>
        <w:rPr>
          <w:b/>
          <w:sz w:val="30"/>
          <w:u w:val="single"/>
        </w:rPr>
        <w:tab/>
      </w:r>
      <w:r>
        <w:rPr>
          <w:b/>
          <w:sz w:val="30"/>
        </w:rPr>
        <w:t>日</w:t>
      </w:r>
    </w:p>
    <w:p w14:paraId="4115AD99">
      <w:pPr>
        <w:spacing w:after="0"/>
        <w:jc w:val="left"/>
        <w:rPr>
          <w:sz w:val="30"/>
        </w:rPr>
        <w:sectPr>
          <w:headerReference r:id="rId5" w:type="default"/>
          <w:footerReference r:id="rId6" w:type="default"/>
          <w:type w:val="continuous"/>
          <w:pgSz w:w="11910" w:h="16840"/>
          <w:pgMar w:top="1380" w:right="960" w:bottom="1240" w:left="1200" w:header="852" w:footer="1057" w:gutter="0"/>
          <w:pgNumType w:start="1"/>
          <w:cols w:space="720" w:num="1"/>
        </w:sectPr>
      </w:pPr>
    </w:p>
    <w:p w14:paraId="799AC16E">
      <w:pPr>
        <w:pStyle w:val="3"/>
        <w:spacing w:before="109"/>
        <w:ind w:left="1860"/>
      </w:pPr>
      <w:r>
        <w:rPr>
          <w:rFonts w:hint="eastAsia"/>
        </w:rPr>
        <w:t>悠然居定制字体</w:t>
      </w:r>
      <w:r>
        <w:t>制作及安装工程合同</w:t>
      </w:r>
    </w:p>
    <w:p w14:paraId="68FF2158">
      <w:pPr>
        <w:pStyle w:val="5"/>
        <w:spacing w:before="186" w:line="364" w:lineRule="auto"/>
        <w:ind w:right="3760"/>
      </w:pPr>
      <w:r>
        <w:rPr>
          <w:b/>
        </w:rPr>
        <w:t>发包人</w:t>
      </w:r>
      <w:r>
        <w:t>（以下简称甲方）：</w:t>
      </w:r>
      <w:r>
        <w:rPr>
          <w:u w:val="single"/>
        </w:rPr>
        <w:t>河南浩德龙瑞置业有限公司</w:t>
      </w:r>
      <w:r>
        <w:rPr>
          <w:b/>
        </w:rPr>
        <w:t>承包人</w:t>
      </w:r>
      <w:r>
        <w:t>（以下简称乙方）：</w:t>
      </w:r>
      <w:r>
        <w:rPr>
          <w:rFonts w:hint="eastAsia" w:ascii="宋体" w:hAnsi="宋体" w:cs="宋体"/>
          <w:szCs w:val="24"/>
          <w:u w:val="single"/>
        </w:rPr>
        <w:t>洛阳泰智文化传媒有限公司</w:t>
      </w:r>
      <w:r>
        <w:rPr>
          <w:u w:val="single"/>
        </w:rPr>
        <w:t xml:space="preserve"> </w:t>
      </w:r>
    </w:p>
    <w:p w14:paraId="541E3DF7">
      <w:pPr>
        <w:pStyle w:val="5"/>
        <w:spacing w:before="2" w:line="364" w:lineRule="auto"/>
        <w:ind w:right="343" w:firstLine="480"/>
        <w:jc w:val="both"/>
      </w:pPr>
      <w:r>
        <w:rPr>
          <w:spacing w:val="-8"/>
        </w:rPr>
        <w:t>依照《中华人民共和国民法典》、《中华人民共和国建筑法》及其他有关法律、行政法规，遵循平等、自愿、公平和诚实信用的原则，双方就</w:t>
      </w:r>
      <w:r>
        <w:rPr>
          <w:u w:val="single"/>
        </w:rPr>
        <w:t xml:space="preserve"> 悠然居项</w:t>
      </w:r>
      <w:ins w:id="0" w:author="大圆子" w:date="2025-08-15T14:14:18Z">
        <w:r>
          <w:rPr>
            <w:rFonts w:hint="eastAsia"/>
            <w:u w:val="single"/>
            <w:lang w:val="en-US" w:eastAsia="zh-CN"/>
          </w:rPr>
          <w:t>目</w:t>
        </w:r>
      </w:ins>
      <w:del w:id="1" w:author="大圆子" w:date="2025-08-15T14:14:23Z">
        <w:r>
          <w:rPr>
            <w:rFonts w:hint="eastAsia"/>
            <w:u w:val="single"/>
          </w:rPr>
          <w:delText>悠然居</w:delText>
        </w:r>
      </w:del>
      <w:r>
        <w:rPr>
          <w:rFonts w:hint="eastAsia"/>
          <w:u w:val="single"/>
        </w:rPr>
        <w:t>定制字体制作及安装工程</w:t>
      </w:r>
      <w:r>
        <w:t>事项协商一致，订立本合同。</w:t>
      </w:r>
    </w:p>
    <w:p w14:paraId="67A14FD4">
      <w:pPr>
        <w:pStyle w:val="4"/>
      </w:pPr>
      <w:bookmarkStart w:id="2" w:name="一、工程概况"/>
      <w:bookmarkEnd w:id="2"/>
      <w:r>
        <w:t>一、工程概况</w:t>
      </w:r>
    </w:p>
    <w:p w14:paraId="538D343A">
      <w:pPr>
        <w:pStyle w:val="5"/>
        <w:spacing w:before="161"/>
        <w:ind w:left="583"/>
      </w:pPr>
      <w:bookmarkStart w:id="3" w:name="1、工程名称：悠然居项目标识标牌制作及安装工程。"/>
      <w:bookmarkEnd w:id="3"/>
      <w:r>
        <w:t>1、工程名称：</w:t>
      </w:r>
      <w:r>
        <w:rPr>
          <w:rFonts w:hint="eastAsia"/>
        </w:rPr>
        <w:t>悠然居项</w:t>
      </w:r>
      <w:del w:id="2" w:author="大圆子" w:date="2025-08-15T14:14:37Z">
        <w:r>
          <w:rPr>
            <w:rFonts w:hint="default"/>
            <w:lang w:val="en-US"/>
          </w:rPr>
          <w:delText>悠然居</w:delText>
        </w:r>
      </w:del>
      <w:ins w:id="3" w:author="大圆子" w:date="2025-08-15T14:14:38Z">
        <w:r>
          <w:rPr>
            <w:rFonts w:hint="eastAsia"/>
            <w:lang w:val="en-US" w:eastAsia="zh-CN"/>
          </w:rPr>
          <w:t>目</w:t>
        </w:r>
      </w:ins>
      <w:r>
        <w:rPr>
          <w:rFonts w:hint="eastAsia"/>
        </w:rPr>
        <w:t>定制字体制作及安装工程</w:t>
      </w:r>
      <w:r>
        <w:t>。</w:t>
      </w:r>
    </w:p>
    <w:p w14:paraId="26278C95">
      <w:pPr>
        <w:spacing w:before="160" w:line="364" w:lineRule="auto"/>
        <w:ind w:left="103" w:right="2800" w:firstLine="480"/>
        <w:jc w:val="left"/>
        <w:rPr>
          <w:b/>
          <w:sz w:val="24"/>
        </w:rPr>
      </w:pPr>
      <w:r>
        <w:rPr>
          <w:sz w:val="24"/>
        </w:rPr>
        <w:t>2、工程地点：河南省洛阳市文景路与渠东路交叉口东南角。</w:t>
      </w:r>
      <w:bookmarkStart w:id="4" w:name="二、工程承包范围"/>
      <w:bookmarkEnd w:id="4"/>
      <w:r>
        <w:rPr>
          <w:b/>
          <w:sz w:val="24"/>
        </w:rPr>
        <w:t>二、工程承包范围</w:t>
      </w:r>
    </w:p>
    <w:p w14:paraId="44F45B3D">
      <w:pPr>
        <w:pStyle w:val="5"/>
        <w:spacing w:before="2" w:line="364" w:lineRule="auto"/>
        <w:ind w:right="280" w:firstLine="480"/>
        <w:jc w:val="both"/>
      </w:pPr>
      <w:r>
        <w:rPr>
          <w:rFonts w:hint="eastAsia"/>
        </w:rPr>
        <w:t>悠然居项</w:t>
      </w:r>
      <w:del w:id="4" w:author="大圆子" w:date="2025-08-15T14:14:52Z">
        <w:r>
          <w:rPr>
            <w:rFonts w:hint="default"/>
            <w:lang w:val="en-US"/>
          </w:rPr>
          <w:delText>悠然居</w:delText>
        </w:r>
      </w:del>
      <w:ins w:id="5" w:author="大圆子" w:date="2025-08-15T14:14:52Z">
        <w:r>
          <w:rPr>
            <w:rFonts w:hint="eastAsia"/>
            <w:lang w:val="en-US" w:eastAsia="zh-CN"/>
          </w:rPr>
          <w:t>目</w:t>
        </w:r>
      </w:ins>
      <w:r>
        <w:rPr>
          <w:rFonts w:hint="eastAsia"/>
        </w:rPr>
        <w:t>定制字体制作及安装</w:t>
      </w:r>
      <w:r>
        <w:t>工程、</w:t>
      </w:r>
      <w:r>
        <w:rPr>
          <w:rFonts w:hint="eastAsia"/>
          <w:lang w:val="en-US" w:eastAsia="zh-CN"/>
        </w:rPr>
        <w:t>车库出入口发光字</w:t>
      </w:r>
      <w:r>
        <w:t>、</w:t>
      </w:r>
      <w:r>
        <w:rPr>
          <w:rFonts w:hint="eastAsia"/>
          <w:lang w:val="en-US" w:eastAsia="zh-CN"/>
        </w:rPr>
        <w:t>交付工程地毯、灯箱、标识、金属字体、</w:t>
      </w:r>
      <w:r>
        <w:t>各类标识等。详见附件二《工程量清单计价表》。</w:t>
      </w:r>
    </w:p>
    <w:p w14:paraId="5CEE8F30">
      <w:pPr>
        <w:pStyle w:val="4"/>
      </w:pPr>
      <w:bookmarkStart w:id="5" w:name="三、承包方式"/>
      <w:bookmarkEnd w:id="5"/>
      <w:r>
        <w:rPr>
          <w:w w:val="95"/>
        </w:rPr>
        <w:t>三、承包方式</w:t>
      </w:r>
    </w:p>
    <w:p w14:paraId="1435C74C">
      <w:pPr>
        <w:pStyle w:val="5"/>
        <w:spacing w:before="161" w:line="364" w:lineRule="auto"/>
        <w:ind w:right="42" w:firstLine="480"/>
        <w:rPr>
          <w:b/>
        </w:rPr>
      </w:pPr>
      <w:r>
        <w:t>含税固定总价包干。包工包料、包质量、包工期、包安全、包通过验收直至交付使用。</w:t>
      </w:r>
      <w:bookmarkStart w:id="6" w:name="四、工期要求"/>
      <w:bookmarkEnd w:id="6"/>
      <w:r>
        <w:rPr>
          <w:b/>
        </w:rPr>
        <w:t>四、工期要求</w:t>
      </w:r>
    </w:p>
    <w:p w14:paraId="2E2BE6C4">
      <w:pPr>
        <w:pStyle w:val="5"/>
        <w:spacing w:line="364" w:lineRule="auto"/>
        <w:ind w:right="343" w:firstLine="480"/>
        <w:jc w:val="both"/>
      </w:pPr>
      <w:r>
        <w:rPr>
          <w:spacing w:val="2"/>
        </w:rPr>
        <w:t>1</w:t>
      </w:r>
      <w:r>
        <w:t>、计划开工日期：202</w:t>
      </w:r>
      <w:r>
        <w:rPr>
          <w:rFonts w:hint="eastAsia"/>
          <w:lang w:val="en-US" w:eastAsia="zh-CN"/>
        </w:rPr>
        <w:t>5</w:t>
      </w:r>
      <w:r>
        <w:rPr>
          <w:spacing w:val="-33"/>
        </w:rPr>
        <w:t xml:space="preserve"> 年 </w:t>
      </w:r>
      <w:r>
        <w:rPr>
          <w:rFonts w:hint="eastAsia"/>
          <w:lang w:val="en-US" w:eastAsia="zh-CN"/>
        </w:rPr>
        <w:t>8</w:t>
      </w:r>
      <w:r>
        <w:rPr>
          <w:spacing w:val="-33"/>
        </w:rPr>
        <w:t xml:space="preserve">月 </w:t>
      </w:r>
      <w:r>
        <w:t>30</w:t>
      </w:r>
      <w:r>
        <w:rPr>
          <w:spacing w:val="-6"/>
        </w:rPr>
        <w:t xml:space="preserve"> 日。具体开工时间以甲方发出的书面通知为准， 乙方承诺满足甲方工期要求且不得因此要求工期补偿/赔偿。</w:t>
      </w:r>
    </w:p>
    <w:p w14:paraId="391E739A">
      <w:pPr>
        <w:pStyle w:val="5"/>
        <w:spacing w:line="364" w:lineRule="auto"/>
        <w:ind w:right="280" w:firstLine="480"/>
        <w:jc w:val="both"/>
      </w:pPr>
      <w:r>
        <w:t>2、工期：</w:t>
      </w:r>
      <w:r>
        <w:rPr>
          <w:u w:val="single"/>
        </w:rPr>
        <w:t>30</w:t>
      </w:r>
      <w:r>
        <w:rPr>
          <w:spacing w:val="-8"/>
        </w:rPr>
        <w:t xml:space="preserve"> 日历天，自乙方进场之日起，本批次工程全部安装完成、验收合格之日</w:t>
      </w:r>
      <w:r>
        <w:rPr>
          <w:spacing w:val="-12"/>
        </w:rPr>
        <w:t xml:space="preserve">止的期间。其中：制作工期为 </w:t>
      </w:r>
      <w:r>
        <w:rPr>
          <w:u w:val="single"/>
        </w:rPr>
        <w:t>20</w:t>
      </w:r>
      <w:r>
        <w:rPr>
          <w:spacing w:val="-13"/>
        </w:rPr>
        <w:t xml:space="preserve"> 日历天，安装工期为 </w:t>
      </w:r>
      <w:r>
        <w:rPr>
          <w:u w:val="single"/>
        </w:rPr>
        <w:t>10</w:t>
      </w:r>
      <w:r>
        <w:rPr>
          <w:spacing w:val="-8"/>
        </w:rPr>
        <w:t xml:space="preserve"> 日历天。进场时间、施工区域、</w:t>
      </w:r>
      <w:r>
        <w:rPr>
          <w:spacing w:val="-11"/>
        </w:rPr>
        <w:t>到货数量以甲方项目部书面通知为准，乙方承诺满足甲方需求。制作及安装应根据甲方工程要求时间完成并不因此要求工期补偿/赔偿。</w:t>
      </w:r>
    </w:p>
    <w:p w14:paraId="3E9AC4C0">
      <w:pPr>
        <w:pStyle w:val="5"/>
        <w:spacing w:before="3" w:line="364" w:lineRule="auto"/>
        <w:ind w:right="343" w:firstLine="480"/>
        <w:jc w:val="both"/>
      </w:pPr>
      <w:r>
        <w:t>3、施工过程中如遇甲方责任或不可抗力等因素所延误的工期，经甲、乙双方签证认可后予以调整，并在此基础上确定完工日期。</w:t>
      </w:r>
    </w:p>
    <w:p w14:paraId="77BE6C68">
      <w:pPr>
        <w:pStyle w:val="4"/>
      </w:pPr>
      <w:bookmarkStart w:id="7" w:name="五、合同价格"/>
      <w:bookmarkEnd w:id="7"/>
      <w:r>
        <w:t>五、合同价格</w:t>
      </w:r>
    </w:p>
    <w:p w14:paraId="1A45F12C">
      <w:pPr>
        <w:pStyle w:val="5"/>
        <w:spacing w:before="160" w:line="364" w:lineRule="auto"/>
        <w:ind w:right="343" w:firstLine="480"/>
        <w:jc w:val="both"/>
      </w:pPr>
      <w:r>
        <w:t>1、合同固定含税总价为¥</w:t>
      </w:r>
      <w:r>
        <w:rPr>
          <w:rFonts w:hint="eastAsia"/>
          <w:u w:val="single"/>
          <w:lang w:val="en-US" w:eastAsia="zh-CN"/>
        </w:rPr>
        <w:t>98226.24</w:t>
      </w:r>
      <w:r>
        <w:rPr>
          <w:spacing w:val="-31"/>
        </w:rPr>
        <w:t>元</w:t>
      </w:r>
      <w:r>
        <w:rPr>
          <w:spacing w:val="-3"/>
        </w:rPr>
        <w:t>（</w:t>
      </w:r>
      <w:r>
        <w:t>大写人民币</w:t>
      </w:r>
      <w:r>
        <w:rPr>
          <w:spacing w:val="-1"/>
          <w:u w:val="single"/>
        </w:rPr>
        <w:t xml:space="preserve"> </w:t>
      </w:r>
      <w:r>
        <w:rPr>
          <w:rFonts w:hint="eastAsia"/>
          <w:spacing w:val="-1"/>
          <w:u w:val="single"/>
          <w:lang w:val="en-US" w:eastAsia="zh-CN"/>
        </w:rPr>
        <w:t>玖万捌仟贰佰贰拾陆元贰角肆分</w:t>
      </w:r>
      <w:r>
        <w:rPr>
          <w:u w:val="single"/>
        </w:rPr>
        <w:t>（以下简称“合同总价</w:t>
      </w:r>
      <w:ins w:id="6" w:author="大圆子" w:date="2025-08-15T14:16:36Z">
        <w:r>
          <w:rPr>
            <w:rFonts w:hint="eastAsia"/>
            <w:u w:val="single"/>
            <w:lang w:val="en-US" w:eastAsia="zh-CN"/>
          </w:rPr>
          <w:t>款</w:t>
        </w:r>
      </w:ins>
      <w:r>
        <w:rPr>
          <w:u w:val="single"/>
        </w:rPr>
        <w:t>”</w:t>
      </w:r>
      <w:r>
        <w:t>）。其中不含税金额为¥</w:t>
      </w:r>
      <w:r>
        <w:rPr>
          <w:rFonts w:hint="eastAsia"/>
          <w:u w:val="single"/>
          <w:lang w:val="en-US" w:eastAsia="zh-CN"/>
        </w:rPr>
        <w:t>92666.26</w:t>
      </w:r>
      <w:r>
        <w:rPr>
          <w:spacing w:val="-2"/>
        </w:rPr>
        <w:t xml:space="preserve"> 元</w:t>
      </w:r>
      <w:r>
        <w:t>（大写人民币</w:t>
      </w:r>
      <w:r>
        <w:rPr>
          <w:rFonts w:hint="eastAsia"/>
          <w:u w:val="single"/>
          <w:lang w:val="en-US" w:eastAsia="zh-CN"/>
        </w:rPr>
        <w:t>玖万贰仟陆佰陆拾陆元贰角陆分</w:t>
      </w:r>
      <w:r>
        <w:t>），增值税专用发票税金为¥</w:t>
      </w:r>
      <w:r>
        <w:rPr>
          <w:rFonts w:hint="eastAsia"/>
          <w:u w:val="single"/>
          <w:lang w:val="en-US" w:eastAsia="zh-CN"/>
        </w:rPr>
        <w:t>5559.98</w:t>
      </w:r>
      <w:r>
        <w:rPr>
          <w:spacing w:val="1"/>
        </w:rPr>
        <w:t xml:space="preserve"> 元</w:t>
      </w:r>
      <w:r>
        <w:t>，增值税专用发票税金税率</w:t>
      </w:r>
      <w:r>
        <w:rPr>
          <w:u w:val="single"/>
        </w:rPr>
        <w:t xml:space="preserve"> </w:t>
      </w:r>
      <w:r>
        <w:rPr>
          <w:rFonts w:hint="eastAsia"/>
          <w:u w:val="single"/>
          <w:lang w:val="en-US" w:eastAsia="zh-CN"/>
        </w:rPr>
        <w:t>6</w:t>
      </w:r>
      <w:r>
        <w:t>%。详见附件二《工程量清单计价表》。</w:t>
      </w:r>
    </w:p>
    <w:p w14:paraId="36555C87">
      <w:pPr>
        <w:pStyle w:val="5"/>
        <w:spacing w:before="3"/>
        <w:ind w:left="583"/>
      </w:pPr>
      <w:r>
        <w:t>2、本工程采用含税固定总价包干，含税固定总价应包括但不限于人工费、材料费、</w:t>
      </w:r>
    </w:p>
    <w:p w14:paraId="2C9D58D8">
      <w:pPr>
        <w:spacing w:after="0"/>
        <w:sectPr>
          <w:pgSz w:w="11910" w:h="16840"/>
          <w:pgMar w:top="1380" w:right="960" w:bottom="1240" w:left="1200" w:header="852" w:footer="1057" w:gutter="0"/>
          <w:cols w:space="720" w:num="1"/>
        </w:sectPr>
      </w:pPr>
    </w:p>
    <w:p w14:paraId="4D94BFA7">
      <w:pPr>
        <w:pStyle w:val="5"/>
        <w:spacing w:before="81" w:line="364" w:lineRule="auto"/>
        <w:ind w:right="343"/>
        <w:jc w:val="both"/>
      </w:pPr>
      <w:r>
        <w:rPr>
          <w:spacing w:val="-8"/>
        </w:rPr>
        <w:t>机械费、安装费、措施费、窝工费、水电费、垃圾清运费、材料检测检验费、规费、安全</w:t>
      </w:r>
      <w:r>
        <w:rPr>
          <w:spacing w:val="-11"/>
        </w:rPr>
        <w:t>文明施工费、扬尘治理增加费、疫情增加费、管理费、利润、税金(增值税专用发票)、验</w:t>
      </w:r>
      <w:r>
        <w:rPr>
          <w:spacing w:val="-10"/>
        </w:rPr>
        <w:t>收、质保期服务、设计深化费等所需全部费用。详见附件二《工程量清单计价表》。施工</w:t>
      </w:r>
      <w:r>
        <w:rPr>
          <w:spacing w:val="-9"/>
        </w:rPr>
        <w:t>方案、合同清单内所有施工内容按固定总价包干</w:t>
      </w:r>
      <w:del w:id="7" w:author="大圆子" w:date="2025-08-15T14:17:13Z">
        <w:r>
          <w:rPr>
            <w:rFonts w:hint="default"/>
            <w:spacing w:val="-9"/>
            <w:lang w:val="en-US"/>
          </w:rPr>
          <w:delText>以</w:delText>
        </w:r>
      </w:del>
      <w:ins w:id="8" w:author="大圆子" w:date="2025-08-15T14:17:15Z">
        <w:r>
          <w:rPr>
            <w:rFonts w:hint="eastAsia"/>
            <w:spacing w:val="-9"/>
            <w:lang w:val="en-US" w:eastAsia="zh-CN"/>
          </w:rPr>
          <w:t>据</w:t>
        </w:r>
      </w:ins>
      <w:r>
        <w:rPr>
          <w:spacing w:val="-9"/>
        </w:rPr>
        <w:t>实结算形式，含税固定总价不因任何因素的变化而调整。</w:t>
      </w:r>
    </w:p>
    <w:p w14:paraId="796FDAA2">
      <w:pPr>
        <w:pStyle w:val="5"/>
        <w:spacing w:before="3"/>
        <w:ind w:left="523"/>
      </w:pPr>
      <w:bookmarkStart w:id="8" w:name="3、增值税税率说明："/>
      <w:bookmarkEnd w:id="8"/>
      <w:r>
        <w:t>3、增值税税率说明：</w:t>
      </w:r>
    </w:p>
    <w:p w14:paraId="52B6777B">
      <w:pPr>
        <w:pStyle w:val="9"/>
        <w:numPr>
          <w:ilvl w:val="1"/>
          <w:numId w:val="1"/>
        </w:numPr>
        <w:tabs>
          <w:tab w:val="left" w:pos="888"/>
        </w:tabs>
        <w:spacing w:before="161" w:after="0" w:line="364" w:lineRule="auto"/>
        <w:ind w:left="103" w:right="340" w:firstLine="420"/>
        <w:jc w:val="both"/>
        <w:rPr>
          <w:sz w:val="24"/>
        </w:rPr>
      </w:pPr>
      <w:r>
        <w:rPr>
          <w:sz w:val="24"/>
        </w:rPr>
        <w:t>、合同价增值税专用发票税率按</w:t>
      </w:r>
      <w:r>
        <w:rPr>
          <w:spacing w:val="25"/>
          <w:sz w:val="24"/>
          <w:u w:val="single"/>
        </w:rPr>
        <w:t xml:space="preserve"> </w:t>
      </w:r>
      <w:r>
        <w:rPr>
          <w:rFonts w:hint="eastAsia"/>
          <w:sz w:val="24"/>
          <w:u w:val="single"/>
          <w:lang w:val="en-US" w:eastAsia="zh-CN"/>
        </w:rPr>
        <w:t xml:space="preserve">6 </w:t>
      </w:r>
      <w:r>
        <w:rPr>
          <w:sz w:val="24"/>
        </w:rPr>
        <w:t xml:space="preserve"> %计算，如因国家税收政策变化引起增值税税</w:t>
      </w:r>
      <w:r>
        <w:rPr>
          <w:spacing w:val="-7"/>
          <w:sz w:val="24"/>
        </w:rPr>
        <w:t>率调整，增值税税金依据国家增值税税率调整进行增减调整，合同价随增值税税金增减进</w:t>
      </w:r>
      <w:r>
        <w:rPr>
          <w:spacing w:val="-9"/>
          <w:sz w:val="24"/>
        </w:rPr>
        <w:t>行增减调整</w:t>
      </w:r>
      <w:r>
        <w:rPr>
          <w:sz w:val="24"/>
        </w:rPr>
        <w:t>（合同不含税金额不变</w:t>
      </w:r>
      <w:r>
        <w:rPr>
          <w:spacing w:val="-17"/>
          <w:sz w:val="24"/>
        </w:rPr>
        <w:t>）</w:t>
      </w:r>
      <w:r>
        <w:rPr>
          <w:spacing w:val="-5"/>
          <w:sz w:val="24"/>
        </w:rPr>
        <w:t>。增值税税金增减金额随付款节点进行调整，结算总价的税金按实际付款时税率进行结算。</w:t>
      </w:r>
    </w:p>
    <w:p w14:paraId="37B16B16">
      <w:pPr>
        <w:pStyle w:val="9"/>
        <w:numPr>
          <w:ilvl w:val="1"/>
          <w:numId w:val="1"/>
        </w:numPr>
        <w:tabs>
          <w:tab w:val="left" w:pos="888"/>
        </w:tabs>
        <w:spacing w:before="2" w:after="0" w:line="364" w:lineRule="auto"/>
        <w:ind w:left="103" w:right="341" w:firstLine="420"/>
        <w:jc w:val="left"/>
        <w:rPr>
          <w:sz w:val="24"/>
        </w:rPr>
      </w:pPr>
      <w:r>
        <w:rPr>
          <w:sz w:val="24"/>
        </w:rPr>
        <w:t>、如因乙方纳税资格变更引起增值税税率变化，风险由乙方自行承担</w:t>
      </w:r>
      <w:r>
        <w:rPr>
          <w:spacing w:val="2"/>
          <w:sz w:val="24"/>
        </w:rPr>
        <w:t>（</w:t>
      </w:r>
      <w:r>
        <w:rPr>
          <w:sz w:val="24"/>
        </w:rPr>
        <w:t>税率增加的，甲方仍按原税率支付税金；税率减小的，甲方按减小后的税率支付税金）。</w:t>
      </w:r>
    </w:p>
    <w:p w14:paraId="484A62D6">
      <w:pPr>
        <w:pStyle w:val="4"/>
        <w:jc w:val="both"/>
      </w:pPr>
      <w:bookmarkStart w:id="9" w:name="六、工程价款支付 "/>
      <w:bookmarkEnd w:id="9"/>
      <w:r>
        <w:t>六、工程价款支付</w:t>
      </w:r>
    </w:p>
    <w:p w14:paraId="08114BA9">
      <w:pPr>
        <w:pStyle w:val="5"/>
        <w:spacing w:before="161"/>
        <w:ind w:left="583"/>
      </w:pPr>
      <w:bookmarkStart w:id="10" w:name="1、本工程无预付款。"/>
      <w:bookmarkEnd w:id="10"/>
      <w:r>
        <w:t>1、本工程无预付款。</w:t>
      </w:r>
      <w:bookmarkStart w:id="11" w:name="2、方案及施工图设计完成，经甲方验收合格后支付至设计费的70%；"/>
      <w:bookmarkEnd w:id="11"/>
    </w:p>
    <w:p w14:paraId="4ACBDB94">
      <w:pPr>
        <w:pStyle w:val="5"/>
        <w:spacing w:before="160"/>
        <w:ind w:left="583"/>
      </w:pPr>
      <w:r>
        <w:rPr>
          <w:rFonts w:hint="eastAsia"/>
          <w:lang w:val="en-US" w:eastAsia="zh-CN"/>
        </w:rPr>
        <w:t>2</w:t>
      </w:r>
      <w:r>
        <w:t>、全部</w:t>
      </w:r>
      <w:r>
        <w:rPr>
          <w:rFonts w:hint="eastAsia"/>
          <w:lang w:val="en-US" w:eastAsia="zh-CN"/>
        </w:rPr>
        <w:t>工程</w:t>
      </w:r>
      <w:r>
        <w:t xml:space="preserve">安装完成并经甲方、监理验收合格后，付至已完工程量金额的 </w:t>
      </w:r>
      <w:r>
        <w:rPr>
          <w:rFonts w:hint="eastAsia"/>
          <w:lang w:val="en-US" w:eastAsia="zh-CN"/>
        </w:rPr>
        <w:t>90</w:t>
      </w:r>
      <w:r>
        <w:t>%；</w:t>
      </w:r>
    </w:p>
    <w:p w14:paraId="54F69969">
      <w:pPr>
        <w:pStyle w:val="5"/>
        <w:spacing w:before="161" w:line="364" w:lineRule="auto"/>
        <w:ind w:right="343" w:firstLine="480"/>
      </w:pPr>
      <w:r>
        <w:rPr>
          <w:rFonts w:hint="eastAsia"/>
          <w:lang w:val="en-US" w:eastAsia="zh-CN"/>
        </w:rPr>
        <w:t>3</w:t>
      </w:r>
      <w:r>
        <w:t>、全部完工，经甲方、监理验收合格后移交甲方委托的物业公司，并配合甲方办理结算完成后，付至结算金额的 97%；</w:t>
      </w:r>
    </w:p>
    <w:p w14:paraId="79ABD25E">
      <w:pPr>
        <w:pStyle w:val="5"/>
        <w:spacing w:line="364" w:lineRule="auto"/>
        <w:ind w:right="103" w:firstLine="480"/>
      </w:pPr>
      <w:r>
        <w:rPr>
          <w:rFonts w:hint="eastAsia"/>
          <w:lang w:val="en-US" w:eastAsia="zh-CN"/>
        </w:rPr>
        <w:t>4</w:t>
      </w:r>
      <w:r>
        <w:t>、剩余金额（</w:t>
      </w:r>
      <w:r>
        <w:rPr>
          <w:spacing w:val="-9"/>
        </w:rPr>
        <w:t xml:space="preserve">即结算金额的 </w:t>
      </w:r>
      <w:r>
        <w:t>3%）</w:t>
      </w:r>
      <w:r>
        <w:rPr>
          <w:spacing w:val="-6"/>
        </w:rPr>
        <w:t xml:space="preserve">留为质保金，质保期为 </w:t>
      </w:r>
      <w:r>
        <w:rPr>
          <w:rFonts w:hint="eastAsia"/>
          <w:lang w:val="en-US" w:eastAsia="zh-CN"/>
        </w:rPr>
        <w:t>1</w:t>
      </w:r>
      <w:r>
        <w:rPr>
          <w:spacing w:val="-8"/>
        </w:rPr>
        <w:t xml:space="preserve"> 年，全部完工，</w:t>
      </w:r>
      <w:del w:id="9" w:author="大圆子" w:date="2025-08-15T14:19:22Z">
        <w:r>
          <w:rPr>
            <w:spacing w:val="-8"/>
          </w:rPr>
          <w:delText xml:space="preserve"> </w:delText>
        </w:r>
      </w:del>
      <w:r>
        <w:rPr>
          <w:spacing w:val="-10"/>
        </w:rPr>
        <w:t>经甲方、监理验收合格后</w:t>
      </w:r>
      <w:del w:id="10" w:author="大圆子" w:date="2025-08-15T14:19:33Z">
        <w:r>
          <w:rPr>
            <w:spacing w:val="-10"/>
          </w:rPr>
          <w:delText>起</w:delText>
        </w:r>
      </w:del>
      <w:r>
        <w:rPr>
          <w:spacing w:val="-10"/>
        </w:rPr>
        <w:t>开始计算。质保期内，如因工程质量问题、用料质量问题、维</w:t>
      </w:r>
      <w:del w:id="11" w:author="大圆子" w:date="2025-08-15T14:19:42Z">
        <w:r>
          <w:rPr>
            <w:spacing w:val="-10"/>
          </w:rPr>
          <w:delText xml:space="preserve"> </w:delText>
        </w:r>
      </w:del>
      <w:r>
        <w:rPr>
          <w:spacing w:val="-12"/>
        </w:rPr>
        <w:t>修或乙方其他违约行为等导致乙方存在应支付未支付款项或甲方代乙方支出的款项的，甲</w:t>
      </w:r>
      <w:del w:id="12" w:author="大圆子" w:date="2025-08-15T14:19:50Z">
        <w:r>
          <w:rPr>
            <w:spacing w:val="-12"/>
          </w:rPr>
          <w:delText xml:space="preserve"> </w:delText>
        </w:r>
      </w:del>
      <w:r>
        <w:rPr>
          <w:spacing w:val="-15"/>
        </w:rPr>
        <w:t>方有权在工程质保金中直接扣除，质保金不足以弥补甲方损失的，乙方应负责赔偿，因此</w:t>
      </w:r>
      <w:del w:id="13" w:author="大圆子" w:date="2025-08-15T14:19:54Z">
        <w:r>
          <w:rPr>
            <w:spacing w:val="-15"/>
          </w:rPr>
          <w:delText xml:space="preserve"> </w:delText>
        </w:r>
      </w:del>
      <w:r>
        <w:rPr>
          <w:spacing w:val="-20"/>
        </w:rPr>
        <w:t xml:space="preserve">导致工程质保金低于 </w:t>
      </w:r>
      <w:r>
        <w:t>3%，</w:t>
      </w:r>
      <w:r>
        <w:rPr>
          <w:spacing w:val="-4"/>
        </w:rPr>
        <w:t xml:space="preserve">乙方应在收到甲方补足通知之日起 </w:t>
      </w:r>
      <w:r>
        <w:t>3</w:t>
      </w:r>
      <w:r>
        <w:rPr>
          <w:spacing w:val="-8"/>
        </w:rPr>
        <w:t xml:space="preserve"> 日内予以补足。</w:t>
      </w:r>
    </w:p>
    <w:p w14:paraId="1F6662A8">
      <w:pPr>
        <w:pStyle w:val="5"/>
        <w:spacing w:before="3" w:line="364" w:lineRule="auto"/>
        <w:ind w:right="340" w:firstLine="480"/>
        <w:jc w:val="both"/>
      </w:pPr>
      <w:r>
        <w:rPr>
          <w:rFonts w:hint="eastAsia"/>
          <w:lang w:val="en-US" w:eastAsia="zh-CN"/>
        </w:rPr>
        <w:t>5</w:t>
      </w:r>
      <w:r>
        <w:t>、每次付款前，乙方应按甲方要求出具等额合法有效的增值税专用发票。当甲方向</w:t>
      </w:r>
      <w:r>
        <w:rPr>
          <w:spacing w:val="-4"/>
        </w:rPr>
        <w:t xml:space="preserve">乙方累计支付款项至本合同结算值的 </w:t>
      </w:r>
      <w:r>
        <w:t>97％</w:t>
      </w:r>
      <w:r>
        <w:rPr>
          <w:spacing w:val="-13"/>
        </w:rPr>
        <w:t xml:space="preserve">时，乙方须向甲方开具结算金额 </w:t>
      </w:r>
      <w:r>
        <w:t>100％的合法有</w:t>
      </w:r>
      <w:r>
        <w:rPr>
          <w:spacing w:val="-4"/>
        </w:rPr>
        <w:t>效的增值税专用发票，否则甲方除扣留质保金外，还有权拒绝支付该批次工程款。乙方应</w:t>
      </w:r>
      <w:r>
        <w:rPr>
          <w:spacing w:val="-14"/>
        </w:rPr>
        <w:t xml:space="preserve">在开票之后 </w:t>
      </w:r>
      <w:r>
        <w:t>5</w:t>
      </w:r>
      <w:r>
        <w:rPr>
          <w:spacing w:val="-8"/>
        </w:rPr>
        <w:t xml:space="preserve"> 个工作日内将发票送达甲方，甲方签收发票的日期为发票的送达日期。</w:t>
      </w:r>
    </w:p>
    <w:p w14:paraId="09141FFE">
      <w:pPr>
        <w:pStyle w:val="5"/>
        <w:spacing w:before="3" w:line="364" w:lineRule="auto"/>
        <w:ind w:right="343" w:firstLine="480"/>
      </w:pPr>
      <w:r>
        <w:rPr>
          <w:rFonts w:hint="eastAsia"/>
          <w:lang w:val="en-US" w:eastAsia="zh-CN"/>
        </w:rPr>
        <w:t>6</w:t>
      </w:r>
      <w:r>
        <w:t>、真实发生且合理合规的设计变更、现场签证事项，在按甲方制度审批完成后的次</w:t>
      </w:r>
      <w:r>
        <w:rPr>
          <w:spacing w:val="-3"/>
        </w:rPr>
        <w:t>月随节点进度款进行付款</w:t>
      </w:r>
      <w:r>
        <w:t>（</w:t>
      </w:r>
      <w:r>
        <w:rPr>
          <w:spacing w:val="-3"/>
        </w:rPr>
        <w:t xml:space="preserve">每次具备支付条件的签证变更金额累计金额需超过 </w:t>
      </w:r>
      <w:r>
        <w:t>3</w:t>
      </w:r>
      <w:r>
        <w:rPr>
          <w:spacing w:val="-19"/>
        </w:rPr>
        <w:t xml:space="preserve"> 万元，累</w:t>
      </w:r>
    </w:p>
    <w:p w14:paraId="7F75899E">
      <w:pPr>
        <w:spacing w:after="0" w:line="364" w:lineRule="auto"/>
        <w:sectPr>
          <w:pgSz w:w="11910" w:h="16840"/>
          <w:pgMar w:top="1380" w:right="960" w:bottom="1240" w:left="1200" w:header="852" w:footer="1057" w:gutter="0"/>
          <w:cols w:space="720" w:num="1"/>
        </w:sectPr>
      </w:pPr>
    </w:p>
    <w:p w14:paraId="150373CE">
      <w:pPr>
        <w:pStyle w:val="5"/>
        <w:spacing w:before="81" w:line="364" w:lineRule="auto"/>
        <w:ind w:right="343"/>
        <w:jc w:val="both"/>
      </w:pPr>
      <w:r>
        <w:rPr>
          <w:spacing w:val="-5"/>
        </w:rPr>
        <w:t xml:space="preserve">计已审批变更签证金额不足 </w:t>
      </w:r>
      <w:r>
        <w:t>3</w:t>
      </w:r>
      <w:r>
        <w:rPr>
          <w:spacing w:val="-13"/>
        </w:rPr>
        <w:t xml:space="preserve"> 万元时依次滚动到下节点，流程审批中或未发起审批的金额不具备支付条件）</w:t>
      </w:r>
      <w:r>
        <w:rPr>
          <w:spacing w:val="-15"/>
        </w:rPr>
        <w:t xml:space="preserve">；支付比例为流程已审批完成且已确认金额的 </w:t>
      </w:r>
      <w:r>
        <w:t>80%，</w:t>
      </w:r>
      <w:r>
        <w:rPr>
          <w:spacing w:val="-13"/>
        </w:rPr>
        <w:t xml:space="preserve">剩余 </w:t>
      </w:r>
      <w:r>
        <w:t>20%于竣工结算后支付。</w:t>
      </w:r>
    </w:p>
    <w:p w14:paraId="262382F7">
      <w:pPr>
        <w:pStyle w:val="5"/>
        <w:spacing w:before="2" w:line="364" w:lineRule="auto"/>
        <w:ind w:right="280" w:firstLine="480"/>
        <w:jc w:val="both"/>
      </w:pPr>
      <w:r>
        <w:rPr>
          <w:rFonts w:hint="eastAsia"/>
          <w:lang w:val="en-US" w:eastAsia="zh-CN"/>
        </w:rPr>
        <w:t>7</w:t>
      </w:r>
      <w:r>
        <w:t>、乙方应提供真实、合法、有效的增值税专用发票。乙方开具发票不合规时出现税</w:t>
      </w:r>
      <w:r>
        <w:rPr>
          <w:spacing w:val="-7"/>
        </w:rPr>
        <w:t>务问题，乙方应承担赔偿责任，包括但不限于税款、滞纳金、罚款及其相关的损失。不合格发票包括但不限于以下情形：开具虚假、作废等无效发票或者违反国家法律法规开具、</w:t>
      </w:r>
      <w:r>
        <w:rPr>
          <w:spacing w:val="-10"/>
        </w:rPr>
        <w:t>提供发票的；开具发票种类错误；开具发票税率与合同约定不符；发票上的信息错误；因乙方迟延送达、开具错误等原因造成发票认证失败等。</w:t>
      </w:r>
    </w:p>
    <w:p w14:paraId="5E72D09E">
      <w:pPr>
        <w:pStyle w:val="5"/>
        <w:spacing w:before="3"/>
        <w:ind w:left="583"/>
      </w:pPr>
      <w:bookmarkStart w:id="12" w:name="10、对发票不合规的约定："/>
      <w:bookmarkEnd w:id="12"/>
      <w:r>
        <w:rPr>
          <w:rFonts w:hint="eastAsia"/>
          <w:lang w:val="en-US" w:eastAsia="zh-CN"/>
        </w:rPr>
        <w:t>8</w:t>
      </w:r>
      <w:r>
        <w:t>、对发票不合规的约定：</w:t>
      </w:r>
    </w:p>
    <w:p w14:paraId="065B0DC6">
      <w:pPr>
        <w:pStyle w:val="9"/>
        <w:numPr>
          <w:ilvl w:val="0"/>
          <w:numId w:val="0"/>
        </w:numPr>
        <w:tabs>
          <w:tab w:val="left" w:pos="1065"/>
        </w:tabs>
        <w:spacing w:before="161" w:after="0" w:line="364" w:lineRule="auto"/>
        <w:ind w:right="343" w:rightChars="0" w:firstLine="678" w:firstLineChars="300"/>
        <w:jc w:val="both"/>
        <w:rPr>
          <w:sz w:val="24"/>
        </w:rPr>
      </w:pPr>
      <w:r>
        <w:rPr>
          <w:rFonts w:hint="eastAsia"/>
          <w:spacing w:val="-7"/>
          <w:sz w:val="24"/>
          <w:lang w:val="en-US" w:eastAsia="zh-CN"/>
        </w:rPr>
        <w:t>8.1、</w:t>
      </w:r>
      <w:r>
        <w:rPr>
          <w:spacing w:val="-7"/>
          <w:sz w:val="24"/>
        </w:rPr>
        <w:t>乙方提供的发票为增值税专用发票的，因乙方迟延送达、开具错误等原因导致</w:t>
      </w:r>
      <w:r>
        <w:rPr>
          <w:spacing w:val="-10"/>
          <w:sz w:val="24"/>
        </w:rPr>
        <w:t>其提供的增值税专用发票没有通过税务部门认证，造成甲方不能抵扣的，甲方有权拒绝接收。</w:t>
      </w:r>
    </w:p>
    <w:p w14:paraId="303FC840">
      <w:pPr>
        <w:pStyle w:val="9"/>
        <w:numPr>
          <w:ilvl w:val="0"/>
          <w:numId w:val="0"/>
        </w:numPr>
        <w:tabs>
          <w:tab w:val="left" w:pos="1065"/>
        </w:tabs>
        <w:spacing w:before="1" w:after="0" w:line="364" w:lineRule="auto"/>
        <w:ind w:right="280" w:rightChars="0" w:firstLine="672" w:firstLineChars="300"/>
        <w:jc w:val="both"/>
        <w:rPr>
          <w:sz w:val="24"/>
        </w:rPr>
      </w:pPr>
      <w:r>
        <w:rPr>
          <w:rFonts w:hint="eastAsia"/>
          <w:spacing w:val="-8"/>
          <w:sz w:val="24"/>
          <w:lang w:val="en-US" w:eastAsia="zh-CN"/>
        </w:rPr>
        <w:t>8.2、</w:t>
      </w:r>
      <w:r>
        <w:rPr>
          <w:spacing w:val="-8"/>
          <w:sz w:val="24"/>
        </w:rPr>
        <w:t>乙方开具虚假、作废等无效发票或者违反国家法律法规开具、提供发票的，乙</w:t>
      </w:r>
      <w:r>
        <w:rPr>
          <w:spacing w:val="-11"/>
          <w:sz w:val="24"/>
        </w:rPr>
        <w:t xml:space="preserve">方应自行承担相应法律责任，并应向甲方支付合同总价 </w:t>
      </w:r>
      <w:r>
        <w:rPr>
          <w:sz w:val="24"/>
        </w:rPr>
        <w:t>20%</w:t>
      </w:r>
      <w:r>
        <w:rPr>
          <w:spacing w:val="-1"/>
          <w:sz w:val="24"/>
        </w:rPr>
        <w:t>的违约金，乙方提供履约保证</w:t>
      </w:r>
      <w:r>
        <w:rPr>
          <w:spacing w:val="-8"/>
          <w:sz w:val="24"/>
        </w:rPr>
        <w:t>金的</w:t>
      </w:r>
      <w:r>
        <w:rPr>
          <w:sz w:val="24"/>
        </w:rPr>
        <w:t>（若有</w:t>
      </w:r>
      <w:r>
        <w:rPr>
          <w:spacing w:val="-16"/>
          <w:sz w:val="24"/>
        </w:rPr>
        <w:t>）</w:t>
      </w:r>
      <w:r>
        <w:rPr>
          <w:spacing w:val="-5"/>
          <w:sz w:val="24"/>
        </w:rPr>
        <w:t>，甲方有权扣除乙方全部履约保证金，以上违约金或履约保证金不足以弥补</w:t>
      </w:r>
      <w:r>
        <w:rPr>
          <w:spacing w:val="-10"/>
          <w:sz w:val="24"/>
        </w:rPr>
        <w:t>甲方损失的，乙方应予赔偿；乙方重新开具的发票仍与合同约定不符的，乙方除按本项前</w:t>
      </w:r>
      <w:r>
        <w:rPr>
          <w:spacing w:val="-12"/>
          <w:sz w:val="24"/>
        </w:rPr>
        <w:t>述约定承担责任外，甲方拒绝接收；乙方无法开具发票的，乙方除按本项前述约定承担责任外，乙方应退还甲方已付款项，赔偿由此给甲方造成的全部损失，甲方有权终止合同。</w:t>
      </w:r>
    </w:p>
    <w:p w14:paraId="0C5255CB">
      <w:pPr>
        <w:pStyle w:val="5"/>
        <w:spacing w:before="4"/>
        <w:ind w:left="583"/>
      </w:pPr>
      <w:bookmarkStart w:id="13" w:name="11、其它税务风险的合同约定："/>
      <w:bookmarkEnd w:id="13"/>
      <w:r>
        <w:rPr>
          <w:rFonts w:hint="eastAsia"/>
          <w:lang w:val="en-US" w:eastAsia="zh-CN"/>
        </w:rPr>
        <w:t>9</w:t>
      </w:r>
      <w:r>
        <w:t>、其它税务风险的合同约定：</w:t>
      </w:r>
    </w:p>
    <w:p w14:paraId="3023ADD0">
      <w:pPr>
        <w:pStyle w:val="9"/>
        <w:numPr>
          <w:ilvl w:val="0"/>
          <w:numId w:val="0"/>
        </w:numPr>
        <w:tabs>
          <w:tab w:val="left" w:pos="1065"/>
        </w:tabs>
        <w:spacing w:before="160" w:after="0" w:line="364" w:lineRule="auto"/>
        <w:ind w:right="343" w:rightChars="0" w:firstLine="448" w:firstLineChars="200"/>
        <w:jc w:val="both"/>
        <w:rPr>
          <w:sz w:val="24"/>
        </w:rPr>
      </w:pPr>
      <w:r>
        <w:rPr>
          <w:rFonts w:hint="eastAsia"/>
          <w:spacing w:val="-8"/>
          <w:sz w:val="24"/>
          <w:lang w:val="en-US" w:eastAsia="zh-CN"/>
        </w:rPr>
        <w:t>9.1</w:t>
      </w:r>
      <w:r>
        <w:rPr>
          <w:spacing w:val="-8"/>
          <w:sz w:val="24"/>
        </w:rPr>
        <w:t>、如果甲方丢失增值税专用发票联和抵扣联，乙方应向甲方提供专用发票记账联复印件，并加盖乙方发票专用章。</w:t>
      </w:r>
    </w:p>
    <w:p w14:paraId="43535AC8">
      <w:pPr>
        <w:pStyle w:val="9"/>
        <w:numPr>
          <w:ilvl w:val="0"/>
          <w:numId w:val="0"/>
        </w:numPr>
        <w:tabs>
          <w:tab w:val="left" w:pos="1065"/>
        </w:tabs>
        <w:spacing w:before="2" w:after="0" w:line="364" w:lineRule="auto"/>
        <w:ind w:right="343" w:rightChars="0" w:firstLine="448" w:firstLineChars="200"/>
        <w:jc w:val="both"/>
        <w:rPr>
          <w:sz w:val="24"/>
        </w:rPr>
      </w:pPr>
      <w:r>
        <w:rPr>
          <w:rFonts w:hint="eastAsia"/>
          <w:spacing w:val="-8"/>
          <w:sz w:val="24"/>
          <w:lang w:val="en-US" w:eastAsia="zh-CN"/>
        </w:rPr>
        <w:t>9.2</w:t>
      </w:r>
      <w:r>
        <w:rPr>
          <w:spacing w:val="-8"/>
          <w:sz w:val="24"/>
        </w:rPr>
        <w:t>、如果获得开具的汇总专用发票，则乙方应提供其防伪税控系统开具的《销售货物或者提供应税劳务清单》，并加盖发票专用章。</w:t>
      </w:r>
    </w:p>
    <w:p w14:paraId="61A7EE7B">
      <w:pPr>
        <w:pStyle w:val="4"/>
        <w:jc w:val="both"/>
      </w:pPr>
      <w:bookmarkStart w:id="14" w:name="七、技术规范及质量要求"/>
      <w:bookmarkEnd w:id="14"/>
      <w:r>
        <w:t>七、技术规范及质量要求</w:t>
      </w:r>
    </w:p>
    <w:p w14:paraId="78256F4C">
      <w:pPr>
        <w:pStyle w:val="5"/>
        <w:spacing w:before="160"/>
        <w:ind w:left="583"/>
      </w:pPr>
      <w:r>
        <w:t>1、国家、地方、行业相关的主要设计规范、规定及标准包括但不限于：</w:t>
      </w:r>
    </w:p>
    <w:p w14:paraId="776B843B">
      <w:pPr>
        <w:pStyle w:val="5"/>
        <w:spacing w:before="161"/>
        <w:ind w:left="463"/>
      </w:pPr>
      <w:r>
        <w:t>《建筑工程施工质量验收统一标准》GB50300-2001</w:t>
      </w:r>
    </w:p>
    <w:p w14:paraId="1C8FEF0B">
      <w:pPr>
        <w:pStyle w:val="5"/>
        <w:spacing w:before="160"/>
        <w:ind w:left="463"/>
      </w:pPr>
      <w:r>
        <w:t>《建筑装饰装修工程质量验收规范》GB50210-2001</w:t>
      </w:r>
    </w:p>
    <w:p w14:paraId="6C153820">
      <w:pPr>
        <w:pStyle w:val="5"/>
        <w:spacing w:before="161" w:line="364" w:lineRule="auto"/>
        <w:ind w:left="583" w:right="4720" w:hanging="120"/>
      </w:pPr>
      <w:r>
        <w:t xml:space="preserve">《建筑室内装修设计防火规范》GB50222-95 </w:t>
      </w:r>
      <w:bookmarkStart w:id="15" w:name="与本工程有关的其他技术规范和验收标准"/>
      <w:bookmarkEnd w:id="15"/>
      <w:r>
        <w:t>与本工程有关的其他技术规范和验收标准说明：</w:t>
      </w:r>
    </w:p>
    <w:p w14:paraId="072BBC0C">
      <w:pPr>
        <w:spacing w:after="0" w:line="364" w:lineRule="auto"/>
        <w:sectPr>
          <w:pgSz w:w="11910" w:h="16840"/>
          <w:pgMar w:top="1380" w:right="960" w:bottom="1240" w:left="1200" w:header="852" w:footer="1057" w:gutter="0"/>
          <w:cols w:space="720" w:num="1"/>
        </w:sectPr>
      </w:pPr>
    </w:p>
    <w:p w14:paraId="36BF60D7">
      <w:pPr>
        <w:pStyle w:val="9"/>
        <w:numPr>
          <w:ilvl w:val="1"/>
          <w:numId w:val="2"/>
        </w:numPr>
        <w:tabs>
          <w:tab w:val="left" w:pos="945"/>
        </w:tabs>
        <w:spacing w:before="81" w:after="0" w:line="240" w:lineRule="auto"/>
        <w:ind w:left="103" w:right="0" w:firstLine="480"/>
        <w:jc w:val="left"/>
        <w:rPr>
          <w:sz w:val="24"/>
        </w:rPr>
      </w:pPr>
      <w:bookmarkStart w:id="16" w:name="1.1、以上引用标准，如果已有更新标准，则执行新标准。"/>
      <w:bookmarkEnd w:id="16"/>
      <w:bookmarkStart w:id="17" w:name="1.1、以上引用标准，如果已有更新标准，则执行新标准。"/>
      <w:bookmarkEnd w:id="17"/>
      <w:r>
        <w:rPr>
          <w:sz w:val="24"/>
        </w:rPr>
        <w:t>、以上引用标准，如果已有更新标准，则执行新标准。</w:t>
      </w:r>
    </w:p>
    <w:p w14:paraId="39E8262D">
      <w:pPr>
        <w:pStyle w:val="9"/>
        <w:numPr>
          <w:ilvl w:val="1"/>
          <w:numId w:val="2"/>
        </w:numPr>
        <w:tabs>
          <w:tab w:val="left" w:pos="948"/>
        </w:tabs>
        <w:spacing w:before="161" w:after="0" w:line="364" w:lineRule="auto"/>
        <w:ind w:left="103" w:right="343" w:firstLine="480"/>
        <w:jc w:val="both"/>
        <w:rPr>
          <w:sz w:val="24"/>
        </w:rPr>
      </w:pPr>
      <w:r>
        <w:rPr>
          <w:sz w:val="24"/>
        </w:rPr>
        <w:t>、以上只列出一些主要规范、标准，本项目涉及的有关内容按相应规范、标准执行；</w:t>
      </w:r>
    </w:p>
    <w:p w14:paraId="5BD5387D">
      <w:pPr>
        <w:pStyle w:val="9"/>
        <w:numPr>
          <w:ilvl w:val="1"/>
          <w:numId w:val="2"/>
        </w:numPr>
        <w:tabs>
          <w:tab w:val="left" w:pos="948"/>
        </w:tabs>
        <w:spacing w:before="1" w:after="0" w:line="364" w:lineRule="auto"/>
        <w:ind w:left="103" w:right="343" w:firstLine="480"/>
        <w:jc w:val="both"/>
        <w:rPr>
          <w:sz w:val="24"/>
        </w:rPr>
      </w:pPr>
      <w:r>
        <w:rPr>
          <w:sz w:val="24"/>
        </w:rPr>
        <w:t>、以上所列的主要技术标准和规范，如未能达到国际或国内最新标准时，投标方</w:t>
      </w:r>
      <w:r>
        <w:rPr>
          <w:spacing w:val="-3"/>
          <w:sz w:val="24"/>
        </w:rPr>
        <w:t>应在施工及选用设备和材料时按最近的国际或国内标准执行，并提供采用的国际或国内标准、规范和所应用的最新版本的有关技术依据资料。</w:t>
      </w:r>
    </w:p>
    <w:p w14:paraId="34D6B93E">
      <w:pPr>
        <w:pStyle w:val="5"/>
        <w:spacing w:before="2"/>
        <w:ind w:left="583"/>
      </w:pPr>
      <w:bookmarkStart w:id="18" w:name="2、质量要求："/>
      <w:bookmarkEnd w:id="18"/>
      <w:r>
        <w:t>2、质量要求：</w:t>
      </w:r>
    </w:p>
    <w:p w14:paraId="3CF331E7">
      <w:pPr>
        <w:pStyle w:val="9"/>
        <w:numPr>
          <w:ilvl w:val="1"/>
          <w:numId w:val="3"/>
        </w:numPr>
        <w:tabs>
          <w:tab w:val="left" w:pos="945"/>
        </w:tabs>
        <w:spacing w:before="160" w:after="0" w:line="240" w:lineRule="auto"/>
        <w:ind w:left="103" w:right="0" w:firstLine="480"/>
        <w:jc w:val="left"/>
        <w:rPr>
          <w:sz w:val="24"/>
        </w:rPr>
      </w:pPr>
      <w:bookmarkStart w:id="19" w:name="2.1、工程质量达到合格标准。"/>
      <w:bookmarkEnd w:id="19"/>
      <w:bookmarkStart w:id="20" w:name="2.1、工程质量达到合格标准。"/>
      <w:bookmarkEnd w:id="20"/>
      <w:r>
        <w:rPr>
          <w:sz w:val="24"/>
        </w:rPr>
        <w:t>、工程质量达到合格标准。</w:t>
      </w:r>
    </w:p>
    <w:p w14:paraId="387FBDCE">
      <w:pPr>
        <w:pStyle w:val="9"/>
        <w:numPr>
          <w:ilvl w:val="1"/>
          <w:numId w:val="3"/>
        </w:numPr>
        <w:tabs>
          <w:tab w:val="left" w:pos="945"/>
        </w:tabs>
        <w:spacing w:before="161" w:after="0" w:line="240" w:lineRule="auto"/>
        <w:ind w:left="103" w:right="0" w:firstLine="480"/>
        <w:jc w:val="left"/>
        <w:rPr>
          <w:sz w:val="24"/>
        </w:rPr>
      </w:pPr>
      <w:r>
        <w:rPr>
          <w:sz w:val="24"/>
        </w:rPr>
        <w:t>、适用标准、规范：国家、河南省现行标识系统工程相关施工验收规范、标准。</w:t>
      </w:r>
    </w:p>
    <w:p w14:paraId="0A67037E">
      <w:pPr>
        <w:pStyle w:val="9"/>
        <w:numPr>
          <w:ilvl w:val="1"/>
          <w:numId w:val="3"/>
        </w:numPr>
        <w:tabs>
          <w:tab w:val="left" w:pos="945"/>
        </w:tabs>
        <w:spacing w:before="160" w:after="0" w:line="364" w:lineRule="auto"/>
        <w:ind w:left="103" w:right="343" w:firstLine="480"/>
        <w:jc w:val="both"/>
        <w:rPr>
          <w:sz w:val="24"/>
        </w:rPr>
      </w:pPr>
      <w:r>
        <w:rPr>
          <w:spacing w:val="-5"/>
          <w:sz w:val="24"/>
        </w:rPr>
        <w:t xml:space="preserve">、本工程要求一次验收合格率 </w:t>
      </w:r>
      <w:r>
        <w:rPr>
          <w:sz w:val="24"/>
        </w:rPr>
        <w:t>100%，同时满足图纸设计和甲方的要求。因乙方原</w:t>
      </w:r>
      <w:r>
        <w:rPr>
          <w:spacing w:val="-3"/>
          <w:sz w:val="24"/>
        </w:rPr>
        <w:t>因导致工程质量达不到工程质量目标，乙方应无条件返工直至达到合格标准，并承担由此造成的一切损失。同时，甲方不予工期顺延。</w:t>
      </w:r>
    </w:p>
    <w:p w14:paraId="691BCCAE">
      <w:pPr>
        <w:pStyle w:val="9"/>
        <w:numPr>
          <w:ilvl w:val="1"/>
          <w:numId w:val="3"/>
        </w:numPr>
        <w:tabs>
          <w:tab w:val="left" w:pos="946"/>
        </w:tabs>
        <w:spacing w:before="2" w:after="0" w:line="364" w:lineRule="auto"/>
        <w:ind w:left="103" w:right="343" w:firstLine="480"/>
        <w:jc w:val="both"/>
        <w:rPr>
          <w:sz w:val="24"/>
        </w:rPr>
      </w:pPr>
      <w:r>
        <w:rPr>
          <w:sz w:val="24"/>
        </w:rPr>
        <w:t>、施工中，凡出现质量不合格的分部分项工程经甲方、监理或政府相关部门提出</w:t>
      </w:r>
      <w:r>
        <w:rPr>
          <w:spacing w:val="-7"/>
          <w:sz w:val="24"/>
        </w:rPr>
        <w:t>进行返工的，乙方必须认真执行，并承担由此发生的全部费用，乙方并不能因此而获得工期顺延。</w:t>
      </w:r>
    </w:p>
    <w:p w14:paraId="57E2AA7A">
      <w:pPr>
        <w:pStyle w:val="9"/>
        <w:numPr>
          <w:ilvl w:val="1"/>
          <w:numId w:val="3"/>
        </w:numPr>
        <w:tabs>
          <w:tab w:val="left" w:pos="946"/>
        </w:tabs>
        <w:spacing w:before="2" w:after="0" w:line="364" w:lineRule="auto"/>
        <w:ind w:left="103" w:right="343" w:firstLine="480"/>
        <w:jc w:val="both"/>
        <w:rPr>
          <w:sz w:val="24"/>
        </w:rPr>
      </w:pPr>
      <w:r>
        <w:rPr>
          <w:sz w:val="24"/>
        </w:rPr>
        <w:t>、施工期间，乙方必须认真执行甲方及监理单位对工程施工的管理要求。如乙方</w:t>
      </w:r>
      <w:r>
        <w:rPr>
          <w:spacing w:val="-5"/>
          <w:sz w:val="24"/>
        </w:rPr>
        <w:t>不能认真完成相关的管理要求，监理将根据情况对乙方下发《整改通知书》，乙方在接到</w:t>
      </w:r>
    </w:p>
    <w:p w14:paraId="67FB54A1">
      <w:pPr>
        <w:pStyle w:val="5"/>
        <w:spacing w:line="364" w:lineRule="auto"/>
        <w:ind w:right="343"/>
        <w:jc w:val="both"/>
      </w:pPr>
      <w:r>
        <w:rPr>
          <w:spacing w:val="-7"/>
        </w:rPr>
        <w:t>《整改通知书》后须按要求整改，否则，监理将继续下达《整改通知书》，直至乙方整改</w:t>
      </w:r>
      <w:r>
        <w:rPr>
          <w:spacing w:val="-9"/>
        </w:rPr>
        <w:t xml:space="preserve">完成为止。除第一次外，后续每下发一次《整改通知书》，乙方应向甲方支付违约金 </w:t>
      </w:r>
      <w:r>
        <w:t>500 元，该款项甲方可直接从应付工程款中扣除。</w:t>
      </w:r>
    </w:p>
    <w:p w14:paraId="1B5353E2">
      <w:pPr>
        <w:pStyle w:val="9"/>
        <w:numPr>
          <w:ilvl w:val="1"/>
          <w:numId w:val="3"/>
        </w:numPr>
        <w:tabs>
          <w:tab w:val="left" w:pos="946"/>
        </w:tabs>
        <w:spacing w:before="2" w:after="0" w:line="364" w:lineRule="auto"/>
        <w:ind w:left="103" w:right="343" w:firstLine="480"/>
        <w:jc w:val="both"/>
        <w:rPr>
          <w:sz w:val="24"/>
        </w:rPr>
      </w:pPr>
      <w:r>
        <w:rPr>
          <w:sz w:val="24"/>
        </w:rPr>
        <w:t>、乙方负责在施工过程中与甲方和监理公司进行接洽沟通，并负责施工过程中的政府部门检查与项目资料申报。</w:t>
      </w:r>
    </w:p>
    <w:p w14:paraId="124C4C30">
      <w:pPr>
        <w:pStyle w:val="4"/>
      </w:pPr>
      <w:bookmarkStart w:id="21" w:name="八、设备、材料采购及试验"/>
      <w:bookmarkEnd w:id="21"/>
      <w:r>
        <w:t>八、设备、材料采购及试验</w:t>
      </w:r>
    </w:p>
    <w:p w14:paraId="6AA72AC8">
      <w:pPr>
        <w:pStyle w:val="5"/>
        <w:spacing w:before="161" w:line="364" w:lineRule="auto"/>
        <w:ind w:right="340" w:firstLine="480"/>
        <w:jc w:val="both"/>
      </w:pPr>
      <w:r>
        <w:t>1、乙方在购置主要设备及材料前必须经甲方、监理书面认可后方可采购。乙方采购</w:t>
      </w:r>
      <w:r>
        <w:rPr>
          <w:spacing w:val="-7"/>
        </w:rPr>
        <w:t>的设备、材料等在进场前要先向甲方和监理方填报《材料、设备进场报验单》，经甲方和</w:t>
      </w:r>
      <w:r>
        <w:rPr>
          <w:spacing w:val="-10"/>
        </w:rPr>
        <w:t>监理验收合格并书面签证认可后方能进场，且使用前应按有关规定进行自检或按甲方要求进行检验或试验，不合格的不得使用，检验或试验费用由乙方承担。甲方的认可及/或签</w:t>
      </w:r>
      <w:r>
        <w:rPr>
          <w:spacing w:val="-13"/>
        </w:rPr>
        <w:t>证并不视为对乙方供应设备及材料的质量合格的认可，也不因此免除乙方对设备及材料的</w:t>
      </w:r>
      <w:r>
        <w:rPr>
          <w:spacing w:val="-14"/>
        </w:rPr>
        <w:t>质量瑕疵担保的责任。未经甲方和监理工程师检查认可的设备、材料不得进场；已进场但自检或甲方检验不合格的设备、材料应清退出场，由此造成的责任及损失由乙方负责。</w:t>
      </w:r>
    </w:p>
    <w:p w14:paraId="231C5279">
      <w:pPr>
        <w:spacing w:after="0" w:line="364" w:lineRule="auto"/>
        <w:jc w:val="both"/>
        <w:sectPr>
          <w:pgSz w:w="11910" w:h="16840"/>
          <w:pgMar w:top="1380" w:right="960" w:bottom="1240" w:left="1200" w:header="852" w:footer="1057" w:gutter="0"/>
          <w:cols w:space="720" w:num="1"/>
        </w:sectPr>
      </w:pPr>
    </w:p>
    <w:p w14:paraId="06019002">
      <w:pPr>
        <w:pStyle w:val="5"/>
        <w:spacing w:before="81" w:line="364" w:lineRule="auto"/>
        <w:ind w:right="343" w:firstLine="480"/>
        <w:jc w:val="both"/>
      </w:pPr>
      <w:r>
        <w:t>2、本工程承包范围内使用的全部设备、材料及产品必须满足合格品规定，符合洛阳</w:t>
      </w:r>
      <w:r>
        <w:rPr>
          <w:spacing w:val="-4"/>
        </w:rPr>
        <w:t>市质量部门对建筑设备、材料及产品的具体要求，坚持三证</w:t>
      </w:r>
      <w:r>
        <w:rPr>
          <w:spacing w:val="-3"/>
        </w:rPr>
        <w:t>（</w:t>
      </w:r>
      <w:r>
        <w:rPr>
          <w:spacing w:val="-5"/>
        </w:rPr>
        <w:t>合格证，材质书，出厂检验报告</w:t>
      </w:r>
      <w:r>
        <w:rPr>
          <w:spacing w:val="-20"/>
        </w:rPr>
        <w:t>）</w:t>
      </w:r>
      <w:r>
        <w:rPr>
          <w:spacing w:val="-6"/>
        </w:rPr>
        <w:t>齐全，有规定要求的材料必须检测或复试合格后方可使用。同时因乙方所使用的建</w:t>
      </w:r>
      <w:r>
        <w:rPr>
          <w:spacing w:val="-8"/>
        </w:rPr>
        <w:t>筑材料存在的包括但不限于质量问题造成建筑物环境污染超过国家或洛阳市允许标准，由乙方负责处理并承担因此而造成的甲方全部经济损失。</w:t>
      </w:r>
    </w:p>
    <w:p w14:paraId="2179DB35">
      <w:pPr>
        <w:pStyle w:val="5"/>
        <w:spacing w:before="3" w:line="364" w:lineRule="auto"/>
        <w:ind w:right="343" w:firstLine="480"/>
        <w:jc w:val="both"/>
      </w:pPr>
      <w:r>
        <w:t>3、甲方如果发现乙方未按合同及相关规范规定要求的品牌、厂家、规格型号等进行</w:t>
      </w:r>
      <w:r>
        <w:rPr>
          <w:spacing w:val="-8"/>
        </w:rPr>
        <w:t xml:space="preserve">材料设备的采购，乙方应按 </w:t>
      </w:r>
      <w:r>
        <w:t>5000</w:t>
      </w:r>
      <w:r>
        <w:rPr>
          <w:spacing w:val="-30"/>
        </w:rPr>
        <w:t xml:space="preserve"> 元</w:t>
      </w:r>
      <w:r>
        <w:t>/</w:t>
      </w:r>
      <w:r>
        <w:rPr>
          <w:spacing w:val="-7"/>
        </w:rPr>
        <w:t xml:space="preserve">次或对应合同价款 </w:t>
      </w:r>
      <w:r>
        <w:t>2</w:t>
      </w:r>
      <w:r>
        <w:rPr>
          <w:spacing w:val="-41"/>
        </w:rPr>
        <w:t xml:space="preserve"> 倍</w:t>
      </w:r>
      <w:r>
        <w:t>（两者以高者为准</w:t>
      </w:r>
      <w:r>
        <w:rPr>
          <w:spacing w:val="-22"/>
        </w:rPr>
        <w:t>）</w:t>
      </w:r>
      <w:r>
        <w:t>的金额向</w:t>
      </w:r>
      <w:r>
        <w:rPr>
          <w:spacing w:val="-6"/>
        </w:rPr>
        <w:t>甲方支付违约金，与此同时，甲方有权将该部分材料设备清退出场，且工期不予顺延，对</w:t>
      </w:r>
      <w:r>
        <w:rPr>
          <w:spacing w:val="-10"/>
        </w:rPr>
        <w:t>已施工使用的材料设备，要求乙方全部拆除清退并重新施工，由此造成的一切损失由乙方承担。</w:t>
      </w:r>
    </w:p>
    <w:p w14:paraId="13347765">
      <w:pPr>
        <w:pStyle w:val="5"/>
        <w:spacing w:before="3" w:line="364" w:lineRule="auto"/>
        <w:ind w:right="280" w:firstLine="480"/>
        <w:jc w:val="both"/>
      </w:pPr>
      <w:r>
        <w:t>4、甲方在任何时候发现乙方施工中使用的材料或设备出现假冒伪劣（不论工程是否已竣工验收合格），甲方均有权要求乙方在七日内无条件更换完毕，乙方逾期未更换的， 甲方有权自行更换，由此产生的所有费用均由乙方承担，除此之外，乙方还应按照 5000</w:t>
      </w:r>
    </w:p>
    <w:p w14:paraId="22B50BAE">
      <w:pPr>
        <w:pStyle w:val="5"/>
        <w:spacing w:before="2" w:line="364" w:lineRule="auto"/>
        <w:ind w:right="274"/>
      </w:pPr>
      <w:r>
        <w:t>元/次或对应合同价款 2 倍（两者以高者为准）向甲方支付惩罚性赔偿。造成工程质量问题的，乙方应无条件整修并承担由此造成的一切费用损失。</w:t>
      </w:r>
    </w:p>
    <w:p w14:paraId="1293919C">
      <w:pPr>
        <w:spacing w:before="1" w:line="364" w:lineRule="auto"/>
        <w:ind w:left="583" w:right="343" w:hanging="480"/>
        <w:jc w:val="left"/>
        <w:rPr>
          <w:sz w:val="24"/>
        </w:rPr>
      </w:pPr>
      <w:bookmarkStart w:id="22" w:name="九、现场安全文明施工及管理要求"/>
      <w:bookmarkEnd w:id="22"/>
      <w:r>
        <w:rPr>
          <w:b/>
          <w:sz w:val="24"/>
        </w:rPr>
        <w:t xml:space="preserve">九、现场安全文明施工及管理要求                                               </w:t>
      </w:r>
      <w:r>
        <w:rPr>
          <w:sz w:val="24"/>
        </w:rPr>
        <w:t>1、乙方要确保安全施工，派专人负责具体的安全工作，并经常性地做好安全宣传教</w:t>
      </w:r>
    </w:p>
    <w:p w14:paraId="3883A77E">
      <w:pPr>
        <w:pStyle w:val="5"/>
        <w:spacing w:line="364" w:lineRule="auto"/>
        <w:ind w:right="343"/>
      </w:pPr>
      <w:r>
        <w:rPr>
          <w:spacing w:val="-7"/>
        </w:rPr>
        <w:t>育，严防安全隐患，杜绝伤亡事故和火灾的发生。如发生事故，责任由乙方负责，与甲方无关，乙方同时保护现场并及时上报有关部门。</w:t>
      </w:r>
    </w:p>
    <w:p w14:paraId="3FF5A9E2">
      <w:pPr>
        <w:pStyle w:val="5"/>
        <w:spacing w:before="2" w:line="364" w:lineRule="auto"/>
        <w:ind w:right="343" w:firstLine="480"/>
        <w:jc w:val="both"/>
      </w:pPr>
      <w:r>
        <w:t>2、乙方及乙方派驻施工现场的项目经理须向甲方签订安全责任书，对工程质量、安</w:t>
      </w:r>
      <w:r>
        <w:rPr>
          <w:spacing w:val="-2"/>
        </w:rPr>
        <w:t xml:space="preserve">全做出相应承诺和确定目标值。若上述目标不能达到，应向甲方支付违约金 </w:t>
      </w:r>
      <w:r>
        <w:t>2000</w:t>
      </w:r>
      <w:r>
        <w:rPr>
          <w:spacing w:val="-11"/>
        </w:rPr>
        <w:t xml:space="preserve"> 元并向甲方给予经济补偿和承担相应的法律责任。</w:t>
      </w:r>
    </w:p>
    <w:p w14:paraId="4204DFF7">
      <w:pPr>
        <w:pStyle w:val="5"/>
        <w:spacing w:line="364" w:lineRule="auto"/>
        <w:ind w:right="343" w:firstLine="480"/>
        <w:jc w:val="both"/>
      </w:pPr>
      <w:r>
        <w:t>3、施工现场用电器具应有接地、接零装置和线路布置规范化，安全防护措施到位。</w:t>
      </w:r>
      <w:r>
        <w:rPr>
          <w:spacing w:val="-5"/>
        </w:rPr>
        <w:t>乙方自身职工、与甲方有关的第三方人员在现场发生伤亡事故，其经济责任、法律责任和其它民事责任均由乙方负责。</w:t>
      </w:r>
    </w:p>
    <w:p w14:paraId="6A8F7672">
      <w:pPr>
        <w:pStyle w:val="5"/>
        <w:spacing w:before="2" w:line="364" w:lineRule="auto"/>
        <w:ind w:right="343" w:firstLine="480"/>
        <w:jc w:val="both"/>
      </w:pPr>
      <w:r>
        <w:t>4、乙方应加强对现场施工人员的教育。施工现场严禁酗酒、打架斗殴、赌博和其它违法违章现象，每发现一次，乙方按 2000 元/次向甲方支付违约金。</w:t>
      </w:r>
    </w:p>
    <w:p w14:paraId="212D89EF">
      <w:pPr>
        <w:pStyle w:val="5"/>
        <w:spacing w:line="364" w:lineRule="auto"/>
        <w:ind w:right="223" w:firstLine="480"/>
        <w:jc w:val="both"/>
      </w:pPr>
      <w:r>
        <w:t>5</w:t>
      </w:r>
      <w:r>
        <w:rPr>
          <w:spacing w:val="-7"/>
        </w:rPr>
        <w:t>、乙方严禁对现场甲方工作人员、与甲方有关第三方人员、监理人员等，进行请客、</w:t>
      </w:r>
      <w:r>
        <w:rPr>
          <w:spacing w:val="-9"/>
        </w:rPr>
        <w:t xml:space="preserve">行贿等。甲方发现一次无论何原因将对各方参与人员给予发生数额 </w:t>
      </w:r>
      <w:r>
        <w:t>2</w:t>
      </w:r>
      <w:r>
        <w:rPr>
          <w:spacing w:val="-8"/>
        </w:rPr>
        <w:t xml:space="preserve"> 倍以上的经济处罚， 达到刑事责任时，将依据有关法律追究当事人的刑事责任。</w:t>
      </w:r>
    </w:p>
    <w:p w14:paraId="31BCC13D">
      <w:pPr>
        <w:spacing w:after="0" w:line="364" w:lineRule="auto"/>
        <w:jc w:val="both"/>
        <w:sectPr>
          <w:pgSz w:w="11910" w:h="16840"/>
          <w:pgMar w:top="1380" w:right="960" w:bottom="1240" w:left="1200" w:header="852" w:footer="1057" w:gutter="0"/>
          <w:cols w:space="720" w:num="1"/>
        </w:sectPr>
      </w:pPr>
    </w:p>
    <w:p w14:paraId="489AC08B">
      <w:pPr>
        <w:pStyle w:val="5"/>
        <w:spacing w:before="81" w:line="364" w:lineRule="auto"/>
        <w:ind w:right="343" w:firstLine="480"/>
        <w:jc w:val="both"/>
      </w:pPr>
      <w:r>
        <w:t>6、乙方需遵守甲方、监理及总包单位的相关安全规程制度，否则按相关制度进行处罚。</w:t>
      </w:r>
    </w:p>
    <w:p w14:paraId="11E11579">
      <w:pPr>
        <w:pStyle w:val="5"/>
        <w:spacing w:before="2" w:line="364" w:lineRule="auto"/>
        <w:ind w:right="223" w:firstLine="480"/>
      </w:pPr>
      <w:r>
        <w:t>7、乙方在施工中要服从甲方及监理人员的统一指挥，做好防尘防噪措施，各项措施</w:t>
      </w:r>
      <w:r>
        <w:rPr>
          <w:spacing w:val="-9"/>
        </w:rPr>
        <w:t>和管理达到洛阳市文明建设的有关规定。现场施工实行工完场清制度，垃圾及时清运出场。</w:t>
      </w:r>
    </w:p>
    <w:p w14:paraId="24125B1F">
      <w:pPr>
        <w:pStyle w:val="5"/>
        <w:spacing w:line="364" w:lineRule="auto"/>
        <w:ind w:right="343" w:firstLine="480"/>
        <w:jc w:val="both"/>
      </w:pPr>
      <w:r>
        <w:t>8、乙方应保证施工现场的卫生标准、噪音标准等指标满足国家、地方的有关规定。施工中因乙方违反规定造成的损失和发生的费用（若主管部门罚款）均由乙方承担。</w:t>
      </w:r>
    </w:p>
    <w:p w14:paraId="7DD4C1D8">
      <w:pPr>
        <w:pStyle w:val="5"/>
        <w:ind w:left="583"/>
      </w:pPr>
      <w:r>
        <w:t>9、施工过程中如发生扰民或民扰，由乙方与甲方协调解决，费用乙方承担。</w:t>
      </w:r>
    </w:p>
    <w:p w14:paraId="030CE1DE">
      <w:pPr>
        <w:pStyle w:val="5"/>
        <w:spacing w:before="160" w:line="364" w:lineRule="auto"/>
        <w:ind w:right="343" w:firstLine="480"/>
        <w:jc w:val="both"/>
      </w:pPr>
      <w:r>
        <w:t>10</w:t>
      </w:r>
      <w:r>
        <w:rPr>
          <w:spacing w:val="-7"/>
        </w:rPr>
        <w:t>、乙方及乙方施工人员在现场包括但不限于因用水、用电、高空作业、使用机器发生伤亡事故的，其经济责任、法律责任和其他民事责任均由乙方负责。</w:t>
      </w:r>
    </w:p>
    <w:p w14:paraId="3919743C">
      <w:pPr>
        <w:pStyle w:val="4"/>
        <w:spacing w:before="2"/>
      </w:pPr>
      <w:bookmarkStart w:id="23" w:name="十、验收"/>
      <w:bookmarkEnd w:id="23"/>
      <w:r>
        <w:t>十、验收</w:t>
      </w:r>
    </w:p>
    <w:p w14:paraId="57BF98EF">
      <w:pPr>
        <w:pStyle w:val="5"/>
        <w:spacing w:before="160" w:line="364" w:lineRule="auto"/>
        <w:ind w:right="343" w:firstLine="480"/>
        <w:jc w:val="both"/>
      </w:pPr>
      <w:r>
        <w:t>1</w:t>
      </w:r>
      <w:r>
        <w:rPr>
          <w:spacing w:val="-7"/>
        </w:rPr>
        <w:t>、隐蔽工程由乙方书面通知甲方、监理，由甲方 、监理相关工程技术人员到现场检</w:t>
      </w:r>
      <w:r>
        <w:rPr>
          <w:spacing w:val="-9"/>
        </w:rPr>
        <w:t>查验收，经验收合格后并履行隐蔽工程签证手续，乙方可将该部位隐蔽，若甲方验证合格</w:t>
      </w:r>
      <w:r>
        <w:rPr>
          <w:spacing w:val="-35"/>
        </w:rPr>
        <w:t xml:space="preserve">后 </w:t>
      </w:r>
      <w:r>
        <w:t>48</w:t>
      </w:r>
      <w:r>
        <w:rPr>
          <w:spacing w:val="-8"/>
        </w:rPr>
        <w:t xml:space="preserve"> 小时内未履行签证手续，乙方可视为甲方同意隐蔽。</w:t>
      </w:r>
    </w:p>
    <w:p w14:paraId="3101ABB2">
      <w:pPr>
        <w:pStyle w:val="5"/>
        <w:spacing w:before="2" w:line="364" w:lineRule="auto"/>
        <w:ind w:right="343" w:firstLine="480"/>
        <w:jc w:val="both"/>
      </w:pPr>
      <w:r>
        <w:t>2、分项工程安装完毕，乙方应通过自查自检，认为合格后，通知甲方、监理验收， 验收合格后，甲方、监理应及时给予办理验收签证手续。</w:t>
      </w:r>
    </w:p>
    <w:p w14:paraId="549ED91F">
      <w:pPr>
        <w:pStyle w:val="5"/>
        <w:spacing w:line="364" w:lineRule="auto"/>
        <w:ind w:right="343" w:firstLine="480"/>
        <w:jc w:val="both"/>
      </w:pPr>
      <w:r>
        <w:t>3、工程竣工后，乙方通过自检、自查，并进行调试、开通、试运行正常后，认为具</w:t>
      </w:r>
      <w:r>
        <w:rPr>
          <w:spacing w:val="-3"/>
        </w:rPr>
        <w:t xml:space="preserve">备条件时，乙方应以书面的方式向甲方、监理方提出验收申请，甲方自收到申请之日起 </w:t>
      </w:r>
      <w:r>
        <w:t>3</w:t>
      </w:r>
    </w:p>
    <w:p w14:paraId="41AB262C">
      <w:pPr>
        <w:pStyle w:val="5"/>
        <w:spacing w:line="364" w:lineRule="auto"/>
        <w:ind w:right="280"/>
        <w:jc w:val="both"/>
      </w:pPr>
      <w:r>
        <w:rPr>
          <w:spacing w:val="-6"/>
        </w:rPr>
        <w:t xml:space="preserve">个工作日内给出正式回复，并在回复之日起 </w:t>
      </w:r>
      <w:r>
        <w:t>3</w:t>
      </w:r>
      <w:r>
        <w:rPr>
          <w:spacing w:val="-10"/>
        </w:rPr>
        <w:t xml:space="preserve"> 个工作日内组织相关人员验收，并提出验收意见，甲方认为不具备验收条件的除外。乙方向甲方及监理单位提交竣工验收报告和完整的竣工资料（含竣工图、变更资料、验收报告、产品使用说明书、联系单、测试报告等） </w:t>
      </w:r>
      <w:r>
        <w:rPr>
          <w:spacing w:val="-27"/>
        </w:rPr>
        <w:t xml:space="preserve">一式 </w:t>
      </w:r>
      <w:r>
        <w:t>2</w:t>
      </w:r>
      <w:r>
        <w:rPr>
          <w:spacing w:val="-20"/>
        </w:rPr>
        <w:t xml:space="preserve"> 套。</w:t>
      </w:r>
    </w:p>
    <w:p w14:paraId="105F8796">
      <w:pPr>
        <w:pStyle w:val="5"/>
        <w:spacing w:before="3" w:line="364" w:lineRule="auto"/>
        <w:ind w:right="343" w:firstLine="480"/>
        <w:jc w:val="both"/>
      </w:pPr>
      <w:r>
        <w:t>4、乙方负责办理向甲方和监理公司验收手续及负担有关费用，验收合格后，乙方应</w:t>
      </w:r>
      <w:r>
        <w:rPr>
          <w:spacing w:val="-4"/>
        </w:rPr>
        <w:t>向甲方提供工程验收合格证书。对于验收中存在的施工问题乙方应无条件进行整改，涉及不同标段相连结的施工问题，乙方应主动进行协调并解决问题。</w:t>
      </w:r>
    </w:p>
    <w:p w14:paraId="2F8F491E">
      <w:pPr>
        <w:pStyle w:val="4"/>
        <w:spacing w:before="2"/>
      </w:pPr>
      <w:bookmarkStart w:id="24" w:name="十一、工程变更、签证"/>
      <w:bookmarkEnd w:id="24"/>
      <w:r>
        <w:t>十一、工程变更、签证</w:t>
      </w:r>
    </w:p>
    <w:p w14:paraId="5A96C15B">
      <w:pPr>
        <w:pStyle w:val="5"/>
        <w:spacing w:before="160" w:line="364" w:lineRule="auto"/>
        <w:ind w:right="280" w:firstLine="480"/>
        <w:jc w:val="both"/>
      </w:pPr>
      <w:r>
        <w:t>1、乙方应严格按照经甲方审核签认的施工图纸施工，不得随意变更；若确需变更， 应按程序报甲方书面同意后，方可变更施工，否则造成的一切后果及责任均由乙方负责。</w:t>
      </w:r>
    </w:p>
    <w:p w14:paraId="06185610">
      <w:pPr>
        <w:pStyle w:val="5"/>
        <w:spacing w:line="364" w:lineRule="auto"/>
        <w:ind w:right="343" w:firstLine="480"/>
        <w:jc w:val="both"/>
      </w:pPr>
      <w:r>
        <w:t>2、施工过程中，若甲方需要增减项目或变更项目应提前以书面形式通知乙方，乙方承诺满足甲方的需求。</w:t>
      </w:r>
    </w:p>
    <w:p w14:paraId="5813A9CF">
      <w:pPr>
        <w:pStyle w:val="5"/>
        <w:ind w:left="583"/>
      </w:pPr>
      <w:r>
        <w:t>3、施工中乙方不得擅自对原工程设计进行变更。因乙方擅自变更设计发生的费用和</w:t>
      </w:r>
    </w:p>
    <w:p w14:paraId="7A3543B9">
      <w:pPr>
        <w:spacing w:after="0"/>
        <w:sectPr>
          <w:pgSz w:w="11910" w:h="16840"/>
          <w:pgMar w:top="1380" w:right="960" w:bottom="1240" w:left="1200" w:header="852" w:footer="1057" w:gutter="0"/>
          <w:cols w:space="720" w:num="1"/>
        </w:sectPr>
      </w:pPr>
    </w:p>
    <w:p w14:paraId="5EACFA28">
      <w:pPr>
        <w:pStyle w:val="5"/>
        <w:spacing w:before="81"/>
      </w:pPr>
      <w:r>
        <w:t>由此导致的直接经济损失，由乙方承担，延误的工期不予顺延。</w:t>
      </w:r>
    </w:p>
    <w:p w14:paraId="308604E9">
      <w:pPr>
        <w:pStyle w:val="5"/>
        <w:spacing w:before="161" w:line="364" w:lineRule="auto"/>
        <w:ind w:right="343" w:firstLine="480"/>
        <w:jc w:val="both"/>
      </w:pPr>
      <w:r>
        <w:t xml:space="preserve">4、变更、签证的计价原则：本合同执行期间，若因甲方设计原因引起的设计变更， </w:t>
      </w:r>
      <w:r>
        <w:rPr>
          <w:spacing w:val="-4"/>
        </w:rPr>
        <w:t>由甲方出具设计变更单。因设计变更引起部分分项工程子目的增加，该项子目的总价在合</w:t>
      </w:r>
      <w:r>
        <w:rPr>
          <w:spacing w:val="-12"/>
        </w:rPr>
        <w:t>同中</w:t>
      </w:r>
      <w:r>
        <w:t>（即后附表价格清单</w:t>
      </w:r>
      <w:r>
        <w:rPr>
          <w:spacing w:val="-22"/>
        </w:rPr>
        <w:t>）</w:t>
      </w:r>
      <w:r>
        <w:rPr>
          <w:spacing w:val="-2"/>
        </w:rPr>
        <w:t>有相同子目的执行相同子目的单价，合同中后附表中有相近子</w:t>
      </w:r>
      <w:r>
        <w:rPr>
          <w:spacing w:val="-6"/>
        </w:rPr>
        <w:t>目的按相近子目执行；若合同中后附表无适用或类似于变更、签证工程总价的，则由甲方</w:t>
      </w:r>
      <w:r>
        <w:rPr>
          <w:spacing w:val="-10"/>
        </w:rPr>
        <w:t>认价后按照认价计入结算；若在施工过程中未由甲方认价的，结算时按照甲方认为可行的单价计入结算，乙方不得有任何异议。</w:t>
      </w:r>
    </w:p>
    <w:p w14:paraId="37052789">
      <w:pPr>
        <w:pStyle w:val="5"/>
        <w:spacing w:before="3" w:line="364" w:lineRule="auto"/>
        <w:ind w:right="223" w:firstLine="480"/>
      </w:pPr>
      <w:r>
        <w:t>5、设计变更与现场签证必须进行一单一算、一月一清。为了保证甲方成本管理部、</w:t>
      </w:r>
      <w:r>
        <w:rPr>
          <w:spacing w:val="-6"/>
        </w:rPr>
        <w:t xml:space="preserve">项目工程部及乙方三方资料的完整性和一致性，每月 </w:t>
      </w:r>
      <w:r>
        <w:t>5</w:t>
      </w:r>
      <w:r>
        <w:rPr>
          <w:spacing w:val="-16"/>
        </w:rPr>
        <w:t xml:space="preserve"> 日之前，应按“一月一清”的原则， </w:t>
      </w:r>
      <w:r>
        <w:rPr>
          <w:spacing w:val="-18"/>
        </w:rPr>
        <w:t>对上月所有甲方发出的设计变更单和收到的工程签证单进行核对和清理，并签字确认。对</w:t>
      </w:r>
      <w:r>
        <w:rPr>
          <w:spacing w:val="-17"/>
        </w:rPr>
        <w:t>于乙方在结算时提出的、月结月清中未登记的设计变更和现场签证，甲方有权不接收、不计算、不结算和不支付费用。</w:t>
      </w:r>
    </w:p>
    <w:p w14:paraId="3114D0EE">
      <w:pPr>
        <w:pStyle w:val="4"/>
        <w:spacing w:before="3"/>
      </w:pPr>
      <w:bookmarkStart w:id="25" w:name="十二、结算方式"/>
      <w:bookmarkEnd w:id="25"/>
      <w:r>
        <w:t>十二、结算方式</w:t>
      </w:r>
    </w:p>
    <w:p w14:paraId="28359AE6">
      <w:pPr>
        <w:pStyle w:val="5"/>
        <w:spacing w:before="161" w:line="364" w:lineRule="auto"/>
        <w:ind w:right="343" w:firstLine="480"/>
        <w:jc w:val="both"/>
      </w:pPr>
      <w:r>
        <w:t>1、结算依据：甲方审核签认的施工设计方案、甲方认可的变更签证、施工合同、补充协议、招标、投标文件等。</w:t>
      </w:r>
    </w:p>
    <w:p w14:paraId="7C7213F5">
      <w:pPr>
        <w:pStyle w:val="5"/>
        <w:spacing w:before="0" w:line="229" w:lineRule="exact"/>
        <w:ind w:left="573"/>
      </w:pPr>
      <w:r>
        <w:t>结算金额=含税固定总价±变更、签证造价-其他应扣费用（含违约金）。</w:t>
      </w:r>
    </w:p>
    <w:p w14:paraId="14AB1930">
      <w:pPr>
        <w:pStyle w:val="5"/>
        <w:spacing w:before="158" w:line="364" w:lineRule="auto"/>
        <w:ind w:right="343" w:firstLine="470"/>
        <w:jc w:val="both"/>
      </w:pPr>
      <w:r>
        <w:t>2、乙方结算资料在报送甲方时一次性报送完整，在甲方结算审价过程中，不再接受</w:t>
      </w:r>
      <w:r>
        <w:rPr>
          <w:spacing w:val="-2"/>
        </w:rPr>
        <w:t>增加任何结算资料</w:t>
      </w:r>
      <w:r>
        <w:t>（</w:t>
      </w:r>
      <w:r>
        <w:rPr>
          <w:spacing w:val="-5"/>
        </w:rPr>
        <w:t>图纸、签证变更单、价格凭证等</w:t>
      </w:r>
      <w:r>
        <w:rPr>
          <w:spacing w:val="-12"/>
        </w:rPr>
        <w:t>），</w:t>
      </w:r>
      <w:r>
        <w:t>送审的结算书中若有遗漏项目均作为让利给甲方，不作增加调整。</w:t>
      </w:r>
    </w:p>
    <w:p w14:paraId="5AF4A1DB">
      <w:pPr>
        <w:pStyle w:val="5"/>
        <w:spacing w:before="0" w:line="364" w:lineRule="auto"/>
        <w:ind w:right="343" w:firstLine="470"/>
        <w:jc w:val="both"/>
      </w:pPr>
      <w:r>
        <w:t>3、乙方报送结算书应诚实准确，若最终审减额（报送金额—结算金额）超过结算金</w:t>
      </w:r>
      <w:r>
        <w:rPr>
          <w:spacing w:val="-20"/>
        </w:rPr>
        <w:t xml:space="preserve">额的 </w:t>
      </w:r>
      <w:r>
        <w:t>5%，</w:t>
      </w:r>
      <w:r>
        <w:rPr>
          <w:spacing w:val="-5"/>
        </w:rPr>
        <w:t xml:space="preserve">则需要乙方向甲方支付超出 </w:t>
      </w:r>
      <w:r>
        <w:t>5%</w:t>
      </w:r>
      <w:r>
        <w:rPr>
          <w:spacing w:val="-9"/>
        </w:rPr>
        <w:t xml:space="preserve">部分的费用的 </w:t>
      </w:r>
      <w:r>
        <w:t>3%</w:t>
      </w:r>
      <w:r>
        <w:rPr>
          <w:spacing w:val="-1"/>
        </w:rPr>
        <w:t>作为违约金，且违约金在结算金额中一次性扣除。</w:t>
      </w:r>
    </w:p>
    <w:p w14:paraId="33BD273A">
      <w:pPr>
        <w:pStyle w:val="5"/>
        <w:spacing w:before="0" w:line="362" w:lineRule="auto"/>
        <w:ind w:right="343" w:firstLine="470"/>
        <w:jc w:val="both"/>
      </w:pPr>
      <w:r>
        <w:t>4、</w:t>
      </w:r>
      <w:r>
        <w:rPr>
          <w:highlight w:val="none"/>
        </w:rPr>
        <w:t>合同执行中，已移交给甲方工程部、成本部、物业公司、监理公司签字确认的标</w:t>
      </w:r>
      <w:r>
        <w:rPr>
          <w:spacing w:val="-3"/>
          <w:highlight w:val="none"/>
        </w:rPr>
        <w:t>识标牌数量在施工过程中存在有未实际安装的，该部分未安装的标识标牌应按含税固定总</w:t>
      </w:r>
      <w:r>
        <w:rPr>
          <w:spacing w:val="-22"/>
          <w:highlight w:val="none"/>
        </w:rPr>
        <w:t xml:space="preserve">价的 </w:t>
      </w:r>
      <w:r>
        <w:rPr>
          <w:highlight w:val="none"/>
        </w:rPr>
        <w:t>90%计入结算。</w:t>
      </w:r>
    </w:p>
    <w:p w14:paraId="7B17C20F">
      <w:pPr>
        <w:pStyle w:val="5"/>
        <w:spacing w:before="5" w:line="427" w:lineRule="auto"/>
        <w:ind w:right="2810" w:firstLine="470"/>
        <w:rPr>
          <w:b/>
        </w:rPr>
      </w:pPr>
      <w:bookmarkStart w:id="26" w:name="5、办理竣工验收、合格证、检测费用等由承包方自行承担。"/>
      <w:bookmarkEnd w:id="26"/>
      <w:r>
        <w:t>5、办理竣工验收、合格证、检测费用等由承包方自行承担。</w:t>
      </w:r>
      <w:bookmarkStart w:id="27" w:name="十三、质保期"/>
      <w:bookmarkEnd w:id="27"/>
      <w:r>
        <w:rPr>
          <w:b/>
        </w:rPr>
        <w:t>十三、质保期</w:t>
      </w:r>
    </w:p>
    <w:p w14:paraId="46D480B7">
      <w:pPr>
        <w:pStyle w:val="5"/>
        <w:spacing w:before="0" w:line="228" w:lineRule="exact"/>
        <w:ind w:left="583"/>
      </w:pPr>
      <w:r>
        <w:t>1、质保期为</w:t>
      </w:r>
      <w:r>
        <w:rPr>
          <w:rFonts w:hint="eastAsia"/>
          <w:lang w:val="en-US" w:eastAsia="zh-CN"/>
        </w:rPr>
        <w:t xml:space="preserve"> 1 </w:t>
      </w:r>
      <w:r>
        <w:t>年，自全部安装完成并经甲方、监理验收合格后开始计算。</w:t>
      </w:r>
    </w:p>
    <w:p w14:paraId="0044E9F7">
      <w:pPr>
        <w:pStyle w:val="5"/>
        <w:spacing w:before="161" w:line="364" w:lineRule="auto"/>
        <w:ind w:left="583" w:right="223" w:hanging="480"/>
      </w:pPr>
      <w:r>
        <w:rPr>
          <w:spacing w:val="-5"/>
        </w:rPr>
        <w:t>质保期内，乙方应定期对本工程进行回访，定期</w:t>
      </w:r>
      <w:r>
        <w:t>（2</w:t>
      </w:r>
      <w:r>
        <w:rPr>
          <w:spacing w:val="-2"/>
        </w:rPr>
        <w:t xml:space="preserve"> 次</w:t>
      </w:r>
      <w:r>
        <w:t>/年</w:t>
      </w:r>
      <w:r>
        <w:rPr>
          <w:spacing w:val="-12"/>
        </w:rPr>
        <w:t>）</w:t>
      </w:r>
      <w:r>
        <w:rPr>
          <w:spacing w:val="-2"/>
        </w:rPr>
        <w:t>对已完工程进行检查、维护。2、在质保期内，凡因材料或安装出现质量问题，均由乙方负责免费维修或更换。乙</w:t>
      </w:r>
    </w:p>
    <w:p w14:paraId="6D35266F">
      <w:pPr>
        <w:spacing w:after="0" w:line="364" w:lineRule="auto"/>
        <w:sectPr>
          <w:pgSz w:w="11910" w:h="16840"/>
          <w:pgMar w:top="1380" w:right="960" w:bottom="1240" w:left="1200" w:header="852" w:footer="1057" w:gutter="0"/>
          <w:cols w:space="720" w:num="1"/>
        </w:sectPr>
      </w:pPr>
    </w:p>
    <w:p w14:paraId="1F93B095">
      <w:pPr>
        <w:pStyle w:val="5"/>
        <w:spacing w:before="81" w:line="364" w:lineRule="auto"/>
        <w:ind w:right="223"/>
      </w:pPr>
      <w:r>
        <w:rPr>
          <w:spacing w:val="-5"/>
        </w:rPr>
        <w:t xml:space="preserve">方应接到甲方维修通知后 </w:t>
      </w:r>
      <w:r>
        <w:t>24</w:t>
      </w:r>
      <w:r>
        <w:rPr>
          <w:spacing w:val="-8"/>
        </w:rPr>
        <w:t xml:space="preserve"> 小时内到场维修并在 </w:t>
      </w:r>
      <w:r>
        <w:t>8</w:t>
      </w:r>
      <w:r>
        <w:rPr>
          <w:spacing w:val="-8"/>
        </w:rPr>
        <w:t xml:space="preserve"> 小时内维修完毕，乙方拒不到场维修</w:t>
      </w:r>
      <w:r>
        <w:rPr>
          <w:spacing w:val="-17"/>
        </w:rPr>
        <w:t>或逾期仍未到场维修，甲方有权委托第三方单位进行维修</w:t>
      </w:r>
      <w:r>
        <w:t>（维修方案及费用无须通知乙方，且视为乙方已无条件认可</w:t>
      </w:r>
      <w:r>
        <w:rPr>
          <w:spacing w:val="-16"/>
        </w:rPr>
        <w:t>）</w:t>
      </w:r>
      <w:r>
        <w:rPr>
          <w:spacing w:val="-6"/>
        </w:rPr>
        <w:t>，发生费用从质保金中双倍扣除，质保金不足以扣除的，乙方应足额补偿甲方。</w:t>
      </w:r>
    </w:p>
    <w:p w14:paraId="60A1DE0D">
      <w:pPr>
        <w:pStyle w:val="4"/>
        <w:spacing w:before="3"/>
      </w:pPr>
      <w:bookmarkStart w:id="28" w:name="十四、双方责任与义务"/>
      <w:bookmarkEnd w:id="28"/>
      <w:r>
        <w:t>十四、双方责任与义务</w:t>
      </w:r>
    </w:p>
    <w:p w14:paraId="7A0D0C4C">
      <w:pPr>
        <w:pStyle w:val="5"/>
        <w:spacing w:before="160"/>
        <w:ind w:left="583"/>
      </w:pPr>
      <w:bookmarkStart w:id="29" w:name="1、甲方的责任与义务"/>
      <w:bookmarkEnd w:id="29"/>
      <w:r>
        <w:t>1、甲方的责任与义务</w:t>
      </w:r>
    </w:p>
    <w:p w14:paraId="4E855448">
      <w:pPr>
        <w:pStyle w:val="9"/>
        <w:numPr>
          <w:ilvl w:val="1"/>
          <w:numId w:val="4"/>
        </w:numPr>
        <w:tabs>
          <w:tab w:val="left" w:pos="946"/>
        </w:tabs>
        <w:spacing w:before="161" w:after="0" w:line="364" w:lineRule="auto"/>
        <w:ind w:left="103" w:right="343" w:firstLine="480"/>
        <w:jc w:val="left"/>
        <w:rPr>
          <w:sz w:val="24"/>
        </w:rPr>
      </w:pPr>
      <w:r>
        <w:rPr>
          <w:sz w:val="24"/>
        </w:rPr>
        <w:t>、遵守法律、法规和规章，甲方应在其实施本合同的全部工作中遵守与本合同有关的法律、法规和规章，并应承担由于其自身违反上述法律、法规和规章的责任。</w:t>
      </w:r>
    </w:p>
    <w:p w14:paraId="09110EC1">
      <w:pPr>
        <w:pStyle w:val="9"/>
        <w:numPr>
          <w:ilvl w:val="1"/>
          <w:numId w:val="4"/>
        </w:numPr>
        <w:tabs>
          <w:tab w:val="left" w:pos="948"/>
        </w:tabs>
        <w:spacing w:before="1" w:after="0" w:line="364" w:lineRule="auto"/>
        <w:ind w:left="103" w:right="343" w:firstLine="480"/>
        <w:jc w:val="both"/>
        <w:rPr>
          <w:sz w:val="24"/>
        </w:rPr>
      </w:pPr>
      <w:r>
        <w:rPr>
          <w:sz w:val="24"/>
        </w:rPr>
        <w:t>、甲方委派</w:t>
      </w:r>
      <w:r>
        <w:rPr>
          <w:spacing w:val="5"/>
          <w:sz w:val="24"/>
          <w:u w:val="single"/>
        </w:rPr>
        <w:t xml:space="preserve"> 陈卓</w:t>
      </w:r>
      <w:r>
        <w:rPr>
          <w:spacing w:val="-4"/>
          <w:sz w:val="24"/>
        </w:rPr>
        <w:t xml:space="preserve"> 为现场代表，电话 </w:t>
      </w:r>
      <w:r>
        <w:rPr>
          <w:sz w:val="24"/>
          <w:u w:val="single"/>
        </w:rPr>
        <w:t>18611572097</w:t>
      </w:r>
      <w:r>
        <w:rPr>
          <w:sz w:val="24"/>
        </w:rPr>
        <w:t>，监督、检查产品、工程的质</w:t>
      </w:r>
      <w:r>
        <w:rPr>
          <w:spacing w:val="-7"/>
          <w:sz w:val="24"/>
        </w:rPr>
        <w:t>量，协调工作中发生的有关事宜，并参与产品、工程的初验、验收和签证工作。如现场代表变更则需及时通知乙方。</w:t>
      </w:r>
    </w:p>
    <w:p w14:paraId="326C0C29">
      <w:pPr>
        <w:pStyle w:val="9"/>
        <w:numPr>
          <w:ilvl w:val="1"/>
          <w:numId w:val="4"/>
        </w:numPr>
        <w:tabs>
          <w:tab w:val="left" w:pos="946"/>
        </w:tabs>
        <w:spacing w:before="2" w:after="0" w:line="364" w:lineRule="auto"/>
        <w:ind w:left="103" w:right="343" w:firstLine="480"/>
        <w:jc w:val="left"/>
        <w:rPr>
          <w:sz w:val="24"/>
        </w:rPr>
      </w:pPr>
      <w:r>
        <w:rPr>
          <w:sz w:val="24"/>
        </w:rPr>
        <w:t>、甲方应提供乙方所需工程建筑图、说明书、建筑平面图、变更图及有关技术文件等作为乙方产品设计和施工的有效依据。</w:t>
      </w:r>
    </w:p>
    <w:p w14:paraId="029857C3">
      <w:pPr>
        <w:pStyle w:val="9"/>
        <w:numPr>
          <w:ilvl w:val="1"/>
          <w:numId w:val="4"/>
        </w:numPr>
        <w:tabs>
          <w:tab w:val="left" w:pos="945"/>
        </w:tabs>
        <w:spacing w:before="1" w:after="0" w:line="240" w:lineRule="auto"/>
        <w:ind w:left="944" w:right="0" w:hanging="361"/>
        <w:jc w:val="left"/>
        <w:rPr>
          <w:sz w:val="24"/>
        </w:rPr>
      </w:pPr>
      <w:bookmarkStart w:id="30" w:name="1.4、甲方协调乙方与土建单位施工配合问题，并督促工程进度。"/>
      <w:bookmarkEnd w:id="30"/>
      <w:bookmarkStart w:id="31" w:name="1.4、甲方协调乙方与土建单位施工配合问题，并督促工程进度。"/>
      <w:bookmarkEnd w:id="31"/>
      <w:r>
        <w:rPr>
          <w:sz w:val="24"/>
        </w:rPr>
        <w:t>、甲方协调乙方与土建单位施工配合问题，并督促工程进度。</w:t>
      </w:r>
    </w:p>
    <w:p w14:paraId="15B43A74">
      <w:pPr>
        <w:pStyle w:val="9"/>
        <w:numPr>
          <w:ilvl w:val="1"/>
          <w:numId w:val="4"/>
        </w:numPr>
        <w:tabs>
          <w:tab w:val="left" w:pos="945"/>
        </w:tabs>
        <w:spacing w:before="160" w:after="0" w:line="240" w:lineRule="auto"/>
        <w:ind w:left="944" w:right="0" w:hanging="361"/>
        <w:jc w:val="left"/>
        <w:rPr>
          <w:sz w:val="24"/>
        </w:rPr>
      </w:pPr>
      <w:r>
        <w:rPr>
          <w:spacing w:val="-2"/>
          <w:sz w:val="24"/>
        </w:rPr>
        <w:t xml:space="preserve">、签定合同时，甲方向乙方提供建筑施工图、变更通知及相关材料 </w:t>
      </w:r>
      <w:r>
        <w:rPr>
          <w:sz w:val="24"/>
        </w:rPr>
        <w:t>1</w:t>
      </w:r>
      <w:r>
        <w:rPr>
          <w:spacing w:val="-20"/>
          <w:sz w:val="24"/>
        </w:rPr>
        <w:t xml:space="preserve"> 套。</w:t>
      </w:r>
    </w:p>
    <w:p w14:paraId="475A8EE8">
      <w:pPr>
        <w:pStyle w:val="9"/>
        <w:numPr>
          <w:ilvl w:val="1"/>
          <w:numId w:val="4"/>
        </w:numPr>
        <w:tabs>
          <w:tab w:val="left" w:pos="946"/>
        </w:tabs>
        <w:spacing w:before="161" w:after="0" w:line="364" w:lineRule="auto"/>
        <w:ind w:left="103" w:right="343" w:firstLine="480"/>
        <w:jc w:val="left"/>
        <w:rPr>
          <w:sz w:val="24"/>
        </w:rPr>
      </w:pPr>
      <w:r>
        <w:rPr>
          <w:sz w:val="24"/>
        </w:rPr>
        <w:t>、甲方应及时按合同要求给乙方拨付工程款、组织工程竣工验收并按合同规定办理竣工结算。</w:t>
      </w:r>
    </w:p>
    <w:p w14:paraId="5CD88472">
      <w:pPr>
        <w:pStyle w:val="9"/>
        <w:numPr>
          <w:ilvl w:val="1"/>
          <w:numId w:val="4"/>
        </w:numPr>
        <w:tabs>
          <w:tab w:val="left" w:pos="945"/>
        </w:tabs>
        <w:spacing w:before="1" w:after="0" w:line="240" w:lineRule="auto"/>
        <w:ind w:left="944" w:right="0" w:hanging="361"/>
        <w:jc w:val="left"/>
        <w:rPr>
          <w:sz w:val="24"/>
        </w:rPr>
      </w:pPr>
      <w:r>
        <w:rPr>
          <w:sz w:val="24"/>
        </w:rPr>
        <w:t>、进场材料及施工成品、半成品达不到标准要求的，甲方有权责令乙方调换。</w:t>
      </w:r>
    </w:p>
    <w:p w14:paraId="464310E9">
      <w:pPr>
        <w:pStyle w:val="5"/>
        <w:spacing w:before="161"/>
        <w:ind w:left="583"/>
      </w:pPr>
      <w:bookmarkStart w:id="32" w:name="2、 乙方责任与义务"/>
      <w:bookmarkEnd w:id="32"/>
      <w:r>
        <w:t>2、 乙方责任与义务</w:t>
      </w:r>
    </w:p>
    <w:p w14:paraId="14CA73B7">
      <w:pPr>
        <w:pStyle w:val="9"/>
        <w:numPr>
          <w:ilvl w:val="1"/>
          <w:numId w:val="5"/>
        </w:numPr>
        <w:tabs>
          <w:tab w:val="left" w:pos="946"/>
        </w:tabs>
        <w:spacing w:before="160" w:after="0" w:line="364" w:lineRule="auto"/>
        <w:ind w:left="103" w:right="343" w:firstLine="480"/>
        <w:jc w:val="both"/>
        <w:rPr>
          <w:sz w:val="24"/>
        </w:rPr>
      </w:pPr>
      <w:r>
        <w:rPr>
          <w:sz w:val="24"/>
        </w:rPr>
        <w:t>、遵守法律、法规和规章，乙方应在其负责的各项工作中遵守与本合同工程有关</w:t>
      </w:r>
      <w:r>
        <w:rPr>
          <w:spacing w:val="-7"/>
          <w:sz w:val="24"/>
        </w:rPr>
        <w:t>的法律、法规和规章，并保证甲方免于承担由于乙方违反上述法律、法规和规章的任何责任。</w:t>
      </w:r>
    </w:p>
    <w:p w14:paraId="09793BB2">
      <w:pPr>
        <w:pStyle w:val="9"/>
        <w:numPr>
          <w:ilvl w:val="1"/>
          <w:numId w:val="5"/>
        </w:numPr>
        <w:tabs>
          <w:tab w:val="left" w:pos="946"/>
        </w:tabs>
        <w:spacing w:before="2" w:after="0" w:line="364" w:lineRule="auto"/>
        <w:ind w:left="103" w:right="340" w:firstLine="480"/>
        <w:jc w:val="both"/>
        <w:rPr>
          <w:sz w:val="24"/>
        </w:rPr>
      </w:pPr>
      <w:r>
        <w:rPr>
          <w:sz w:val="24"/>
        </w:rPr>
        <w:t xml:space="preserve">、乙方委派 </w:t>
      </w:r>
      <w:r>
        <w:rPr>
          <w:rFonts w:hint="eastAsia"/>
          <w:sz w:val="24"/>
          <w:u w:val="single"/>
        </w:rPr>
        <w:t>王璐</w:t>
      </w:r>
      <w:r>
        <w:rPr>
          <w:sz w:val="24"/>
        </w:rPr>
        <w:t>为现场代表，电话</w:t>
      </w:r>
      <w:r>
        <w:rPr>
          <w:sz w:val="24"/>
          <w:u w:val="single"/>
        </w:rPr>
        <w:t xml:space="preserve"> 137 0388 5579</w:t>
      </w:r>
      <w:r>
        <w:rPr>
          <w:sz w:val="24"/>
        </w:rPr>
        <w:t xml:space="preserve"> 并须持有与工程项目相适应</w:t>
      </w:r>
      <w:r>
        <w:rPr>
          <w:spacing w:val="-6"/>
          <w:sz w:val="24"/>
        </w:rPr>
        <w:t>的资格证书，负责施工期间的施工质量、安全问题，协调工作中发生的有关事宜。如现场代表变更则需经甲方同意。</w:t>
      </w:r>
    </w:p>
    <w:p w14:paraId="5DB47BAA">
      <w:pPr>
        <w:pStyle w:val="9"/>
        <w:numPr>
          <w:ilvl w:val="1"/>
          <w:numId w:val="5"/>
        </w:numPr>
        <w:tabs>
          <w:tab w:val="left" w:pos="946"/>
        </w:tabs>
        <w:spacing w:before="2" w:after="0" w:line="364" w:lineRule="auto"/>
        <w:ind w:left="103" w:right="343" w:firstLine="480"/>
        <w:jc w:val="left"/>
        <w:rPr>
          <w:sz w:val="24"/>
        </w:rPr>
      </w:pPr>
      <w:r>
        <w:rPr>
          <w:sz w:val="24"/>
        </w:rPr>
        <w:t>、乙方应服从甲方和监理单位的管理，密切配合总包单位施工，遵守工地的有关规定；严格实行工序开工前向监理报验制度。</w:t>
      </w:r>
    </w:p>
    <w:p w14:paraId="69E40128">
      <w:pPr>
        <w:pStyle w:val="9"/>
        <w:numPr>
          <w:ilvl w:val="1"/>
          <w:numId w:val="5"/>
        </w:numPr>
        <w:tabs>
          <w:tab w:val="left" w:pos="945"/>
        </w:tabs>
        <w:spacing w:before="1" w:after="0" w:line="240" w:lineRule="auto"/>
        <w:ind w:left="944" w:right="0" w:hanging="361"/>
        <w:jc w:val="left"/>
        <w:rPr>
          <w:sz w:val="24"/>
        </w:rPr>
      </w:pPr>
      <w:bookmarkStart w:id="33" w:name="2.4、本工程监理单位：中机十院国际工程有限公司 。"/>
      <w:bookmarkEnd w:id="33"/>
      <w:bookmarkStart w:id="34" w:name="2.4、本工程监理单位：中机十院国际工程有限公司 。"/>
      <w:bookmarkEnd w:id="34"/>
      <w:r>
        <w:rPr>
          <w:sz w:val="24"/>
        </w:rPr>
        <w:t>、本工程监理单位：</w:t>
      </w:r>
      <w:r>
        <w:rPr>
          <w:sz w:val="24"/>
          <w:u w:val="single"/>
        </w:rPr>
        <w:t>中机十院国际工程有限公司</w:t>
      </w:r>
      <w:r>
        <w:rPr>
          <w:spacing w:val="-1"/>
          <w:sz w:val="24"/>
        </w:rPr>
        <w:t xml:space="preserve"> 。</w:t>
      </w:r>
    </w:p>
    <w:p w14:paraId="55BC34F5">
      <w:pPr>
        <w:pStyle w:val="9"/>
        <w:numPr>
          <w:ilvl w:val="1"/>
          <w:numId w:val="5"/>
        </w:numPr>
        <w:tabs>
          <w:tab w:val="left" w:pos="945"/>
        </w:tabs>
        <w:spacing w:before="160" w:after="0" w:line="240" w:lineRule="auto"/>
        <w:ind w:left="944" w:right="0" w:hanging="361"/>
        <w:jc w:val="left"/>
        <w:rPr>
          <w:sz w:val="24"/>
        </w:rPr>
      </w:pPr>
      <w:r>
        <w:rPr>
          <w:sz w:val="24"/>
        </w:rPr>
        <w:t>、乙方不得将该工程转包或分包，否则甲方不支付乙方所发生的任何费用。</w:t>
      </w:r>
    </w:p>
    <w:p w14:paraId="4FEF3BE2">
      <w:pPr>
        <w:pStyle w:val="9"/>
        <w:numPr>
          <w:ilvl w:val="1"/>
          <w:numId w:val="5"/>
        </w:numPr>
        <w:tabs>
          <w:tab w:val="left" w:pos="946"/>
        </w:tabs>
        <w:spacing w:before="161" w:after="0" w:line="240" w:lineRule="auto"/>
        <w:ind w:left="103" w:right="0" w:firstLine="480"/>
        <w:jc w:val="left"/>
        <w:rPr>
          <w:sz w:val="24"/>
        </w:rPr>
      </w:pPr>
      <w:r>
        <w:rPr>
          <w:sz w:val="24"/>
        </w:rPr>
        <w:t>、按照施工安全规范的要求，采取相应的安全施工防护措施，对验收合格前的安</w:t>
      </w:r>
    </w:p>
    <w:p w14:paraId="297752F7">
      <w:pPr>
        <w:spacing w:after="0" w:line="240" w:lineRule="auto"/>
        <w:jc w:val="left"/>
        <w:rPr>
          <w:sz w:val="24"/>
        </w:rPr>
        <w:sectPr>
          <w:pgSz w:w="11910" w:h="16840"/>
          <w:pgMar w:top="1380" w:right="960" w:bottom="1240" w:left="1200" w:header="852" w:footer="1057" w:gutter="0"/>
          <w:cols w:space="720" w:num="1"/>
        </w:sectPr>
      </w:pPr>
    </w:p>
    <w:p w14:paraId="714B64CF">
      <w:pPr>
        <w:pStyle w:val="5"/>
        <w:spacing w:before="81" w:line="364" w:lineRule="auto"/>
        <w:ind w:right="343"/>
      </w:pPr>
      <w:r>
        <w:rPr>
          <w:spacing w:val="-6"/>
        </w:rPr>
        <w:t>全负全责，发生安全事故与甲方及总包单位无关，一切责任由乙方承担，甲方因此承担责任的，乙方应负责赔偿；做到文明施工，工完料清、场清；乙方做好半成品保护工作。</w:t>
      </w:r>
    </w:p>
    <w:p w14:paraId="7FFEC809">
      <w:pPr>
        <w:pStyle w:val="9"/>
        <w:numPr>
          <w:ilvl w:val="1"/>
          <w:numId w:val="5"/>
        </w:numPr>
        <w:tabs>
          <w:tab w:val="left" w:pos="945"/>
        </w:tabs>
        <w:spacing w:before="2" w:after="0" w:line="240" w:lineRule="auto"/>
        <w:ind w:left="944" w:right="0" w:hanging="361"/>
        <w:jc w:val="left"/>
        <w:rPr>
          <w:sz w:val="24"/>
        </w:rPr>
      </w:pPr>
      <w:bookmarkStart w:id="35" w:name="2.7、做好各项质量自检记录，参加竣工验收，编制工程结算。"/>
      <w:bookmarkEnd w:id="35"/>
      <w:bookmarkStart w:id="36" w:name="2.7、做好各项质量自检记录，参加竣工验收，编制工程结算。"/>
      <w:bookmarkEnd w:id="36"/>
      <w:r>
        <w:rPr>
          <w:sz w:val="24"/>
        </w:rPr>
        <w:t>、做好各项质量自检记录，参加竣工验收，编制工程结算。</w:t>
      </w:r>
    </w:p>
    <w:p w14:paraId="11A1D6FA">
      <w:pPr>
        <w:pStyle w:val="9"/>
        <w:numPr>
          <w:ilvl w:val="1"/>
          <w:numId w:val="5"/>
        </w:numPr>
        <w:tabs>
          <w:tab w:val="left" w:pos="946"/>
        </w:tabs>
        <w:spacing w:before="160" w:after="0" w:line="364" w:lineRule="auto"/>
        <w:ind w:left="103" w:right="343" w:firstLine="480"/>
        <w:jc w:val="left"/>
        <w:rPr>
          <w:sz w:val="24"/>
        </w:rPr>
      </w:pPr>
      <w:r>
        <w:rPr>
          <w:sz w:val="24"/>
        </w:rPr>
        <w:t>、遵守国家或地方政府及有关部门对施工现场管理规定；服从甲方的有关指令， 积极配合甲方进度安排。</w:t>
      </w:r>
    </w:p>
    <w:p w14:paraId="6DFF2DCD">
      <w:pPr>
        <w:pStyle w:val="9"/>
        <w:numPr>
          <w:ilvl w:val="1"/>
          <w:numId w:val="5"/>
        </w:numPr>
        <w:tabs>
          <w:tab w:val="left" w:pos="945"/>
        </w:tabs>
        <w:spacing w:before="1" w:after="0" w:line="240" w:lineRule="auto"/>
        <w:ind w:left="944" w:right="0" w:hanging="361"/>
        <w:jc w:val="left"/>
        <w:rPr>
          <w:sz w:val="24"/>
        </w:rPr>
      </w:pPr>
      <w:r>
        <w:rPr>
          <w:sz w:val="24"/>
        </w:rPr>
        <w:t>、依据规范要求，负责组织工程验收及检测，验收及检测费由乙方自理。</w:t>
      </w:r>
    </w:p>
    <w:p w14:paraId="2999970B">
      <w:pPr>
        <w:pStyle w:val="9"/>
        <w:numPr>
          <w:ilvl w:val="1"/>
          <w:numId w:val="5"/>
        </w:numPr>
        <w:tabs>
          <w:tab w:val="left" w:pos="1065"/>
        </w:tabs>
        <w:spacing w:before="161" w:after="0" w:line="240" w:lineRule="auto"/>
        <w:ind w:left="1064" w:right="0" w:hanging="481"/>
        <w:jc w:val="left"/>
        <w:rPr>
          <w:sz w:val="24"/>
        </w:rPr>
      </w:pPr>
      <w:r>
        <w:rPr>
          <w:sz w:val="24"/>
        </w:rPr>
        <w:t>、根据施工验收规范及甲方要求，及时向甲方和总包单位提供该分项技术资料。</w:t>
      </w:r>
    </w:p>
    <w:p w14:paraId="71D11085">
      <w:pPr>
        <w:pStyle w:val="9"/>
        <w:numPr>
          <w:ilvl w:val="1"/>
          <w:numId w:val="5"/>
        </w:numPr>
        <w:tabs>
          <w:tab w:val="left" w:pos="1065"/>
        </w:tabs>
        <w:spacing w:before="160" w:after="0" w:line="364" w:lineRule="auto"/>
        <w:ind w:left="103" w:right="223" w:firstLine="480"/>
        <w:jc w:val="left"/>
        <w:rPr>
          <w:sz w:val="24"/>
        </w:rPr>
      </w:pPr>
      <w:r>
        <w:rPr>
          <w:spacing w:val="-15"/>
          <w:sz w:val="24"/>
        </w:rPr>
        <w:t>、甲方告知水源电源接驳点，但是具体接驳工作及产生的水电费由乙方自行承担。</w:t>
      </w:r>
      <w:r>
        <w:rPr>
          <w:spacing w:val="-16"/>
          <w:sz w:val="24"/>
        </w:rPr>
        <w:t>乙方在施工中和质保期用水、用电分别装表计量，水费按相关部门收费标准、电费按施工</w:t>
      </w:r>
      <w:r>
        <w:rPr>
          <w:spacing w:val="-18"/>
          <w:sz w:val="24"/>
        </w:rPr>
        <w:t>现场实际电价收费加相应损耗直接向总包单位缴纳。质保期水电费在项目交付物业前，由甲方从质保金中扣除；交付物业后，乙方向物业公司缴纳。</w:t>
      </w:r>
    </w:p>
    <w:p w14:paraId="6A99C599">
      <w:pPr>
        <w:pStyle w:val="4"/>
        <w:spacing w:before="3"/>
      </w:pPr>
      <w:bookmarkStart w:id="37" w:name="十五、违约责任"/>
      <w:bookmarkEnd w:id="37"/>
      <w:r>
        <w:t>十五、违约责任</w:t>
      </w:r>
    </w:p>
    <w:p w14:paraId="7DC0C88B">
      <w:pPr>
        <w:pStyle w:val="5"/>
        <w:spacing w:before="160" w:line="364" w:lineRule="auto"/>
        <w:ind w:right="343" w:firstLine="480"/>
      </w:pPr>
      <w:r>
        <w:t>1、除不可抗力外，甲乙双方应严格遵守本合同的条款，否则，违约方须承担违约责任。</w:t>
      </w:r>
    </w:p>
    <w:p w14:paraId="3D770F97">
      <w:pPr>
        <w:pStyle w:val="5"/>
        <w:spacing w:line="364" w:lineRule="auto"/>
        <w:ind w:right="295" w:firstLine="480"/>
      </w:pPr>
      <w:r>
        <w:t>2</w:t>
      </w:r>
      <w:r>
        <w:rPr>
          <w:spacing w:val="-5"/>
        </w:rPr>
        <w:t xml:space="preserve">、若乙方未能按本合同约定供货、进场施工或完工的，视为乙方违约，每逾期一天， </w:t>
      </w:r>
      <w:r>
        <w:rPr>
          <w:spacing w:val="-35"/>
        </w:rPr>
        <w:t xml:space="preserve">按 </w:t>
      </w:r>
      <w:r>
        <w:t>2000</w:t>
      </w:r>
      <w:r>
        <w:rPr>
          <w:spacing w:val="-30"/>
        </w:rPr>
        <w:t xml:space="preserve"> 元</w:t>
      </w:r>
      <w:r>
        <w:t>/</w:t>
      </w:r>
      <w:r>
        <w:rPr>
          <w:spacing w:val="-5"/>
        </w:rPr>
        <w:t>天向甲方支付违约金，同时因制作及安装逾期引起的相关损失由乙方承担。</w:t>
      </w:r>
    </w:p>
    <w:p w14:paraId="5F95789E">
      <w:pPr>
        <w:pStyle w:val="5"/>
        <w:spacing w:before="2" w:line="364" w:lineRule="auto"/>
        <w:ind w:right="223" w:firstLine="480"/>
      </w:pPr>
      <w:r>
        <w:t>3</w:t>
      </w:r>
      <w:r>
        <w:rPr>
          <w:spacing w:val="-7"/>
        </w:rPr>
        <w:t xml:space="preserve">、乙方存在其他任何逾期违约行为但未达到甲方行使单方解除条件的，每逾期一日， </w:t>
      </w:r>
      <w:r>
        <w:rPr>
          <w:spacing w:val="-34"/>
        </w:rPr>
        <w:t xml:space="preserve">按 </w:t>
      </w:r>
      <w:r>
        <w:t>2000</w:t>
      </w:r>
      <w:r>
        <w:rPr>
          <w:spacing w:val="-30"/>
        </w:rPr>
        <w:t xml:space="preserve"> 元</w:t>
      </w:r>
      <w:r>
        <w:t>/日向甲方支付违约金。</w:t>
      </w:r>
    </w:p>
    <w:p w14:paraId="20EBC8BB">
      <w:pPr>
        <w:pStyle w:val="5"/>
        <w:spacing w:line="364" w:lineRule="auto"/>
        <w:ind w:right="282" w:firstLine="480"/>
      </w:pPr>
      <w:r>
        <w:t>4、乙方存在其他违约行为但未达到甲方行使单方解除条件的，每存在一项/次违约行为，乙方应按 2000 元/次（项）向甲方支付违约金。</w:t>
      </w:r>
    </w:p>
    <w:p w14:paraId="763E2B7F">
      <w:pPr>
        <w:pStyle w:val="5"/>
        <w:spacing w:line="364" w:lineRule="auto"/>
        <w:ind w:right="343" w:firstLine="480"/>
        <w:jc w:val="both"/>
      </w:pPr>
      <w:r>
        <w:t>5、乙方提供产品的品牌、规格、型号等与本合同约定不符的，视为乙方违约，甲方</w:t>
      </w:r>
      <w:r>
        <w:rPr>
          <w:spacing w:val="-8"/>
        </w:rPr>
        <w:t xml:space="preserve">有权拒绝验收。乙方应在 </w:t>
      </w:r>
      <w:r>
        <w:t>5</w:t>
      </w:r>
      <w:r>
        <w:rPr>
          <w:spacing w:val="-10"/>
        </w:rPr>
        <w:t xml:space="preserve"> 天内无偿更换，因此造成逾期交货的，按逾期交货条款承担违约责任。</w:t>
      </w:r>
    </w:p>
    <w:p w14:paraId="7DB87BE7">
      <w:pPr>
        <w:pStyle w:val="5"/>
        <w:spacing w:before="2" w:line="364" w:lineRule="auto"/>
        <w:ind w:right="223" w:firstLine="480"/>
      </w:pPr>
      <w:r>
        <w:t>6、乙方提供的产品质量、施工的工程质量、质保期服务质量未能达到本合同约定的</w:t>
      </w:r>
      <w:r>
        <w:rPr>
          <w:spacing w:val="-11"/>
        </w:rPr>
        <w:t xml:space="preserve">质量要求和验收标准的，或进度上不符合甲方要求的，视为乙方违约，甲方有权拒绝验收； </w:t>
      </w:r>
      <w:r>
        <w:rPr>
          <w:spacing w:val="-15"/>
        </w:rPr>
        <w:t>乙方应在甲方同意的期限内进行更换、维修、整改，因此造成逾期的，按逾期交货或逾期通过验收条款承担违约责任。</w:t>
      </w:r>
    </w:p>
    <w:p w14:paraId="5953E81C">
      <w:pPr>
        <w:pStyle w:val="5"/>
        <w:spacing w:before="2"/>
        <w:ind w:left="583"/>
      </w:pPr>
      <w:r>
        <w:t>7、乙方违约导致甲方解除合同的，乙方所有人员必须在 3 日内撤离施工现场，甲方</w:t>
      </w:r>
    </w:p>
    <w:p w14:paraId="44812A32">
      <w:pPr>
        <w:pStyle w:val="5"/>
        <w:spacing w:before="161"/>
      </w:pPr>
      <w:r>
        <w:t>已支付的预付款（如有）需在 3 日内退还至至甲方，由此造成的所有损失均由乙方负责。</w:t>
      </w:r>
    </w:p>
    <w:p w14:paraId="6A94B7E8">
      <w:pPr>
        <w:pStyle w:val="5"/>
        <w:spacing w:before="160"/>
        <w:ind w:left="583"/>
      </w:pPr>
      <w:r>
        <w:t>8、甲方对施工过程中的工程质量问题实行零容忍，若乙方采购的材料设备不符合合</w:t>
      </w:r>
    </w:p>
    <w:p w14:paraId="6F205799">
      <w:pPr>
        <w:spacing w:after="0"/>
        <w:sectPr>
          <w:footerReference r:id="rId7" w:type="default"/>
          <w:pgSz w:w="11910" w:h="16840"/>
          <w:pgMar w:top="1380" w:right="960" w:bottom="1240" w:left="1200" w:header="852" w:footer="1057" w:gutter="0"/>
          <w:pgNumType w:start="10"/>
          <w:cols w:space="720" w:num="1"/>
        </w:sectPr>
      </w:pPr>
    </w:p>
    <w:p w14:paraId="6A14FF4C">
      <w:pPr>
        <w:pStyle w:val="5"/>
        <w:spacing w:before="81"/>
      </w:pPr>
      <w:r>
        <w:t>同约定的品牌、厂家、产地、材质、工艺、规格、型号等标准或者存在</w:t>
      </w:r>
      <w:r>
        <w:rPr>
          <w:rFonts w:ascii="Times New Roman" w:hAnsi="Times New Roman" w:eastAsia="Times New Roman"/>
        </w:rPr>
        <w:t>“</w:t>
      </w:r>
      <w:r>
        <w:t>假冒伪劣</w:t>
      </w:r>
      <w:r>
        <w:rPr>
          <w:rFonts w:ascii="Times New Roman" w:hAnsi="Times New Roman" w:eastAsia="Times New Roman"/>
        </w:rPr>
        <w:t>”</w:t>
      </w:r>
      <w:r>
        <w:t>等情形</w:t>
      </w:r>
    </w:p>
    <w:p w14:paraId="40CDBF48">
      <w:pPr>
        <w:pStyle w:val="5"/>
        <w:spacing w:before="161" w:line="364" w:lineRule="auto"/>
        <w:ind w:right="343"/>
        <w:jc w:val="both"/>
        <w:rPr>
          <w:del w:id="14" w:author="大圆子" w:date="2025-08-15T14:26:07Z"/>
        </w:rPr>
      </w:pPr>
      <w:r>
        <w:t>（</w:t>
      </w:r>
      <w:r>
        <w:rPr>
          <w:spacing w:val="-2"/>
        </w:rPr>
        <w:t>包含提供虚假或者过期无效的合格证、检测报告等情形</w:t>
      </w:r>
      <w:r>
        <w:rPr>
          <w:spacing w:val="-22"/>
        </w:rPr>
        <w:t>），</w:t>
      </w:r>
      <w:r>
        <w:t>则甲方有权要求乙方将该部</w:t>
      </w:r>
      <w:r>
        <w:rPr>
          <w:spacing w:val="-4"/>
        </w:rPr>
        <w:t>分材料设备清退出场，对已施工使用的材料设备，有权要求乙方全部拆除并重新施工，直</w:t>
      </w:r>
      <w:r>
        <w:rPr>
          <w:spacing w:val="-8"/>
        </w:rPr>
        <w:t>至符合合同约定的各项质量标准，工期不予顺延，由此导致乙方工期及材料费用等损失由</w:t>
      </w:r>
      <w:r>
        <w:rPr>
          <w:spacing w:val="-10"/>
        </w:rPr>
        <w:t>乙方自行承担，同时甲方还有权根据本合同相关条款追究乙方的违约责任，并向乙方主张</w:t>
      </w:r>
      <w:r>
        <w:rPr>
          <w:spacing w:val="-14"/>
        </w:rPr>
        <w:t>包括但不限于因索赔产生的诉讼费、保全费、保全担保费、律师费等损失。为保障建设工</w:t>
      </w:r>
      <w:r>
        <w:rPr>
          <w:spacing w:val="-11"/>
        </w:rPr>
        <w:t>程品质、强化施工质量，无论工程是否已经验收合格，无论甲方是否未经验收即已投入使</w:t>
      </w:r>
      <w:r>
        <w:rPr>
          <w:spacing w:val="-9"/>
        </w:rPr>
        <w:t>用，乙方均承诺：不论何时，只要甲方发现乙方施工的工程存在前述约定的情形，乙方除</w:t>
      </w:r>
      <w:r>
        <w:rPr>
          <w:spacing w:val="-15"/>
        </w:rPr>
        <w:t xml:space="preserve">按照本条款承担相应责任外，还应当按照该部分材料设备对应的合同价款的 </w:t>
      </w:r>
      <w:r>
        <w:rPr>
          <w:rFonts w:ascii="Times New Roman" w:eastAsia="Times New Roman"/>
        </w:rPr>
        <w:t xml:space="preserve">5 </w:t>
      </w:r>
      <w:r>
        <w:t>倍金额另行</w:t>
      </w:r>
    </w:p>
    <w:p w14:paraId="40CDBF48">
      <w:pPr>
        <w:pStyle w:val="5"/>
        <w:spacing w:before="161" w:line="364" w:lineRule="auto"/>
        <w:ind w:right="343"/>
        <w:jc w:val="both"/>
      </w:pPr>
      <w:r>
        <w:t xml:space="preserve">向甲方支付惩罚性赔偿（该惩罚性赔偿不足 </w:t>
      </w:r>
      <w:r>
        <w:rPr>
          <w:rFonts w:ascii="Times New Roman" w:eastAsia="Times New Roman"/>
        </w:rPr>
        <w:t xml:space="preserve">50000 </w:t>
      </w:r>
      <w:r>
        <w:t xml:space="preserve">元的，按 </w:t>
      </w:r>
      <w:r>
        <w:rPr>
          <w:rFonts w:ascii="Times New Roman" w:eastAsia="Times New Roman"/>
        </w:rPr>
        <w:t xml:space="preserve">50000 </w:t>
      </w:r>
      <w:r>
        <w:t>元计）。</w:t>
      </w:r>
    </w:p>
    <w:p w14:paraId="2541B8CF">
      <w:pPr>
        <w:pStyle w:val="5"/>
        <w:spacing w:before="160" w:line="364" w:lineRule="auto"/>
        <w:ind w:right="343" w:firstLine="480"/>
      </w:pPr>
      <w:r>
        <w:t>9、乙方应向甲方支付的违约金，甲方有权直接在甲方应付未付款中扣除，违约金不足以弥补甲方损失的，甲方可继续向乙方追偿。</w:t>
      </w:r>
    </w:p>
    <w:p w14:paraId="7C82C77C">
      <w:pPr>
        <w:pStyle w:val="5"/>
        <w:spacing w:line="364" w:lineRule="auto"/>
        <w:ind w:right="223" w:firstLine="480"/>
        <w:jc w:val="both"/>
      </w:pPr>
      <w:r>
        <w:t>10、合同约定应由乙方完成的工作内容（包括但不限于：承包范围内标识标牌工程、</w:t>
      </w:r>
      <w:r>
        <w:rPr>
          <w:spacing w:val="-8"/>
        </w:rPr>
        <w:t>设计变更、现场签证等</w:t>
      </w:r>
      <w:r>
        <w:rPr>
          <w:spacing w:val="-62"/>
        </w:rPr>
        <w:t>）</w:t>
      </w:r>
      <w:r>
        <w:rPr>
          <w:spacing w:val="-8"/>
        </w:rPr>
        <w:t xml:space="preserve">，如乙方拒绝施工或不能按合同要求的工期或质量标准完成施工， </w:t>
      </w:r>
      <w:r>
        <w:rPr>
          <w:spacing w:val="-11"/>
        </w:rPr>
        <w:t xml:space="preserve">甲方可安排第三方实施，并按照另行委托造价的 </w:t>
      </w:r>
      <w:r>
        <w:t>1.3</w:t>
      </w:r>
      <w:r>
        <w:rPr>
          <w:spacing w:val="-8"/>
        </w:rPr>
        <w:t xml:space="preserve"> 倍从乙方下一次的付款节点中扣除， 且影响工期的责任由乙方负责。</w:t>
      </w:r>
    </w:p>
    <w:p w14:paraId="353C70E4">
      <w:pPr>
        <w:pStyle w:val="4"/>
        <w:spacing w:before="3"/>
      </w:pPr>
      <w:bookmarkStart w:id="38" w:name="十六、不可抗力"/>
      <w:bookmarkEnd w:id="38"/>
      <w:r>
        <w:t>十六、不可抗力</w:t>
      </w:r>
    </w:p>
    <w:p w14:paraId="4617ACA9">
      <w:pPr>
        <w:pStyle w:val="5"/>
        <w:spacing w:before="160" w:line="364" w:lineRule="auto"/>
        <w:ind w:right="160" w:firstLine="480"/>
      </w:pPr>
      <w:r>
        <w:t>1、不可抗力指因战争、动乱、瘟疫、空中飞行物坠落或其他非双方责任造成的爆炸、</w:t>
      </w:r>
      <w:r>
        <w:rPr>
          <w:spacing w:val="-12"/>
        </w:rPr>
        <w:t xml:space="preserve">火灾以及 </w:t>
      </w:r>
      <w:r>
        <w:t>9</w:t>
      </w:r>
      <w:r>
        <w:rPr>
          <w:spacing w:val="-8"/>
        </w:rPr>
        <w:t xml:space="preserve"> 级以上的台风、</w:t>
      </w:r>
      <w:r>
        <w:t>7</w:t>
      </w:r>
      <w:r>
        <w:rPr>
          <w:spacing w:val="-30"/>
        </w:rPr>
        <w:t xml:space="preserve"> 级及 </w:t>
      </w:r>
      <w:r>
        <w:t>7</w:t>
      </w:r>
      <w:r>
        <w:rPr>
          <w:spacing w:val="-8"/>
        </w:rPr>
        <w:t xml:space="preserve"> 级以上的地震等。</w:t>
      </w:r>
      <w:r>
        <w:t>（行业主管部门的公告为准）。</w:t>
      </w:r>
    </w:p>
    <w:p w14:paraId="2FFBDA83">
      <w:pPr>
        <w:pStyle w:val="5"/>
        <w:spacing w:before="161"/>
        <w:ind w:left="583"/>
      </w:pPr>
      <w:r>
        <w:t>2、不可抗力发生后，乙方应迅速采取措施，尽力减少损失，并在 24 小时内向甲方通</w:t>
      </w:r>
    </w:p>
    <w:p w14:paraId="2D78B3CE">
      <w:pPr>
        <w:pStyle w:val="5"/>
        <w:spacing w:before="160" w:line="364" w:lineRule="auto"/>
        <w:ind w:right="280"/>
      </w:pPr>
      <w:r>
        <w:t>报受害情况，在事件发生后 10 日内向甲方报告损失情况和清理、修复的费用；因乙方未及时采取补救措施或采取不当措施造成的扩大损失由乙方承担。</w:t>
      </w:r>
    </w:p>
    <w:p w14:paraId="0A8EBB80">
      <w:pPr>
        <w:pStyle w:val="5"/>
        <w:spacing w:before="2"/>
        <w:ind w:left="583"/>
      </w:pPr>
      <w:bookmarkStart w:id="39" w:name="3、费用承担："/>
      <w:bookmarkEnd w:id="39"/>
      <w:r>
        <w:t>3、费用承担：</w:t>
      </w:r>
    </w:p>
    <w:p w14:paraId="35260EF6">
      <w:pPr>
        <w:pStyle w:val="9"/>
        <w:numPr>
          <w:ilvl w:val="1"/>
          <w:numId w:val="6"/>
        </w:numPr>
        <w:tabs>
          <w:tab w:val="left" w:pos="945"/>
        </w:tabs>
        <w:spacing w:before="160" w:after="0" w:line="240" w:lineRule="auto"/>
        <w:ind w:left="103" w:right="0" w:firstLine="480"/>
        <w:jc w:val="left"/>
        <w:rPr>
          <w:sz w:val="24"/>
        </w:rPr>
      </w:pPr>
      <w:r>
        <w:rPr>
          <w:sz w:val="24"/>
        </w:rPr>
        <w:t>、人员伤亡由所属单位负责，并承担相应费用；</w:t>
      </w:r>
    </w:p>
    <w:p w14:paraId="2654234D">
      <w:pPr>
        <w:pStyle w:val="9"/>
        <w:numPr>
          <w:ilvl w:val="1"/>
          <w:numId w:val="6"/>
        </w:numPr>
        <w:tabs>
          <w:tab w:val="left" w:pos="945"/>
        </w:tabs>
        <w:spacing w:before="161" w:after="0" w:line="240" w:lineRule="auto"/>
        <w:ind w:left="103" w:right="0" w:firstLine="480"/>
        <w:jc w:val="left"/>
        <w:rPr>
          <w:sz w:val="24"/>
        </w:rPr>
      </w:pPr>
      <w:r>
        <w:rPr>
          <w:sz w:val="24"/>
        </w:rPr>
        <w:t>、造成乙方工程设备、机械的损失等损失由乙方承担；</w:t>
      </w:r>
    </w:p>
    <w:p w14:paraId="35BE23A6">
      <w:pPr>
        <w:pStyle w:val="9"/>
        <w:numPr>
          <w:ilvl w:val="1"/>
          <w:numId w:val="6"/>
        </w:numPr>
        <w:tabs>
          <w:tab w:val="left" w:pos="945"/>
        </w:tabs>
        <w:spacing w:before="160" w:after="0" w:line="364" w:lineRule="auto"/>
        <w:ind w:left="103" w:right="2560" w:firstLine="480"/>
        <w:jc w:val="left"/>
        <w:rPr>
          <w:b/>
          <w:sz w:val="24"/>
        </w:rPr>
      </w:pPr>
      <w:r>
        <w:rPr>
          <w:sz w:val="24"/>
        </w:rPr>
        <w:t>、所需清理修复工作的责任与费用的承担，双方另行商定。</w:t>
      </w:r>
      <w:bookmarkStart w:id="40" w:name="十七、送达条款"/>
      <w:bookmarkEnd w:id="40"/>
      <w:r>
        <w:rPr>
          <w:b/>
          <w:sz w:val="24"/>
        </w:rPr>
        <w:t>十七、送达条款</w:t>
      </w:r>
    </w:p>
    <w:p w14:paraId="2F1ACCF0">
      <w:pPr>
        <w:pStyle w:val="5"/>
        <w:ind w:left="583"/>
      </w:pPr>
      <w:r>
        <w:t>甲乙双方明确送达信息如下：</w:t>
      </w:r>
    </w:p>
    <w:p w14:paraId="44AA632E">
      <w:pPr>
        <w:pStyle w:val="5"/>
        <w:spacing w:before="161"/>
        <w:ind w:left="583"/>
      </w:pPr>
      <w:bookmarkStart w:id="41" w:name="1、甲方确认的送达信息为：送达地址：洛阳市洛龙区关林路8号中浩德控股集团有限公司"/>
      <w:bookmarkEnd w:id="41"/>
      <w:r>
        <w:t>1、甲方确认的送达信息为：送达地址：</w:t>
      </w:r>
      <w:r>
        <w:rPr>
          <w:u w:val="single"/>
        </w:rPr>
        <w:t>洛阳市洛龙区关林路 8 号中浩德控股集团有</w:t>
      </w:r>
    </w:p>
    <w:p w14:paraId="5E6BE234">
      <w:pPr>
        <w:spacing w:after="0"/>
        <w:sectPr>
          <w:pgSz w:w="11910" w:h="16840"/>
          <w:pgMar w:top="1380" w:right="960" w:bottom="1240" w:left="1200" w:header="852" w:footer="1057" w:gutter="0"/>
          <w:cols w:space="720" w:num="1"/>
        </w:sectPr>
      </w:pPr>
    </w:p>
    <w:p w14:paraId="14BF59B3">
      <w:pPr>
        <w:pStyle w:val="5"/>
        <w:spacing w:before="161"/>
        <w:ind w:left="0"/>
        <w:rPr>
          <w:u w:val="single"/>
        </w:rPr>
      </w:pPr>
      <w:r>
        <w:rPr>
          <w:u w:val="single"/>
        </w:rPr>
        <w:t>限公司 1 楼，联系人： 陈卓 ；联系手机 ：18611572097 。</w:t>
      </w:r>
    </w:p>
    <w:p w14:paraId="40E3A611">
      <w:pPr>
        <w:pStyle w:val="5"/>
        <w:numPr>
          <w:ilvl w:val="0"/>
          <w:numId w:val="7"/>
        </w:numPr>
        <w:spacing w:before="161"/>
        <w:ind w:left="583"/>
        <w:rPr>
          <w:ins w:id="15" w:author="大圆子" w:date="2025-08-15T14:34:21Z"/>
          <w:rFonts w:hint="eastAsia"/>
          <w:u w:val="single"/>
        </w:rPr>
      </w:pPr>
      <w:bookmarkStart w:id="42" w:name="2、乙方确认的送达信息为：送达地址： 郑州市金水区北三环瀚海北金B座18013。"/>
      <w:bookmarkEnd w:id="42"/>
      <w:r>
        <w:t>乙方确认的送达信息为</w:t>
      </w:r>
      <w:r>
        <w:rPr>
          <w:rFonts w:hint="eastAsia"/>
        </w:rPr>
        <w:t>送达地址：</w:t>
      </w:r>
      <w:r>
        <w:rPr>
          <w:rFonts w:hint="eastAsia"/>
          <w:u w:val="single"/>
        </w:rPr>
        <w:t xml:space="preserve">洛阳市西工区上阳路16号2幢1-2503 </w:t>
      </w:r>
    </w:p>
    <w:p w14:paraId="7EABFFA1">
      <w:pPr>
        <w:pStyle w:val="5"/>
        <w:numPr>
          <w:ilvl w:val="-1"/>
          <w:numId w:val="0"/>
        </w:numPr>
        <w:spacing w:before="161"/>
        <w:ind w:left="0" w:firstLine="480" w:firstLineChars="200"/>
        <w:rPr>
          <w:u w:val="single"/>
        </w:rPr>
      </w:pPr>
      <w:r>
        <w:rPr>
          <w:rFonts w:hint="eastAsia"/>
          <w:u w:val="single"/>
        </w:rPr>
        <w:t>联系人及联系方式：王璐</w:t>
      </w:r>
      <w:r>
        <w:rPr>
          <w:u w:val="single"/>
        </w:rPr>
        <w:tab/>
      </w:r>
      <w:r>
        <w:rPr>
          <w:u w:val="single"/>
        </w:rPr>
        <w:t>137 0388 5579。</w:t>
      </w:r>
      <w:bookmarkStart w:id="59" w:name="_GoBack"/>
      <w:bookmarkEnd w:id="59"/>
    </w:p>
    <w:p w14:paraId="0D6272FF">
      <w:pPr>
        <w:pStyle w:val="5"/>
        <w:spacing w:before="161" w:line="360" w:lineRule="auto"/>
        <w:ind w:left="0" w:firstLine="480" w:firstLineChars="200"/>
        <w:rPr>
          <w:spacing w:val="-1"/>
        </w:rPr>
      </w:pPr>
      <w:r>
        <w:t>3、</w:t>
      </w:r>
      <w:r>
        <w:rPr>
          <w:spacing w:val="-1"/>
        </w:rPr>
        <w:t>双方在此共同确认，上述送达信息将作为双方在合同项下邮寄往来通知、函件、等任何文件资料及法院送达法律文书的唯一有效送达地址及联系信息。任何一方变更送达 信息，应当提前十日书面通知对方，否则视为未变更。任何一方按照上述送达信息向对方 邮寄任何文件资料，自邮件发出后的第三日视为已经有效送达对方并产生相应的法律后果， 不论该邮件是否已经由对方实际签收。</w:t>
      </w:r>
    </w:p>
    <w:p w14:paraId="0411D391">
      <w:pPr>
        <w:pStyle w:val="4"/>
        <w:spacing w:before="51"/>
      </w:pPr>
      <w:bookmarkStart w:id="43" w:name="十八、合同解约条款"/>
      <w:bookmarkEnd w:id="43"/>
      <w:r>
        <w:t>十八、合同解约条款</w:t>
      </w:r>
    </w:p>
    <w:p w14:paraId="2CA51C63">
      <w:pPr>
        <w:pStyle w:val="5"/>
        <w:spacing w:before="105" w:line="364" w:lineRule="auto"/>
        <w:ind w:right="343" w:firstLine="480"/>
        <w:jc w:val="both"/>
      </w:pPr>
      <w:r>
        <w:rPr>
          <w:spacing w:val="2"/>
        </w:rPr>
        <w:t>1</w:t>
      </w:r>
      <w:r>
        <w:rPr>
          <w:spacing w:val="-1"/>
        </w:rPr>
        <w:t xml:space="preserve">、乙方存在如下任一情况的，甲方有权要求乙方按照合同总价的 </w:t>
      </w:r>
      <w:r>
        <w:t xml:space="preserve">20%支付违约金， </w:t>
      </w:r>
      <w:r>
        <w:rPr>
          <w:spacing w:val="-5"/>
        </w:rPr>
        <w:t>且有权解除本合同，解除通知到达乙方之日生效，该违约金不足以弥补甲方损失，乙方还应继续承担赔偿责任。</w:t>
      </w:r>
    </w:p>
    <w:p w14:paraId="2C9EBFAB">
      <w:pPr>
        <w:pStyle w:val="9"/>
        <w:numPr>
          <w:ilvl w:val="1"/>
          <w:numId w:val="8"/>
        </w:numPr>
        <w:tabs>
          <w:tab w:val="left" w:pos="945"/>
        </w:tabs>
        <w:spacing w:before="2" w:after="0" w:line="240" w:lineRule="auto"/>
        <w:ind w:left="103" w:right="0" w:firstLine="480"/>
        <w:jc w:val="left"/>
        <w:rPr>
          <w:sz w:val="24"/>
        </w:rPr>
      </w:pPr>
      <w:bookmarkStart w:id="44" w:name="1.1、本工程不能通过验收的；"/>
      <w:bookmarkEnd w:id="44"/>
      <w:bookmarkStart w:id="45" w:name="1.1、本工程不能通过验收的；"/>
      <w:bookmarkEnd w:id="45"/>
      <w:r>
        <w:rPr>
          <w:sz w:val="24"/>
        </w:rPr>
        <w:t>、本工程不能通过验收的；</w:t>
      </w:r>
    </w:p>
    <w:p w14:paraId="1347CEF5">
      <w:pPr>
        <w:pStyle w:val="9"/>
        <w:numPr>
          <w:ilvl w:val="1"/>
          <w:numId w:val="8"/>
        </w:numPr>
        <w:tabs>
          <w:tab w:val="left" w:pos="945"/>
        </w:tabs>
        <w:spacing w:before="161" w:after="0" w:line="364" w:lineRule="auto"/>
        <w:ind w:left="103" w:right="343" w:firstLine="480"/>
        <w:jc w:val="left"/>
        <w:rPr>
          <w:sz w:val="24"/>
        </w:rPr>
      </w:pPr>
      <w:r>
        <w:rPr>
          <w:spacing w:val="-6"/>
          <w:sz w:val="24"/>
        </w:rPr>
        <w:t>、乙方未能按时供货</w:t>
      </w:r>
      <w:r>
        <w:rPr>
          <w:sz w:val="24"/>
        </w:rPr>
        <w:t>/</w:t>
      </w:r>
      <w:r>
        <w:rPr>
          <w:spacing w:val="-9"/>
          <w:sz w:val="24"/>
        </w:rPr>
        <w:t xml:space="preserve">进场安装的，在甲方发出书面通知后的 </w:t>
      </w:r>
      <w:r>
        <w:rPr>
          <w:sz w:val="24"/>
        </w:rPr>
        <w:t>7</w:t>
      </w:r>
      <w:r>
        <w:rPr>
          <w:spacing w:val="-8"/>
          <w:sz w:val="24"/>
        </w:rPr>
        <w:t xml:space="preserve"> 日内仍未供货或进场施工的；</w:t>
      </w:r>
    </w:p>
    <w:p w14:paraId="3A3C13B0">
      <w:pPr>
        <w:pStyle w:val="9"/>
        <w:numPr>
          <w:ilvl w:val="1"/>
          <w:numId w:val="8"/>
        </w:numPr>
        <w:tabs>
          <w:tab w:val="left" w:pos="953"/>
        </w:tabs>
        <w:spacing w:before="1" w:after="0" w:line="240" w:lineRule="auto"/>
        <w:ind w:left="952" w:right="0" w:hanging="369"/>
        <w:jc w:val="left"/>
        <w:rPr>
          <w:sz w:val="24"/>
        </w:rPr>
      </w:pPr>
      <w:r>
        <w:rPr>
          <w:spacing w:val="2"/>
          <w:sz w:val="24"/>
        </w:rPr>
        <w:t xml:space="preserve">、乙方在施工过程中非因不可抗力或甲方原因造成连续停工 </w:t>
      </w:r>
      <w:r>
        <w:rPr>
          <w:sz w:val="24"/>
        </w:rPr>
        <w:t>5</w:t>
      </w:r>
      <w:r>
        <w:rPr>
          <w:spacing w:val="-2"/>
          <w:sz w:val="24"/>
        </w:rPr>
        <w:t xml:space="preserve"> 日以上或累计达</w:t>
      </w:r>
    </w:p>
    <w:p w14:paraId="29A288D0">
      <w:pPr>
        <w:pStyle w:val="5"/>
        <w:spacing w:before="160"/>
      </w:pPr>
      <w:r>
        <w:t>7 日的；</w:t>
      </w:r>
    </w:p>
    <w:p w14:paraId="25035019">
      <w:pPr>
        <w:pStyle w:val="9"/>
        <w:numPr>
          <w:ilvl w:val="1"/>
          <w:numId w:val="8"/>
        </w:numPr>
        <w:tabs>
          <w:tab w:val="left" w:pos="1004"/>
        </w:tabs>
        <w:spacing w:before="161" w:after="0" w:line="364" w:lineRule="auto"/>
        <w:ind w:left="103" w:right="343" w:firstLine="480"/>
        <w:jc w:val="left"/>
        <w:rPr>
          <w:sz w:val="24"/>
        </w:rPr>
      </w:pPr>
      <w:r>
        <w:rPr>
          <w:spacing w:val="-1"/>
          <w:sz w:val="24"/>
        </w:rPr>
        <w:t>乙方逾期竣工、向甲方提交竣工结算书及完整的竣工结算资料、核对工程价款或</w:t>
      </w:r>
      <w:r>
        <w:rPr>
          <w:spacing w:val="-9"/>
          <w:sz w:val="24"/>
        </w:rPr>
        <w:t xml:space="preserve">其他逾期行为达 </w:t>
      </w:r>
      <w:r>
        <w:rPr>
          <w:sz w:val="24"/>
        </w:rPr>
        <w:t>7</w:t>
      </w:r>
      <w:r>
        <w:rPr>
          <w:spacing w:val="-9"/>
          <w:sz w:val="24"/>
        </w:rPr>
        <w:t xml:space="preserve"> 日及以上的；</w:t>
      </w:r>
    </w:p>
    <w:p w14:paraId="5E90995F">
      <w:pPr>
        <w:pStyle w:val="9"/>
        <w:numPr>
          <w:ilvl w:val="1"/>
          <w:numId w:val="8"/>
        </w:numPr>
        <w:tabs>
          <w:tab w:val="left" w:pos="946"/>
        </w:tabs>
        <w:spacing w:before="1" w:after="0" w:line="364" w:lineRule="auto"/>
        <w:ind w:left="103" w:right="343" w:firstLine="480"/>
        <w:jc w:val="left"/>
        <w:rPr>
          <w:sz w:val="24"/>
        </w:rPr>
      </w:pPr>
      <w:r>
        <w:rPr>
          <w:sz w:val="24"/>
        </w:rPr>
        <w:t>、乙方人员在施工区内出现打架斗殴行为至警察出警、立案、相关行为人接收行政处罚或刑事处罚的；</w:t>
      </w:r>
    </w:p>
    <w:p w14:paraId="0552BD5A">
      <w:pPr>
        <w:pStyle w:val="9"/>
        <w:numPr>
          <w:ilvl w:val="1"/>
          <w:numId w:val="8"/>
        </w:numPr>
        <w:tabs>
          <w:tab w:val="left" w:pos="945"/>
        </w:tabs>
        <w:spacing w:before="1" w:after="0" w:line="240" w:lineRule="auto"/>
        <w:ind w:left="103" w:right="0" w:firstLine="480"/>
        <w:jc w:val="left"/>
        <w:rPr>
          <w:sz w:val="24"/>
        </w:rPr>
      </w:pPr>
      <w:bookmarkStart w:id="46" w:name="1.6、乙方擅自把工程分包或转包给其他任何单位的；"/>
      <w:bookmarkEnd w:id="46"/>
      <w:bookmarkStart w:id="47" w:name="1.6、乙方擅自把工程分包或转包给其他任何单位的；"/>
      <w:bookmarkEnd w:id="47"/>
      <w:r>
        <w:rPr>
          <w:sz w:val="24"/>
        </w:rPr>
        <w:t>、乙方擅自把工程分包或转包给其他任何单位的；</w:t>
      </w:r>
    </w:p>
    <w:p w14:paraId="102EA5B0">
      <w:pPr>
        <w:pStyle w:val="9"/>
        <w:numPr>
          <w:ilvl w:val="1"/>
          <w:numId w:val="8"/>
        </w:numPr>
        <w:tabs>
          <w:tab w:val="left" w:pos="945"/>
        </w:tabs>
        <w:spacing w:before="161" w:after="0" w:line="240" w:lineRule="auto"/>
        <w:ind w:left="103" w:right="0" w:firstLine="480"/>
        <w:jc w:val="left"/>
        <w:rPr>
          <w:sz w:val="24"/>
        </w:rPr>
      </w:pPr>
      <w:r>
        <w:rPr>
          <w:sz w:val="24"/>
        </w:rPr>
        <w:t>、乙方与甲方方工作人员串通、虚构事实或使用其他方式虚报工程量的；</w:t>
      </w:r>
    </w:p>
    <w:p w14:paraId="49BB78C7">
      <w:pPr>
        <w:pStyle w:val="9"/>
        <w:numPr>
          <w:ilvl w:val="1"/>
          <w:numId w:val="8"/>
        </w:numPr>
        <w:tabs>
          <w:tab w:val="left" w:pos="946"/>
        </w:tabs>
        <w:spacing w:before="160" w:after="0" w:line="364" w:lineRule="auto"/>
        <w:ind w:left="103" w:right="341" w:firstLine="480"/>
        <w:jc w:val="left"/>
        <w:rPr>
          <w:sz w:val="24"/>
        </w:rPr>
      </w:pPr>
      <w:r>
        <w:rPr>
          <w:sz w:val="24"/>
        </w:rPr>
        <w:t>、甲方或监理方对同一施工问题连续下发三次整改通知书后乙方无作为或整改问题未在整改通知书要求的期限内解决；</w:t>
      </w:r>
    </w:p>
    <w:p w14:paraId="3B716464">
      <w:pPr>
        <w:pStyle w:val="9"/>
        <w:numPr>
          <w:ilvl w:val="1"/>
          <w:numId w:val="8"/>
        </w:numPr>
        <w:tabs>
          <w:tab w:val="left" w:pos="946"/>
        </w:tabs>
        <w:spacing w:before="1" w:after="0" w:line="364" w:lineRule="auto"/>
        <w:ind w:left="103" w:right="343" w:firstLine="480"/>
        <w:jc w:val="left"/>
        <w:rPr>
          <w:sz w:val="24"/>
        </w:rPr>
      </w:pPr>
      <w:r>
        <w:rPr>
          <w:sz w:val="24"/>
        </w:rPr>
        <w:t>、乙方购置不符合合同约定的品牌、厂家、产地、材质、工艺、规格、型号等标准的产品或者假冒伪劣产品用于本工程；</w:t>
      </w:r>
    </w:p>
    <w:p w14:paraId="75EB4820">
      <w:pPr>
        <w:pStyle w:val="9"/>
        <w:numPr>
          <w:ilvl w:val="1"/>
          <w:numId w:val="8"/>
        </w:numPr>
        <w:tabs>
          <w:tab w:val="left" w:pos="1065"/>
        </w:tabs>
        <w:spacing w:before="2" w:after="0" w:line="240" w:lineRule="auto"/>
        <w:ind w:left="1064" w:right="0" w:hanging="481"/>
        <w:jc w:val="left"/>
        <w:rPr>
          <w:sz w:val="24"/>
        </w:rPr>
      </w:pPr>
      <w:r>
        <w:rPr>
          <w:spacing w:val="-3"/>
          <w:sz w:val="24"/>
        </w:rPr>
        <w:t xml:space="preserve">、乙方存在其他违约行为，经甲方书面通知之日 </w:t>
      </w:r>
      <w:r>
        <w:rPr>
          <w:sz w:val="24"/>
        </w:rPr>
        <w:t>7</w:t>
      </w:r>
      <w:r>
        <w:rPr>
          <w:spacing w:val="-8"/>
          <w:sz w:val="24"/>
        </w:rPr>
        <w:t xml:space="preserve"> 日内仍未纠正的。</w:t>
      </w:r>
    </w:p>
    <w:p w14:paraId="3BFA3CD5">
      <w:pPr>
        <w:pStyle w:val="5"/>
        <w:spacing w:before="160" w:line="364" w:lineRule="auto"/>
        <w:ind w:right="274" w:firstLine="480"/>
      </w:pPr>
      <w:r>
        <w:t>2、合同解除后，对于乙方已完工部分且质量合格的按照实际工程量给予结算 70%； 对于不合格部分责令整改，整改合格后给予结算工程 70%。若乙方拒接整改或无作为，甲</w:t>
      </w:r>
    </w:p>
    <w:p w14:paraId="6299050C">
      <w:pPr>
        <w:spacing w:after="0" w:line="364" w:lineRule="auto"/>
        <w:sectPr>
          <w:pgSz w:w="11910" w:h="16840"/>
          <w:pgMar w:top="1380" w:right="960" w:bottom="1240" w:left="1200" w:header="852" w:footer="1057" w:gutter="0"/>
          <w:cols w:space="720" w:num="1"/>
        </w:sectPr>
      </w:pPr>
    </w:p>
    <w:p w14:paraId="4C561189">
      <w:pPr>
        <w:pStyle w:val="5"/>
        <w:spacing w:before="81" w:line="364" w:lineRule="auto"/>
        <w:ind w:right="343"/>
        <w:jc w:val="both"/>
      </w:pPr>
      <w:r>
        <w:rPr>
          <w:spacing w:val="-4"/>
        </w:rPr>
        <w:t>方对不合格工程量不予支付费用，并由乙方承担由此产生的拆改、整修等费用，乙方应按</w:t>
      </w:r>
      <w:r>
        <w:rPr>
          <w:spacing w:val="-8"/>
        </w:rPr>
        <w:t>甲方要求的日期清理现场撤离。如果乙方不主动拆改、整修，甲方可自行整改，相关的费用从未付工程款中直接扣除，不足部分甲方另行向乙方追偿。</w:t>
      </w:r>
    </w:p>
    <w:p w14:paraId="720AFB3C">
      <w:pPr>
        <w:pStyle w:val="5"/>
        <w:spacing w:before="2"/>
        <w:ind w:left="583"/>
      </w:pPr>
      <w:bookmarkStart w:id="48" w:name="3、如合同解约甲方有权委托其他公司进行施工。"/>
      <w:bookmarkEnd w:id="48"/>
      <w:r>
        <w:t>3、如合同解约甲方有权委托其他公司进行施工。</w:t>
      </w:r>
    </w:p>
    <w:p w14:paraId="40D519E2">
      <w:pPr>
        <w:pStyle w:val="4"/>
        <w:spacing w:before="209"/>
      </w:pPr>
      <w:bookmarkStart w:id="49" w:name="十九、争议解决"/>
      <w:bookmarkEnd w:id="49"/>
      <w:r>
        <w:t>十九、争议解决</w:t>
      </w:r>
    </w:p>
    <w:p w14:paraId="718ADC2F">
      <w:pPr>
        <w:pStyle w:val="5"/>
        <w:spacing w:before="105" w:line="312" w:lineRule="auto"/>
        <w:ind w:right="274" w:firstLine="480"/>
      </w:pPr>
      <w:r>
        <w:t>本合同履行过程中发生争议或纠纷的，由当事人双方协商解决。协商不成时，双方同意向合同签订地人民法院提起诉讼。</w:t>
      </w:r>
    </w:p>
    <w:p w14:paraId="3EB78E79">
      <w:pPr>
        <w:pStyle w:val="4"/>
        <w:spacing w:before="48"/>
      </w:pPr>
      <w:bookmarkStart w:id="50" w:name="二十、其他"/>
      <w:bookmarkEnd w:id="50"/>
      <w:r>
        <w:rPr>
          <w:w w:val="95"/>
        </w:rPr>
        <w:t>二十、其他</w:t>
      </w:r>
    </w:p>
    <w:p w14:paraId="7E413717">
      <w:pPr>
        <w:pStyle w:val="5"/>
        <w:spacing w:before="105" w:line="364" w:lineRule="auto"/>
        <w:ind w:right="343" w:firstLine="480"/>
      </w:pPr>
      <w:r>
        <w:t>1、如遇不可抗拒自然灾害（如强台风、冰雹等）造成重大损失由甲乙双方商议解决补救办法。</w:t>
      </w:r>
    </w:p>
    <w:p w14:paraId="505B3E73">
      <w:pPr>
        <w:pStyle w:val="5"/>
        <w:spacing w:line="364" w:lineRule="auto"/>
        <w:ind w:right="343" w:firstLine="480"/>
      </w:pPr>
      <w:r>
        <w:t>2、在事先没有得到另一方认可并有相应的书面通知的情况下，一方不得将本合同的权利或义务转让给第三方。</w:t>
      </w:r>
    </w:p>
    <w:p w14:paraId="4B45C296">
      <w:pPr>
        <w:pStyle w:val="5"/>
        <w:ind w:left="583"/>
      </w:pPr>
      <w:r>
        <w:t>3、由乙方工作失误造成的一切损失由乙方自负。</w:t>
      </w:r>
    </w:p>
    <w:p w14:paraId="795DA636">
      <w:pPr>
        <w:pStyle w:val="5"/>
        <w:spacing w:before="161" w:line="364" w:lineRule="auto"/>
        <w:ind w:right="343" w:firstLine="480"/>
      </w:pPr>
      <w:r>
        <w:t>4、本合同未尽事宜，可由双方协商解决并签署书面补充协议，补充协议与本合同享有同等法律效力。</w:t>
      </w:r>
    </w:p>
    <w:p w14:paraId="343B774B">
      <w:pPr>
        <w:pStyle w:val="5"/>
        <w:ind w:left="583"/>
      </w:pPr>
      <w:r>
        <w:t>5、本合同一式柒份，甲方伍份，乙方贰份，均具同等法律效力。</w:t>
      </w:r>
    </w:p>
    <w:p w14:paraId="0E54162F">
      <w:pPr>
        <w:pStyle w:val="5"/>
        <w:spacing w:before="161"/>
        <w:ind w:left="583"/>
      </w:pPr>
      <w:r>
        <w:t>6、本合同及其补充协议自双方盖章之日起生效。</w:t>
      </w:r>
    </w:p>
    <w:p w14:paraId="0CE28700">
      <w:pPr>
        <w:spacing w:before="160" w:line="364" w:lineRule="auto"/>
        <w:ind w:left="103" w:right="5440" w:firstLine="480"/>
        <w:jc w:val="left"/>
        <w:rPr>
          <w:b/>
          <w:sz w:val="24"/>
        </w:rPr>
      </w:pPr>
      <w:r>
        <w:rPr>
          <w:sz w:val="24"/>
        </w:rPr>
        <w:t>7、合同签订地点：洛阳市洛龙区。</w:t>
      </w:r>
      <w:bookmarkStart w:id="51" w:name="二十、合同附件"/>
      <w:bookmarkEnd w:id="51"/>
      <w:r>
        <w:rPr>
          <w:b/>
          <w:sz w:val="24"/>
        </w:rPr>
        <w:t>二十、合同附件</w:t>
      </w:r>
    </w:p>
    <w:p w14:paraId="68480903">
      <w:pPr>
        <w:pStyle w:val="5"/>
        <w:ind w:left="583"/>
      </w:pPr>
      <w:r>
        <w:t>1、附件一、廉政合作协议</w:t>
      </w:r>
    </w:p>
    <w:p w14:paraId="69D37AD9">
      <w:pPr>
        <w:pStyle w:val="5"/>
        <w:spacing w:before="161"/>
        <w:ind w:left="583"/>
      </w:pPr>
      <w:r>
        <w:t>2、附件二、《工程量清单计价表》</w:t>
      </w:r>
    </w:p>
    <w:p w14:paraId="34B690CC">
      <w:pPr>
        <w:pStyle w:val="5"/>
        <w:spacing w:before="161"/>
        <w:ind w:left="583"/>
      </w:pPr>
    </w:p>
    <w:p w14:paraId="0B9349C9">
      <w:pPr>
        <w:pStyle w:val="5"/>
        <w:spacing w:before="161"/>
        <w:ind w:left="583"/>
      </w:pPr>
    </w:p>
    <w:p w14:paraId="39A61454">
      <w:pPr>
        <w:pStyle w:val="5"/>
        <w:spacing w:before="161"/>
        <w:ind w:left="583"/>
      </w:pPr>
    </w:p>
    <w:p w14:paraId="54956890">
      <w:pPr>
        <w:pStyle w:val="5"/>
        <w:spacing w:before="161"/>
        <w:ind w:left="583"/>
      </w:pPr>
    </w:p>
    <w:p w14:paraId="25439068">
      <w:pPr>
        <w:pStyle w:val="5"/>
        <w:spacing w:before="161"/>
        <w:ind w:left="583"/>
      </w:pPr>
    </w:p>
    <w:p w14:paraId="59A22BAE">
      <w:pPr>
        <w:pStyle w:val="5"/>
        <w:spacing w:before="161"/>
        <w:ind w:left="583"/>
      </w:pPr>
    </w:p>
    <w:p w14:paraId="4C5111F9">
      <w:pPr>
        <w:pStyle w:val="5"/>
        <w:spacing w:before="161"/>
        <w:ind w:left="583"/>
      </w:pPr>
    </w:p>
    <w:p w14:paraId="5DF12C79">
      <w:pPr>
        <w:pStyle w:val="5"/>
        <w:spacing w:before="161"/>
        <w:ind w:left="583"/>
      </w:pPr>
    </w:p>
    <w:p w14:paraId="1DBD4ED7">
      <w:pPr>
        <w:pStyle w:val="5"/>
        <w:spacing w:before="161"/>
        <w:ind w:left="583"/>
      </w:pPr>
    </w:p>
    <w:p w14:paraId="0E5DB3BF">
      <w:pPr>
        <w:pStyle w:val="5"/>
        <w:spacing w:before="161"/>
        <w:ind w:left="583"/>
      </w:pPr>
    </w:p>
    <w:p w14:paraId="54E4443F">
      <w:pPr>
        <w:pStyle w:val="5"/>
        <w:tabs>
          <w:tab w:val="left" w:pos="5503"/>
        </w:tabs>
        <w:spacing w:before="161"/>
        <w:ind w:left="583"/>
      </w:pPr>
      <w:r>
        <w:t>甲方：(盖章)</w:t>
      </w:r>
      <w:r>
        <w:tab/>
      </w:r>
      <w:r>
        <w:t>乙方：(盖章)</w:t>
      </w:r>
    </w:p>
    <w:p w14:paraId="36AF30F6">
      <w:pPr>
        <w:pStyle w:val="5"/>
        <w:tabs>
          <w:tab w:val="left" w:pos="5503"/>
        </w:tabs>
        <w:spacing w:before="160"/>
        <w:ind w:left="583"/>
      </w:pPr>
      <w:r>
        <w:t>河南浩德龙瑞置业有限公司</w:t>
      </w:r>
      <w:r>
        <w:tab/>
      </w:r>
      <w:r>
        <w:rPr>
          <w:rFonts w:hint="eastAsia"/>
        </w:rPr>
        <w:t>洛阳泰智文化传媒有限公司</w:t>
      </w:r>
    </w:p>
    <w:p w14:paraId="0B6A42D8">
      <w:pPr>
        <w:pStyle w:val="5"/>
        <w:tabs>
          <w:tab w:val="left" w:pos="5503"/>
        </w:tabs>
        <w:spacing w:before="161"/>
        <w:ind w:left="583"/>
      </w:pPr>
      <w:r>
        <w:t>法定代表人：</w:t>
      </w:r>
      <w:r>
        <w:tab/>
      </w:r>
      <w:r>
        <w:t>法定代表人：</w:t>
      </w:r>
    </w:p>
    <w:p w14:paraId="3194F254">
      <w:pPr>
        <w:pStyle w:val="5"/>
        <w:tabs>
          <w:tab w:val="left" w:pos="5503"/>
        </w:tabs>
        <w:spacing w:before="160"/>
        <w:ind w:left="583"/>
      </w:pPr>
      <w:r>
        <w:t>委托代理人：</w:t>
      </w:r>
      <w:r>
        <w:tab/>
      </w:r>
      <w:r>
        <w:t>委托代理人：</w:t>
      </w:r>
    </w:p>
    <w:p w14:paraId="49AFAB2F">
      <w:pPr>
        <w:pStyle w:val="5"/>
        <w:tabs>
          <w:tab w:val="left" w:pos="5503"/>
        </w:tabs>
        <w:spacing w:before="161" w:line="364" w:lineRule="auto"/>
        <w:ind w:left="583" w:right="400"/>
      </w:pPr>
      <w:r>
        <w:t>纳税人识别号：91410300MA9MYURF5B</w:t>
      </w:r>
      <w:r>
        <w:tab/>
      </w:r>
      <w:r>
        <w:t>纳税人识别号：</w:t>
      </w:r>
      <w:r>
        <w:rPr>
          <w:rFonts w:hint="eastAsia"/>
        </w:rPr>
        <w:t>91410303MA3X5L39X9</w:t>
      </w:r>
    </w:p>
    <w:p w14:paraId="70C22E5B">
      <w:pPr>
        <w:pStyle w:val="5"/>
        <w:tabs>
          <w:tab w:val="left" w:pos="5503"/>
        </w:tabs>
        <w:spacing w:before="161" w:line="364" w:lineRule="auto"/>
        <w:ind w:left="583" w:right="400"/>
      </w:pPr>
      <w:r>
        <w:t>账号：410311010160004001</w:t>
      </w:r>
      <w:r>
        <w:tab/>
      </w:r>
      <w:r>
        <w:t>账号：</w:t>
      </w:r>
      <w:r>
        <w:rPr>
          <w:rFonts w:hint="eastAsia"/>
        </w:rPr>
        <w:t>255944003138</w:t>
      </w:r>
    </w:p>
    <w:p w14:paraId="59548851">
      <w:pPr>
        <w:pStyle w:val="5"/>
        <w:tabs>
          <w:tab w:val="left" w:pos="5503"/>
        </w:tabs>
        <w:spacing w:line="364" w:lineRule="auto"/>
        <w:ind w:left="4421" w:leftChars="264" w:right="640" w:hanging="3840" w:hangingChars="1600"/>
      </w:pPr>
      <w:r>
        <w:t>开户行：中原银行股份有限公司</w:t>
      </w:r>
      <w:r>
        <w:rPr>
          <w:rFonts w:hint="eastAsia"/>
          <w:lang w:val="en-US" w:eastAsia="zh-CN"/>
        </w:rPr>
        <w:t xml:space="preserve">   </w:t>
      </w:r>
      <w:r>
        <w:tab/>
      </w:r>
      <w:r>
        <w:rPr>
          <w:rFonts w:hint="eastAsia"/>
          <w:lang w:val="en-US" w:eastAsia="zh-CN"/>
        </w:rPr>
        <w:t xml:space="preserve">         </w:t>
      </w:r>
      <w:r>
        <w:t>开户行：</w:t>
      </w:r>
      <w:r>
        <w:rPr>
          <w:rFonts w:hint="eastAsia"/>
        </w:rPr>
        <w:t>中国银行股份有限公司洛</w:t>
      </w:r>
    </w:p>
    <w:p w14:paraId="3C4F47EC">
      <w:pPr>
        <w:pStyle w:val="5"/>
        <w:tabs>
          <w:tab w:val="left" w:pos="5503"/>
        </w:tabs>
        <w:spacing w:line="364" w:lineRule="auto"/>
        <w:ind w:left="5381" w:leftChars="264" w:right="640" w:hanging="4800" w:hangingChars="2000"/>
        <w:rPr>
          <w:rFonts w:hint="eastAsia"/>
          <w:lang w:val="en-US" w:eastAsia="zh-CN"/>
        </w:rPr>
      </w:pPr>
      <w:r>
        <w:t>洛阳万豪中心支行</w:t>
      </w:r>
      <w:r>
        <w:rPr>
          <w:rFonts w:hint="eastAsia"/>
          <w:lang w:val="en-US" w:eastAsia="zh-CN"/>
        </w:rPr>
        <w:t xml:space="preserve">                         </w:t>
      </w:r>
      <w:r>
        <w:rPr>
          <w:rFonts w:hint="eastAsia" w:ascii="宋体" w:hAnsi="宋体"/>
          <w:szCs w:val="32"/>
        </w:rPr>
        <w:t>阳体育场路支行交通银行郑州南阳路支行</w:t>
      </w:r>
      <w:r>
        <w:rPr>
          <w:rFonts w:hint="eastAsia"/>
          <w:lang w:val="en-US" w:eastAsia="zh-CN"/>
        </w:rPr>
        <w:t xml:space="preserve"> </w:t>
      </w:r>
    </w:p>
    <w:p w14:paraId="6B63FAF7">
      <w:pPr>
        <w:pStyle w:val="5"/>
        <w:tabs>
          <w:tab w:val="left" w:pos="5503"/>
        </w:tabs>
        <w:spacing w:line="364" w:lineRule="auto"/>
        <w:ind w:left="5381" w:leftChars="264" w:right="640" w:hanging="4800" w:hangingChars="2000"/>
      </w:pPr>
      <w:r>
        <w:t>签订日期：</w:t>
      </w:r>
      <w:r>
        <w:rPr>
          <w:u w:val="single"/>
        </w:rPr>
        <w:t>202</w:t>
      </w:r>
      <w:r>
        <w:rPr>
          <w:rFonts w:hint="eastAsia"/>
          <w:u w:val="single"/>
          <w:lang w:val="en-US" w:eastAsia="zh-CN"/>
        </w:rPr>
        <w:t>5</w:t>
      </w:r>
      <w:r>
        <w:t>年</w:t>
      </w:r>
      <w:r>
        <w:rPr>
          <w:u w:val="single"/>
        </w:rPr>
        <w:t xml:space="preserve"> </w:t>
      </w:r>
      <w:r>
        <w:rPr>
          <w:rFonts w:hint="eastAsia"/>
          <w:u w:val="single"/>
          <w:lang w:val="en-US" w:eastAsia="zh-CN"/>
        </w:rPr>
        <w:t xml:space="preserve"> 8 </w:t>
      </w:r>
      <w:r>
        <w:t>月</w:t>
      </w:r>
      <w:r>
        <w:rPr>
          <w:spacing w:val="118"/>
          <w:u w:val="single"/>
        </w:rPr>
        <w:t xml:space="preserve"> </w:t>
      </w:r>
      <w:r>
        <w:t>日</w:t>
      </w:r>
      <w:r>
        <w:tab/>
      </w:r>
      <w:r>
        <w:t>签订日期：</w:t>
      </w:r>
      <w:r>
        <w:rPr>
          <w:u w:val="single"/>
        </w:rPr>
        <w:t>202</w:t>
      </w:r>
      <w:r>
        <w:rPr>
          <w:rFonts w:hint="eastAsia"/>
          <w:u w:val="single"/>
          <w:lang w:val="en-US" w:eastAsia="zh-CN"/>
        </w:rPr>
        <w:t>5</w:t>
      </w:r>
      <w:r>
        <w:rPr>
          <w:spacing w:val="-61"/>
        </w:rPr>
        <w:t xml:space="preserve"> </w:t>
      </w:r>
      <w:r>
        <w:t>年</w:t>
      </w:r>
      <w:r>
        <w:rPr>
          <w:u w:val="single"/>
        </w:rPr>
        <w:t xml:space="preserve"> </w:t>
      </w:r>
      <w:r>
        <w:rPr>
          <w:rFonts w:hint="eastAsia"/>
          <w:u w:val="single"/>
          <w:lang w:val="en-US" w:eastAsia="zh-CN"/>
        </w:rPr>
        <w:t>8</w:t>
      </w:r>
      <w:r>
        <w:t>月</w:t>
      </w:r>
      <w:r>
        <w:rPr>
          <w:u w:val="single"/>
        </w:rPr>
        <w:t xml:space="preserve"> 日</w:t>
      </w:r>
    </w:p>
    <w:p w14:paraId="0153D79E">
      <w:pPr>
        <w:spacing w:after="0"/>
        <w:sectPr>
          <w:pgSz w:w="11910" w:h="16840"/>
          <w:pgMar w:top="1380" w:right="960" w:bottom="1240" w:left="1200" w:header="852" w:footer="1057" w:gutter="0"/>
          <w:cols w:space="720" w:num="1"/>
        </w:sectPr>
      </w:pPr>
    </w:p>
    <w:p w14:paraId="4B4B07B1">
      <w:pPr>
        <w:pStyle w:val="4"/>
        <w:spacing w:before="81"/>
      </w:pPr>
      <w:bookmarkStart w:id="52" w:name="附件一、廉政合作协议"/>
      <w:bookmarkEnd w:id="52"/>
      <w:r>
        <w:t>附件一、廉政合作协议</w:t>
      </w:r>
    </w:p>
    <w:p w14:paraId="14EED883">
      <w:pPr>
        <w:pStyle w:val="5"/>
        <w:ind w:left="0"/>
        <w:rPr>
          <w:b/>
          <w:sz w:val="45"/>
        </w:rPr>
      </w:pPr>
      <w:r>
        <w:br w:type="column"/>
      </w:r>
    </w:p>
    <w:p w14:paraId="7398836D">
      <w:pPr>
        <w:spacing w:before="0"/>
        <w:ind w:left="103" w:right="0" w:firstLine="0"/>
        <w:jc w:val="left"/>
        <w:rPr>
          <w:b/>
          <w:sz w:val="32"/>
        </w:rPr>
      </w:pPr>
      <w:r>
        <w:rPr>
          <w:b/>
          <w:sz w:val="32"/>
        </w:rPr>
        <w:t>廉政合作协议</w:t>
      </w:r>
    </w:p>
    <w:p w14:paraId="65ABE8DB">
      <w:pPr>
        <w:spacing w:after="0"/>
        <w:jc w:val="left"/>
        <w:rPr>
          <w:sz w:val="32"/>
        </w:rPr>
        <w:sectPr>
          <w:pgSz w:w="11910" w:h="16840"/>
          <w:pgMar w:top="1380" w:right="960" w:bottom="1240" w:left="1200" w:header="852" w:footer="1057" w:gutter="0"/>
          <w:cols w:equalWidth="0" w:num="2">
            <w:col w:w="2553" w:space="1277"/>
            <w:col w:w="5920"/>
          </w:cols>
        </w:sectPr>
      </w:pPr>
    </w:p>
    <w:p w14:paraId="7FE2484D">
      <w:pPr>
        <w:pStyle w:val="5"/>
        <w:spacing w:before="4"/>
        <w:ind w:left="0"/>
        <w:rPr>
          <w:b/>
          <w:sz w:val="9"/>
        </w:rPr>
      </w:pPr>
    </w:p>
    <w:p w14:paraId="45FB2365">
      <w:pPr>
        <w:pStyle w:val="5"/>
        <w:spacing w:before="66" w:line="364" w:lineRule="auto"/>
        <w:ind w:right="6038"/>
      </w:pPr>
      <w:r>
        <w:rPr>
          <w:b/>
        </w:rPr>
        <w:t>甲方：</w:t>
      </w:r>
      <w:r>
        <w:rPr>
          <w:u w:val="single"/>
        </w:rPr>
        <w:t>河南浩德龙瑞置业有限公司</w:t>
      </w:r>
      <w:r>
        <w:rPr>
          <w:b/>
        </w:rPr>
        <w:t>乙方：</w:t>
      </w:r>
      <w:r>
        <w:rPr>
          <w:rFonts w:hint="eastAsia"/>
          <w:u w:val="single"/>
        </w:rPr>
        <w:t>洛阳泰智文化传媒有限司</w:t>
      </w:r>
    </w:p>
    <w:p w14:paraId="467C6238">
      <w:pPr>
        <w:pStyle w:val="5"/>
        <w:spacing w:before="0" w:line="270" w:lineRule="exact"/>
        <w:ind w:left="583"/>
      </w:pPr>
      <w:r>
        <w:t>为加强工程项目建设期间的廉政管理，确保项目高效优质按期竣工，甲、乙双方经协</w:t>
      </w:r>
    </w:p>
    <w:p w14:paraId="049A6DDC">
      <w:pPr>
        <w:spacing w:before="82" w:line="336" w:lineRule="auto"/>
        <w:ind w:left="583" w:right="4120" w:hanging="480"/>
        <w:jc w:val="left"/>
        <w:rPr>
          <w:b/>
          <w:sz w:val="24"/>
        </w:rPr>
      </w:pPr>
      <w:r>
        <w:rPr>
          <w:sz w:val="24"/>
        </w:rPr>
        <w:t>商签定本协议并做为双方共同遵守的廉政行为准则。</w:t>
      </w:r>
      <w:bookmarkStart w:id="53" w:name="一、甲方责任"/>
      <w:bookmarkEnd w:id="53"/>
      <w:r>
        <w:rPr>
          <w:b/>
          <w:sz w:val="24"/>
        </w:rPr>
        <w:t>一、甲方责任</w:t>
      </w:r>
    </w:p>
    <w:p w14:paraId="4F0EDF8D">
      <w:pPr>
        <w:pStyle w:val="5"/>
        <w:spacing w:before="36"/>
        <w:ind w:left="583"/>
      </w:pPr>
      <w:r>
        <w:t>1．甲方有责任向乙方介绍本单位有关廉政管理的各项制度和规定。</w:t>
      </w:r>
    </w:p>
    <w:p w14:paraId="08D7ED22">
      <w:pPr>
        <w:pStyle w:val="5"/>
        <w:spacing w:before="161"/>
        <w:ind w:left="583"/>
      </w:pPr>
      <w:r>
        <w:t>2．甲方有责任对本单位项目管理人员进行廉政教育。</w:t>
      </w:r>
    </w:p>
    <w:p w14:paraId="03129571">
      <w:pPr>
        <w:pStyle w:val="5"/>
        <w:spacing w:before="160" w:line="364" w:lineRule="auto"/>
        <w:ind w:right="343" w:firstLine="480"/>
      </w:pPr>
      <w:r>
        <w:t>3．甲方人员应严格遵守本单位有关廉政管理的规定，不得接受乙方的宴请，不得接受任何形式的实物、现金或礼券。</w:t>
      </w:r>
    </w:p>
    <w:p w14:paraId="46042087">
      <w:pPr>
        <w:pStyle w:val="5"/>
        <w:spacing w:before="2" w:line="364" w:lineRule="auto"/>
        <w:ind w:right="343" w:firstLine="480"/>
      </w:pPr>
      <w:r>
        <w:t>4．甲方在项目建设期间发现甲方人员任何形式的索贿受贿行为，均应及时采取措施予以制止，并及时通报乙方单位领导。</w:t>
      </w:r>
    </w:p>
    <w:p w14:paraId="7A12A9E4">
      <w:pPr>
        <w:pStyle w:val="5"/>
        <w:spacing w:line="364" w:lineRule="auto"/>
        <w:ind w:right="343" w:firstLine="480"/>
      </w:pPr>
      <w:r>
        <w:t>5．甲方人员如违反廉政管理制度及本协议规定，甲方应视情节轻重、影响大小给予处罚。</w:t>
      </w:r>
    </w:p>
    <w:p w14:paraId="21A3A985">
      <w:pPr>
        <w:pStyle w:val="5"/>
        <w:spacing w:line="364" w:lineRule="auto"/>
        <w:ind w:right="343" w:firstLine="480"/>
      </w:pPr>
      <w:r>
        <w:t>6．对于乙方举报甲方人员违反廉政规定的情况，甲方应及时进行调查，根据调查情况进行处理。</w:t>
      </w:r>
    </w:p>
    <w:p w14:paraId="4B79326B">
      <w:pPr>
        <w:pStyle w:val="4"/>
        <w:ind w:left="583"/>
      </w:pPr>
      <w:bookmarkStart w:id="54" w:name="二、乙方责任"/>
      <w:bookmarkEnd w:id="54"/>
      <w:r>
        <w:t>二、乙方责任</w:t>
      </w:r>
    </w:p>
    <w:p w14:paraId="158128C4">
      <w:pPr>
        <w:pStyle w:val="5"/>
        <w:spacing w:before="161" w:line="364" w:lineRule="auto"/>
        <w:ind w:right="343" w:firstLine="480"/>
      </w:pPr>
      <w:r>
        <w:t>1．乙方应保证乙方有关人员了解甲方有关廉政管理的各项制度及本协议的规定，并遵照执行。</w:t>
      </w:r>
    </w:p>
    <w:p w14:paraId="056C1BA8">
      <w:pPr>
        <w:pStyle w:val="5"/>
        <w:ind w:left="583"/>
      </w:pPr>
      <w:r>
        <w:t>2．乙方不得宴请甲方人员，不得以任何形式赠送实物、现金或礼券。</w:t>
      </w:r>
    </w:p>
    <w:p w14:paraId="511F5966">
      <w:pPr>
        <w:pStyle w:val="5"/>
        <w:spacing w:before="160" w:line="364" w:lineRule="auto"/>
        <w:ind w:right="343" w:firstLine="480"/>
      </w:pPr>
      <w:r>
        <w:t>3．乙方在项目建设期间发现乙方人员任何向甲方人员行贿行为，均应及时采取措施予以制止，并及时通报甲方单位领导。</w:t>
      </w:r>
    </w:p>
    <w:p w14:paraId="1689F189">
      <w:pPr>
        <w:pStyle w:val="5"/>
        <w:spacing w:before="2"/>
        <w:ind w:left="583"/>
      </w:pPr>
      <w:r>
        <w:t>4．乙方有责任接受甲方对乙方在项目建设期间廉政管理执行情况的监督。</w:t>
      </w:r>
    </w:p>
    <w:p w14:paraId="1CB627E7">
      <w:pPr>
        <w:pStyle w:val="5"/>
        <w:spacing w:before="160" w:line="364" w:lineRule="auto"/>
        <w:ind w:right="343" w:firstLine="480"/>
        <w:jc w:val="both"/>
      </w:pPr>
      <w:r>
        <w:t>5．乙方单位人员有义务就甲方人员任何形式的索贿或受贿行为及时向甲方单位领导</w:t>
      </w:r>
      <w:r>
        <w:rPr>
          <w:spacing w:val="-8"/>
        </w:rPr>
        <w:t>举报；如乙方向甲方人员行贿，或甲方人员向乙方索贿，乙方满足其要求且未向甲方举报</w:t>
      </w:r>
      <w:r>
        <w:rPr>
          <w:spacing w:val="-11"/>
        </w:rPr>
        <w:t xml:space="preserve">的，一经查实，除追回由此给甲方造成的损失外，甲方可要求乙方支付 </w:t>
      </w:r>
      <w:r>
        <w:t>5-100</w:t>
      </w:r>
      <w:r>
        <w:rPr>
          <w:spacing w:val="-10"/>
        </w:rPr>
        <w:t xml:space="preserve"> 万元的违约金。</w:t>
      </w:r>
    </w:p>
    <w:p w14:paraId="70BB2141">
      <w:pPr>
        <w:pStyle w:val="5"/>
        <w:spacing w:before="2" w:line="364" w:lineRule="auto"/>
        <w:ind w:right="343" w:firstLine="480"/>
      </w:pPr>
      <w:r>
        <w:t>6．如因乙方或其人员在项目建设期间贿赂甲方人员，被检查机关立案查处的，甲方有权中止合同履行或解除合同，由此给甲方造成的损失，均由乙方负责赔偿。</w:t>
      </w:r>
    </w:p>
    <w:p w14:paraId="17ECF474">
      <w:pPr>
        <w:spacing w:after="0" w:line="364" w:lineRule="auto"/>
        <w:sectPr>
          <w:type w:val="continuous"/>
          <w:pgSz w:w="11910" w:h="16840"/>
          <w:pgMar w:top="1380" w:right="960" w:bottom="1240" w:left="1200" w:header="720" w:footer="720" w:gutter="0"/>
          <w:cols w:space="720" w:num="1"/>
        </w:sectPr>
      </w:pPr>
    </w:p>
    <w:p w14:paraId="021EF619">
      <w:pPr>
        <w:pStyle w:val="4"/>
        <w:spacing w:before="81" w:line="364" w:lineRule="auto"/>
        <w:ind w:right="343" w:firstLine="480"/>
      </w:pPr>
      <w:bookmarkStart w:id="55" w:name="附件二、《工程量清单计价表》（另附）"/>
      <w:bookmarkEnd w:id="55"/>
      <w:r>
        <w:rPr>
          <w:spacing w:val="-9"/>
          <w:w w:val="95"/>
        </w:rPr>
        <w:t>三、为维护甲乙双方的合法利益，营造良好的商务环境，甲方建立多种举报渠道</w:t>
      </w:r>
      <w:r>
        <w:rPr>
          <w:w w:val="95"/>
        </w:rPr>
        <w:t xml:space="preserve">（如  </w:t>
      </w:r>
      <w:r>
        <w:t>下）。甲方风控人员将恪守职业道德，严格履行保密义务！</w:t>
      </w:r>
    </w:p>
    <w:p w14:paraId="75A0EA41">
      <w:pPr>
        <w:pStyle w:val="5"/>
        <w:spacing w:before="2"/>
        <w:ind w:left="583"/>
      </w:pPr>
      <w:r>
        <w:t>（1）微信小程序举报（扫描右侧二维码进入程序，举报信息直达集团董事长）；</w:t>
      </w:r>
    </w:p>
    <w:p w14:paraId="678682DA">
      <w:pPr>
        <w:pStyle w:val="5"/>
        <w:spacing w:before="160"/>
        <w:ind w:left="583"/>
      </w:pPr>
      <w:r>
        <w:drawing>
          <wp:anchor distT="0" distB="0" distL="0" distR="0" simplePos="0" relativeHeight="251659264" behindDoc="0" locked="0" layoutInCell="1" allowOverlap="1">
            <wp:simplePos x="0" y="0"/>
            <wp:positionH relativeFrom="page">
              <wp:posOffset>5309235</wp:posOffset>
            </wp:positionH>
            <wp:positionV relativeFrom="paragraph">
              <wp:posOffset>147955</wp:posOffset>
            </wp:positionV>
            <wp:extent cx="935990" cy="93599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9" cstate="print"/>
                    <a:stretch>
                      <a:fillRect/>
                    </a:stretch>
                  </pic:blipFill>
                  <pic:spPr>
                    <a:xfrm>
                      <a:off x="0" y="0"/>
                      <a:ext cx="935736" cy="935736"/>
                    </a:xfrm>
                    <a:prstGeom prst="rect">
                      <a:avLst/>
                    </a:prstGeom>
                  </pic:spPr>
                </pic:pic>
              </a:graphicData>
            </a:graphic>
          </wp:anchor>
        </w:drawing>
      </w:r>
      <w:r>
        <w:fldChar w:fldCharType="begin"/>
      </w:r>
      <w:r>
        <w:instrText xml:space="preserve"> HYPERLINK "mailto:shenji@chinahonden.com" \h </w:instrText>
      </w:r>
      <w:r>
        <w:fldChar w:fldCharType="separate"/>
      </w:r>
      <w:r>
        <w:t>（2）邮箱：shenji@chinahonden.com</w:t>
      </w:r>
      <w:r>
        <w:fldChar w:fldCharType="end"/>
      </w:r>
    </w:p>
    <w:p w14:paraId="4C12AEE5">
      <w:pPr>
        <w:pStyle w:val="5"/>
        <w:spacing w:before="160"/>
        <w:ind w:left="583"/>
      </w:pPr>
      <w:r>
        <w:t>（3）电话：风控总监毛政辉：13693798532</w:t>
      </w:r>
    </w:p>
    <w:p w14:paraId="2B9A9EAF">
      <w:pPr>
        <w:pStyle w:val="5"/>
        <w:spacing w:before="161"/>
        <w:ind w:left="583"/>
      </w:pPr>
      <w:r>
        <w:t>（4）电话：审计监察副总监齐全中：18137710188</w:t>
      </w:r>
    </w:p>
    <w:p w14:paraId="0CAD1B7A">
      <w:pPr>
        <w:pStyle w:val="5"/>
        <w:spacing w:before="160"/>
        <w:ind w:left="583"/>
      </w:pPr>
      <w:r>
        <w:t>（5）电话：审计监察高级经理苏文倩：18839528225</w:t>
      </w:r>
    </w:p>
    <w:p w14:paraId="76578AD7">
      <w:pPr>
        <w:pStyle w:val="5"/>
        <w:spacing w:before="161" w:line="364" w:lineRule="auto"/>
        <w:ind w:right="273" w:firstLine="480"/>
      </w:pPr>
      <w:r>
        <w:t>（6）信件举报邮寄地址：洛阳市洛龙区关林西路 8 号中浩德控股集团有限公司审计监察部（收）。</w:t>
      </w:r>
    </w:p>
    <w:p w14:paraId="6AD6BE20">
      <w:pPr>
        <w:pStyle w:val="4"/>
        <w:spacing w:line="364" w:lineRule="auto"/>
        <w:ind w:right="343" w:firstLine="480"/>
      </w:pPr>
      <w:r>
        <w:rPr>
          <w:spacing w:val="-9"/>
          <w:w w:val="95"/>
        </w:rPr>
        <w:t xml:space="preserve">四、甲乙双方发现对方工作人员有下列行为之一的，可通过第三条约定的渠道进行举  </w:t>
      </w:r>
      <w:r>
        <w:rPr>
          <w:spacing w:val="-9"/>
        </w:rPr>
        <w:t>报：</w:t>
      </w:r>
    </w:p>
    <w:p w14:paraId="43B265C7">
      <w:pPr>
        <w:pStyle w:val="5"/>
        <w:ind w:left="583"/>
      </w:pPr>
      <w:bookmarkStart w:id="56" w:name="1.推诿扯皮、有责不负、处事消极、渎职失职、弄虚作假等行为。"/>
      <w:bookmarkEnd w:id="56"/>
      <w:r>
        <w:t>1.推诿扯皮、有责不负、处事消极、渎职失职、弄虚作假等行为。</w:t>
      </w:r>
    </w:p>
    <w:p w14:paraId="1A7B7AC4">
      <w:pPr>
        <w:pStyle w:val="5"/>
        <w:spacing w:before="161" w:line="364" w:lineRule="auto"/>
        <w:ind w:right="343" w:firstLine="480"/>
      </w:pPr>
      <w:r>
        <w:t>2.</w:t>
      </w:r>
      <w:r>
        <w:rPr>
          <w:spacing w:val="-7"/>
        </w:rPr>
        <w:t>以权谋私、滥用职权、处事不公、隐瞒事故、违章指挥造成公司严重事故隐患的行为。</w:t>
      </w:r>
    </w:p>
    <w:p w14:paraId="610F84A5">
      <w:pPr>
        <w:pStyle w:val="5"/>
        <w:ind w:left="583"/>
      </w:pPr>
      <w:r>
        <w:t>3.贪污、受贿、盗窃、欺上瞒下等违法乱纪行为。</w:t>
      </w:r>
    </w:p>
    <w:p w14:paraId="0FBF7086">
      <w:pPr>
        <w:pStyle w:val="5"/>
        <w:spacing w:before="161"/>
        <w:ind w:left="583"/>
      </w:pPr>
      <w:r>
        <w:t>4.出卖、泄露公司商业机密等危害公司行为。</w:t>
      </w:r>
    </w:p>
    <w:p w14:paraId="7DD409FD">
      <w:pPr>
        <w:pStyle w:val="5"/>
        <w:spacing w:before="160"/>
        <w:ind w:left="583"/>
      </w:pPr>
      <w:r>
        <w:t>5.重大经济活动未按公司制度、流程执行的违规违纪行为。</w:t>
      </w:r>
    </w:p>
    <w:p w14:paraId="36CB0E9A">
      <w:pPr>
        <w:pStyle w:val="5"/>
        <w:spacing w:before="161" w:line="364" w:lineRule="auto"/>
        <w:ind w:right="343" w:firstLine="480"/>
      </w:pPr>
      <w:r>
        <w:t>6.</w:t>
      </w:r>
      <w:r>
        <w:rPr>
          <w:spacing w:val="-8"/>
        </w:rPr>
        <w:t>利用职权，任人唯亲，拉帮结派，搞小利益团体或对同事正当行使权利进行打击报复的行为。</w:t>
      </w:r>
    </w:p>
    <w:p w14:paraId="029821F7">
      <w:pPr>
        <w:pStyle w:val="5"/>
        <w:ind w:left="583"/>
      </w:pPr>
      <w:r>
        <w:t>7.故意涂改公司文件或以公司名义谋私利，损害公司荣誉和利益的行为。</w:t>
      </w:r>
    </w:p>
    <w:p w14:paraId="2637E28A">
      <w:pPr>
        <w:pStyle w:val="5"/>
        <w:spacing w:before="160"/>
        <w:ind w:left="583"/>
      </w:pPr>
      <w:bookmarkStart w:id="57" w:name="8.私自侵占、挪用公司财物，损坏公司重要设备或资产的行为。"/>
      <w:bookmarkEnd w:id="57"/>
      <w:r>
        <w:t>8.私自侵占、挪用公司财物，损坏公司重要设备或资产的行为。</w:t>
      </w:r>
    </w:p>
    <w:p w14:paraId="768251EA">
      <w:pPr>
        <w:pStyle w:val="5"/>
        <w:spacing w:before="161"/>
        <w:ind w:left="583"/>
      </w:pPr>
      <w:r>
        <w:t>9.破坏团队和谐，故意挑拨员工之间关系，对同事恶意侮辱、陷害、制造事端的行为。</w:t>
      </w:r>
    </w:p>
    <w:p w14:paraId="363A55E3">
      <w:pPr>
        <w:pStyle w:val="5"/>
        <w:spacing w:before="160" w:line="364" w:lineRule="auto"/>
        <w:ind w:right="343" w:firstLine="480"/>
      </w:pPr>
      <w:r>
        <w:t>10.妄议集团经营、管理、决策部署、会议决议，对正当行使职权的执法部门、员工进行设置障碍、诋毁、恶意侮辱的行为。</w:t>
      </w:r>
    </w:p>
    <w:p w14:paraId="2DC5461F">
      <w:pPr>
        <w:pStyle w:val="5"/>
        <w:spacing w:before="2"/>
        <w:ind w:left="583"/>
      </w:pPr>
      <w:bookmarkStart w:id="58" w:name="11.其它违反法律或者招标人公司相关制度的行为。"/>
      <w:bookmarkEnd w:id="58"/>
      <w:r>
        <w:t>11.其它违反法律或者招标人公司相关制度的行为。</w:t>
      </w:r>
    </w:p>
    <w:p w14:paraId="41C7DF93">
      <w:pPr>
        <w:pStyle w:val="5"/>
        <w:spacing w:before="81"/>
        <w:ind w:left="583"/>
      </w:pPr>
      <w:r>
        <w:t>（以下无正文）</w:t>
      </w:r>
    </w:p>
    <w:p w14:paraId="702EFB1B">
      <w:pPr>
        <w:pStyle w:val="5"/>
        <w:spacing w:before="6"/>
        <w:ind w:left="0"/>
        <w:rPr>
          <w:sz w:val="18"/>
        </w:rPr>
      </w:pPr>
    </w:p>
    <w:p w14:paraId="09570968">
      <w:pPr>
        <w:pStyle w:val="5"/>
        <w:tabs>
          <w:tab w:val="left" w:pos="2263"/>
          <w:tab w:val="left" w:pos="2863"/>
          <w:tab w:val="left" w:pos="5143"/>
          <w:tab w:val="left" w:pos="6823"/>
          <w:tab w:val="left" w:pos="7423"/>
        </w:tabs>
        <w:spacing w:before="0" w:line="364" w:lineRule="auto"/>
        <w:ind w:left="583" w:right="1000"/>
      </w:pPr>
      <w:r>
        <w:t>甲方：</w:t>
      </w:r>
      <w:r>
        <w:rPr>
          <w:u w:val="single"/>
        </w:rPr>
        <w:t>河南浩德龙瑞置业有限公司</w:t>
      </w:r>
      <w:r>
        <w:tab/>
      </w:r>
      <w:r>
        <w:t>乙方：</w:t>
      </w:r>
      <w:r>
        <w:rPr>
          <w:rFonts w:hint="eastAsia"/>
          <w:u w:val="single"/>
        </w:rPr>
        <w:t>洛阳泰智文化传媒有限公司</w:t>
      </w:r>
      <w:r>
        <w:t>签署日期：</w:t>
      </w:r>
      <w:r>
        <w:rPr>
          <w:u w:val="single"/>
        </w:rPr>
        <w:t xml:space="preserve"> </w:t>
      </w:r>
      <w:r>
        <w:rPr>
          <w:u w:val="single"/>
        </w:rPr>
        <w:tab/>
      </w:r>
      <w:r>
        <w:t>年</w:t>
      </w:r>
      <w:r>
        <w:rPr>
          <w:u w:val="single"/>
        </w:rPr>
        <w:t xml:space="preserve"> </w:t>
      </w:r>
      <w:r>
        <w:rPr>
          <w:u w:val="single"/>
        </w:rPr>
        <w:tab/>
      </w:r>
      <w:r>
        <w:t>月</w:t>
      </w:r>
      <w:r>
        <w:rPr>
          <w:spacing w:val="118"/>
          <w:u w:val="single"/>
        </w:rPr>
        <w:t xml:space="preserve"> </w:t>
      </w:r>
      <w:r>
        <w:t>日</w:t>
      </w:r>
      <w:r>
        <w:tab/>
      </w:r>
      <w:r>
        <w:t>签署日期：</w:t>
      </w:r>
      <w:r>
        <w:rPr>
          <w:u w:val="single"/>
        </w:rPr>
        <w:t xml:space="preserve"> </w:t>
      </w:r>
      <w:r>
        <w:rPr>
          <w:u w:val="single"/>
        </w:rPr>
        <w:tab/>
      </w:r>
      <w:r>
        <w:t>年</w:t>
      </w:r>
      <w:r>
        <w:rPr>
          <w:u w:val="single"/>
        </w:rPr>
        <w:t xml:space="preserve"> </w:t>
      </w:r>
      <w:r>
        <w:rPr>
          <w:u w:val="single"/>
        </w:rPr>
        <w:tab/>
      </w:r>
      <w:r>
        <w:t>月</w:t>
      </w:r>
      <w:r>
        <w:rPr>
          <w:spacing w:val="118"/>
          <w:u w:val="single"/>
        </w:rPr>
        <w:t xml:space="preserve"> </w:t>
      </w:r>
      <w:r>
        <w:t>日</w:t>
      </w:r>
    </w:p>
    <w:p w14:paraId="5ECD5FDD">
      <w:pPr>
        <w:spacing w:after="0" w:line="364" w:lineRule="auto"/>
        <w:sectPr>
          <w:pgSz w:w="11910" w:h="16840"/>
          <w:pgMar w:top="1380" w:right="960" w:bottom="1240" w:left="1200" w:header="852" w:footer="1057" w:gutter="0"/>
          <w:cols w:space="720" w:num="1"/>
        </w:sectPr>
      </w:pPr>
    </w:p>
    <w:p w14:paraId="41B70881">
      <w:pPr>
        <w:pStyle w:val="5"/>
        <w:spacing w:before="43"/>
      </w:pPr>
      <w:r>
        <w:t>附件二、《工程量清单计价表》（另附）</w:t>
      </w:r>
    </w:p>
    <w:sectPr>
      <w:pgSz w:w="11910" w:h="16840"/>
      <w:pgMar w:top="1380" w:right="960" w:bottom="1240" w:left="1200" w:header="852" w:footer="105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192ED">
    <w:pPr>
      <w:pStyle w:val="5"/>
      <w:spacing w:before="0" w:line="14" w:lineRule="auto"/>
      <w:ind w:left="0"/>
      <w:rPr>
        <w:sz w:val="20"/>
      </w:rPr>
    </w:pPr>
    <w:r>
      <w:pict>
        <v:shape id="_x0000_s2050" o:spid="_x0000_s2050" o:spt="202" type="#_x0000_t202" style="position:absolute;left:0pt;margin-left:260.6pt;margin-top:778pt;height:12pt;width:74.1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1B1D52CF">
                <w:pPr>
                  <w:spacing w:before="0" w:line="225" w:lineRule="exact"/>
                  <w:ind w:left="20" w:right="0" w:firstLine="0"/>
                  <w:jc w:val="left"/>
                  <w:rPr>
                    <w:sz w:val="18"/>
                  </w:rPr>
                </w:pPr>
                <w:r>
                  <w:rPr>
                    <w:sz w:val="18"/>
                  </w:rPr>
                  <w:t xml:space="preserve">第 </w:t>
                </w:r>
                <w:r>
                  <w:fldChar w:fldCharType="begin"/>
                </w:r>
                <w:r>
                  <w:rPr>
                    <w:rFonts w:ascii="Calibri" w:eastAsia="Calibri"/>
                    <w:sz w:val="18"/>
                  </w:rPr>
                  <w:instrText xml:space="preserve"> PAGE </w:instrText>
                </w:r>
                <w:r>
                  <w:fldChar w:fldCharType="separate"/>
                </w:r>
                <w:r>
                  <w:t>1</w:t>
                </w:r>
                <w:r>
                  <w:fldChar w:fldCharType="end"/>
                </w:r>
                <w:r>
                  <w:rPr>
                    <w:rFonts w:ascii="Calibri" w:eastAsia="Calibri"/>
                    <w:sz w:val="18"/>
                  </w:rPr>
                  <w:t xml:space="preserve"> </w:t>
                </w:r>
                <w:r>
                  <w:rPr>
                    <w:sz w:val="18"/>
                  </w:rPr>
                  <w:t xml:space="preserve">页 共 </w:t>
                </w:r>
                <w:r>
                  <w:rPr>
                    <w:rFonts w:ascii="Calibri" w:eastAsia="Calibri"/>
                    <w:sz w:val="18"/>
                  </w:rPr>
                  <w:t xml:space="preserve">17 </w:t>
                </w:r>
                <w:r>
                  <w:rPr>
                    <w:sz w:val="18"/>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048B0">
    <w:pPr>
      <w:pStyle w:val="5"/>
      <w:spacing w:before="0" w:line="14" w:lineRule="auto"/>
      <w:ind w:left="0"/>
      <w:rPr>
        <w:sz w:val="20"/>
      </w:rPr>
    </w:pPr>
    <w:r>
      <w:pict>
        <v:shape id="_x0000_s2051" o:spid="_x0000_s2051" o:spt="202" type="#_x0000_t202" style="position:absolute;left:0pt;margin-left:258.3pt;margin-top:778pt;height:12pt;width:78.7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621F0CCF">
                <w:pPr>
                  <w:spacing w:before="0" w:line="225" w:lineRule="exact"/>
                  <w:ind w:left="20" w:right="0" w:firstLine="0"/>
                  <w:jc w:val="left"/>
                  <w:rPr>
                    <w:sz w:val="18"/>
                  </w:rPr>
                </w:pPr>
                <w:r>
                  <w:rPr>
                    <w:sz w:val="18"/>
                  </w:rPr>
                  <w:t xml:space="preserve">第 </w:t>
                </w:r>
                <w:r>
                  <w:fldChar w:fldCharType="begin"/>
                </w:r>
                <w:r>
                  <w:rPr>
                    <w:rFonts w:ascii="Calibri" w:eastAsia="Calibri"/>
                    <w:sz w:val="18"/>
                  </w:rPr>
                  <w:instrText xml:space="preserve"> PAGE </w:instrText>
                </w:r>
                <w:r>
                  <w:fldChar w:fldCharType="separate"/>
                </w:r>
                <w:r>
                  <w:t>10</w:t>
                </w:r>
                <w:r>
                  <w:fldChar w:fldCharType="end"/>
                </w:r>
                <w:r>
                  <w:rPr>
                    <w:rFonts w:ascii="Calibri" w:eastAsia="Calibri"/>
                    <w:sz w:val="18"/>
                  </w:rPr>
                  <w:t xml:space="preserve"> </w:t>
                </w:r>
                <w:r>
                  <w:rPr>
                    <w:sz w:val="18"/>
                  </w:rPr>
                  <w:t xml:space="preserve">页 共 </w:t>
                </w:r>
                <w:r>
                  <w:rPr>
                    <w:rFonts w:ascii="Calibri" w:eastAsia="Calibri"/>
                    <w:sz w:val="18"/>
                  </w:rPr>
                  <w:t xml:space="preserve">17 </w:t>
                </w:r>
                <w:r>
                  <w:rPr>
                    <w:sz w:val="18"/>
                  </w:rPr>
                  <w:t>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CC0F">
    <w:pPr>
      <w:pStyle w:val="5"/>
      <w:spacing w:before="0" w:line="14" w:lineRule="auto"/>
      <w:ind w:left="0"/>
      <w:rPr>
        <w:sz w:val="20"/>
      </w:rPr>
    </w:pPr>
    <w:r>
      <w:drawing>
        <wp:anchor distT="0" distB="0" distL="0" distR="0" simplePos="0" relativeHeight="251660288" behindDoc="1" locked="0" layoutInCell="1" allowOverlap="1">
          <wp:simplePos x="0" y="0"/>
          <wp:positionH relativeFrom="page">
            <wp:posOffset>827405</wp:posOffset>
          </wp:positionH>
          <wp:positionV relativeFrom="page">
            <wp:posOffset>541020</wp:posOffset>
          </wp:positionV>
          <wp:extent cx="1005840" cy="3168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005839" cy="316992"/>
                  </a:xfrm>
                  <a:prstGeom prst="rect">
                    <a:avLst/>
                  </a:prstGeom>
                </pic:spPr>
              </pic:pic>
            </a:graphicData>
          </a:graphic>
        </wp:anchor>
      </w:drawing>
    </w:r>
    <w:r>
      <w:pict>
        <v:line id="_x0000_s2049" o:spid="_x0000_s2049" o:spt="20" style="position:absolute;left:0pt;margin-left:65.15pt;margin-top:69.4pt;height:0pt;width:464.9pt;mso-position-horizontal-relative:page;mso-position-vertical-relative:page;z-index:-251655168;mso-width-relative:page;mso-height-relative:page;" stroked="t" coordsize="21600,21600">
          <v:path arrowok="t"/>
          <v:fill focussize="0,0"/>
          <v:stroke weight="0.72pt" color="#000000"/>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2"/>
      <w:numFmt w:val="decimal"/>
      <w:lvlText w:val="%1"/>
      <w:lvlJc w:val="left"/>
      <w:pPr>
        <w:ind w:left="944" w:hanging="361"/>
        <w:jc w:val="left"/>
      </w:pPr>
      <w:rPr>
        <w:rFonts w:hint="default"/>
      </w:rPr>
    </w:lvl>
    <w:lvl w:ilvl="1" w:tentative="0">
      <w:start w:val="1"/>
      <w:numFmt w:val="decimal"/>
      <w:lvlText w:val="%1.%2"/>
      <w:lvlJc w:val="left"/>
      <w:pPr>
        <w:ind w:left="103" w:hanging="361"/>
        <w:jc w:val="left"/>
      </w:pPr>
      <w:rPr>
        <w:rFonts w:hint="default" w:ascii="宋体" w:hAnsi="宋体" w:eastAsia="宋体" w:cs="宋体"/>
        <w:w w:val="100"/>
        <w:sz w:val="22"/>
        <w:szCs w:val="22"/>
      </w:rPr>
    </w:lvl>
    <w:lvl w:ilvl="2" w:tentative="0">
      <w:start w:val="0"/>
      <w:numFmt w:val="bullet"/>
      <w:lvlText w:val="•"/>
      <w:lvlJc w:val="left"/>
      <w:pPr>
        <w:ind w:left="1918" w:hanging="361"/>
      </w:pPr>
      <w:rPr>
        <w:rFonts w:hint="default"/>
      </w:rPr>
    </w:lvl>
    <w:lvl w:ilvl="3" w:tentative="0">
      <w:start w:val="0"/>
      <w:numFmt w:val="bullet"/>
      <w:lvlText w:val="•"/>
      <w:lvlJc w:val="left"/>
      <w:pPr>
        <w:ind w:left="2896" w:hanging="361"/>
      </w:pPr>
      <w:rPr>
        <w:rFonts w:hint="default"/>
      </w:rPr>
    </w:lvl>
    <w:lvl w:ilvl="4" w:tentative="0">
      <w:start w:val="0"/>
      <w:numFmt w:val="bullet"/>
      <w:lvlText w:val="•"/>
      <w:lvlJc w:val="left"/>
      <w:pPr>
        <w:ind w:left="3875" w:hanging="361"/>
      </w:pPr>
      <w:rPr>
        <w:rFonts w:hint="default"/>
      </w:rPr>
    </w:lvl>
    <w:lvl w:ilvl="5" w:tentative="0">
      <w:start w:val="0"/>
      <w:numFmt w:val="bullet"/>
      <w:lvlText w:val="•"/>
      <w:lvlJc w:val="left"/>
      <w:pPr>
        <w:ind w:left="4853" w:hanging="361"/>
      </w:pPr>
      <w:rPr>
        <w:rFonts w:hint="default"/>
      </w:rPr>
    </w:lvl>
    <w:lvl w:ilvl="6" w:tentative="0">
      <w:start w:val="0"/>
      <w:numFmt w:val="bullet"/>
      <w:lvlText w:val="•"/>
      <w:lvlJc w:val="left"/>
      <w:pPr>
        <w:ind w:left="5832" w:hanging="361"/>
      </w:pPr>
      <w:rPr>
        <w:rFonts w:hint="default"/>
      </w:rPr>
    </w:lvl>
    <w:lvl w:ilvl="7" w:tentative="0">
      <w:start w:val="0"/>
      <w:numFmt w:val="bullet"/>
      <w:lvlText w:val="•"/>
      <w:lvlJc w:val="left"/>
      <w:pPr>
        <w:ind w:left="6810" w:hanging="361"/>
      </w:pPr>
      <w:rPr>
        <w:rFonts w:hint="default"/>
      </w:rPr>
    </w:lvl>
    <w:lvl w:ilvl="8" w:tentative="0">
      <w:start w:val="0"/>
      <w:numFmt w:val="bullet"/>
      <w:lvlText w:val="•"/>
      <w:lvlJc w:val="left"/>
      <w:pPr>
        <w:ind w:left="7789" w:hanging="361"/>
      </w:pPr>
      <w:rPr>
        <w:rFonts w:hint="default"/>
      </w:rPr>
    </w:lvl>
  </w:abstractNum>
  <w:abstractNum w:abstractNumId="1">
    <w:nsid w:val="BF205925"/>
    <w:multiLevelType w:val="multilevel"/>
    <w:tmpl w:val="BF205925"/>
    <w:lvl w:ilvl="0" w:tentative="0">
      <w:start w:val="1"/>
      <w:numFmt w:val="decimal"/>
      <w:lvlText w:val="%1"/>
      <w:lvlJc w:val="left"/>
      <w:pPr>
        <w:ind w:left="103" w:hanging="361"/>
        <w:jc w:val="left"/>
      </w:pPr>
      <w:rPr>
        <w:rFonts w:hint="default"/>
      </w:rPr>
    </w:lvl>
    <w:lvl w:ilvl="1" w:tentative="0">
      <w:start w:val="1"/>
      <w:numFmt w:val="decimal"/>
      <w:lvlText w:val="%1.%2"/>
      <w:lvlJc w:val="left"/>
      <w:pPr>
        <w:ind w:left="103" w:hanging="361"/>
        <w:jc w:val="left"/>
      </w:pPr>
      <w:rPr>
        <w:rFonts w:hint="default" w:ascii="宋体" w:hAnsi="宋体" w:eastAsia="宋体" w:cs="宋体"/>
        <w:w w:val="100"/>
        <w:sz w:val="22"/>
        <w:szCs w:val="22"/>
      </w:rPr>
    </w:lvl>
    <w:lvl w:ilvl="2" w:tentative="0">
      <w:start w:val="0"/>
      <w:numFmt w:val="bullet"/>
      <w:lvlText w:val="•"/>
      <w:lvlJc w:val="left"/>
      <w:pPr>
        <w:ind w:left="2029" w:hanging="361"/>
      </w:pPr>
      <w:rPr>
        <w:rFonts w:hint="default"/>
      </w:rPr>
    </w:lvl>
    <w:lvl w:ilvl="3" w:tentative="0">
      <w:start w:val="0"/>
      <w:numFmt w:val="bullet"/>
      <w:lvlText w:val="•"/>
      <w:lvlJc w:val="left"/>
      <w:pPr>
        <w:ind w:left="2993" w:hanging="361"/>
      </w:pPr>
      <w:rPr>
        <w:rFonts w:hint="default"/>
      </w:rPr>
    </w:lvl>
    <w:lvl w:ilvl="4" w:tentative="0">
      <w:start w:val="0"/>
      <w:numFmt w:val="bullet"/>
      <w:lvlText w:val="•"/>
      <w:lvlJc w:val="left"/>
      <w:pPr>
        <w:ind w:left="3958" w:hanging="361"/>
      </w:pPr>
      <w:rPr>
        <w:rFonts w:hint="default"/>
      </w:rPr>
    </w:lvl>
    <w:lvl w:ilvl="5" w:tentative="0">
      <w:start w:val="0"/>
      <w:numFmt w:val="bullet"/>
      <w:lvlText w:val="•"/>
      <w:lvlJc w:val="left"/>
      <w:pPr>
        <w:ind w:left="4923" w:hanging="361"/>
      </w:pPr>
      <w:rPr>
        <w:rFonts w:hint="default"/>
      </w:rPr>
    </w:lvl>
    <w:lvl w:ilvl="6" w:tentative="0">
      <w:start w:val="0"/>
      <w:numFmt w:val="bullet"/>
      <w:lvlText w:val="•"/>
      <w:lvlJc w:val="left"/>
      <w:pPr>
        <w:ind w:left="5887" w:hanging="361"/>
      </w:pPr>
      <w:rPr>
        <w:rFonts w:hint="default"/>
      </w:rPr>
    </w:lvl>
    <w:lvl w:ilvl="7" w:tentative="0">
      <w:start w:val="0"/>
      <w:numFmt w:val="bullet"/>
      <w:lvlText w:val="•"/>
      <w:lvlJc w:val="left"/>
      <w:pPr>
        <w:ind w:left="6852" w:hanging="361"/>
      </w:pPr>
      <w:rPr>
        <w:rFonts w:hint="default"/>
      </w:rPr>
    </w:lvl>
    <w:lvl w:ilvl="8" w:tentative="0">
      <w:start w:val="0"/>
      <w:numFmt w:val="bullet"/>
      <w:lvlText w:val="•"/>
      <w:lvlJc w:val="left"/>
      <w:pPr>
        <w:ind w:left="7816" w:hanging="361"/>
      </w:pPr>
      <w:rPr>
        <w:rFonts w:hint="default"/>
      </w:rPr>
    </w:lvl>
  </w:abstractNum>
  <w:abstractNum w:abstractNumId="2">
    <w:nsid w:val="F67ADA87"/>
    <w:multiLevelType w:val="singleLevel"/>
    <w:tmpl w:val="F67ADA87"/>
    <w:lvl w:ilvl="0" w:tentative="0">
      <w:start w:val="2"/>
      <w:numFmt w:val="decimal"/>
      <w:suff w:val="nothing"/>
      <w:lvlText w:val="%1、"/>
      <w:lvlJc w:val="left"/>
    </w:lvl>
  </w:abstractNum>
  <w:abstractNum w:abstractNumId="3">
    <w:nsid w:val="0053208E"/>
    <w:multiLevelType w:val="multilevel"/>
    <w:tmpl w:val="0053208E"/>
    <w:lvl w:ilvl="0" w:tentative="0">
      <w:start w:val="3"/>
      <w:numFmt w:val="decimal"/>
      <w:lvlText w:val="%1"/>
      <w:lvlJc w:val="left"/>
      <w:pPr>
        <w:ind w:left="103" w:hanging="365"/>
        <w:jc w:val="left"/>
      </w:pPr>
      <w:rPr>
        <w:rFonts w:hint="default"/>
      </w:rPr>
    </w:lvl>
    <w:lvl w:ilvl="1" w:tentative="0">
      <w:start w:val="1"/>
      <w:numFmt w:val="decimal"/>
      <w:lvlText w:val="%1.%2"/>
      <w:lvlJc w:val="left"/>
      <w:pPr>
        <w:ind w:left="103" w:hanging="365"/>
        <w:jc w:val="left"/>
      </w:pPr>
      <w:rPr>
        <w:rFonts w:hint="default" w:ascii="宋体" w:hAnsi="宋体" w:eastAsia="宋体" w:cs="宋体"/>
        <w:w w:val="100"/>
        <w:sz w:val="22"/>
        <w:szCs w:val="22"/>
      </w:rPr>
    </w:lvl>
    <w:lvl w:ilvl="2" w:tentative="0">
      <w:start w:val="0"/>
      <w:numFmt w:val="bullet"/>
      <w:lvlText w:val="•"/>
      <w:lvlJc w:val="left"/>
      <w:pPr>
        <w:ind w:left="2029" w:hanging="365"/>
      </w:pPr>
      <w:rPr>
        <w:rFonts w:hint="default"/>
      </w:rPr>
    </w:lvl>
    <w:lvl w:ilvl="3" w:tentative="0">
      <w:start w:val="0"/>
      <w:numFmt w:val="bullet"/>
      <w:lvlText w:val="•"/>
      <w:lvlJc w:val="left"/>
      <w:pPr>
        <w:ind w:left="2993" w:hanging="365"/>
      </w:pPr>
      <w:rPr>
        <w:rFonts w:hint="default"/>
      </w:rPr>
    </w:lvl>
    <w:lvl w:ilvl="4" w:tentative="0">
      <w:start w:val="0"/>
      <w:numFmt w:val="bullet"/>
      <w:lvlText w:val="•"/>
      <w:lvlJc w:val="left"/>
      <w:pPr>
        <w:ind w:left="3958" w:hanging="365"/>
      </w:pPr>
      <w:rPr>
        <w:rFonts w:hint="default"/>
      </w:rPr>
    </w:lvl>
    <w:lvl w:ilvl="5" w:tentative="0">
      <w:start w:val="0"/>
      <w:numFmt w:val="bullet"/>
      <w:lvlText w:val="•"/>
      <w:lvlJc w:val="left"/>
      <w:pPr>
        <w:ind w:left="4923" w:hanging="365"/>
      </w:pPr>
      <w:rPr>
        <w:rFonts w:hint="default"/>
      </w:rPr>
    </w:lvl>
    <w:lvl w:ilvl="6" w:tentative="0">
      <w:start w:val="0"/>
      <w:numFmt w:val="bullet"/>
      <w:lvlText w:val="•"/>
      <w:lvlJc w:val="left"/>
      <w:pPr>
        <w:ind w:left="5887" w:hanging="365"/>
      </w:pPr>
      <w:rPr>
        <w:rFonts w:hint="default"/>
      </w:rPr>
    </w:lvl>
    <w:lvl w:ilvl="7" w:tentative="0">
      <w:start w:val="0"/>
      <w:numFmt w:val="bullet"/>
      <w:lvlText w:val="•"/>
      <w:lvlJc w:val="left"/>
      <w:pPr>
        <w:ind w:left="6852" w:hanging="365"/>
      </w:pPr>
      <w:rPr>
        <w:rFonts w:hint="default"/>
      </w:rPr>
    </w:lvl>
    <w:lvl w:ilvl="8" w:tentative="0">
      <w:start w:val="0"/>
      <w:numFmt w:val="bullet"/>
      <w:lvlText w:val="•"/>
      <w:lvlJc w:val="left"/>
      <w:pPr>
        <w:ind w:left="7816" w:hanging="365"/>
      </w:pPr>
      <w:rPr>
        <w:rFonts w:hint="default"/>
      </w:rPr>
    </w:lvl>
  </w:abstractNum>
  <w:abstractNum w:abstractNumId="4">
    <w:nsid w:val="0248C179"/>
    <w:multiLevelType w:val="multilevel"/>
    <w:tmpl w:val="0248C179"/>
    <w:lvl w:ilvl="0" w:tentative="0">
      <w:start w:val="1"/>
      <w:numFmt w:val="decimal"/>
      <w:lvlText w:val="%1"/>
      <w:lvlJc w:val="left"/>
      <w:pPr>
        <w:ind w:left="103" w:hanging="361"/>
        <w:jc w:val="left"/>
      </w:pPr>
      <w:rPr>
        <w:rFonts w:hint="default"/>
      </w:rPr>
    </w:lvl>
    <w:lvl w:ilvl="1" w:tentative="0">
      <w:start w:val="1"/>
      <w:numFmt w:val="decimal"/>
      <w:lvlText w:val="%1.%2"/>
      <w:lvlJc w:val="left"/>
      <w:pPr>
        <w:ind w:left="103" w:hanging="361"/>
        <w:jc w:val="left"/>
      </w:pPr>
      <w:rPr>
        <w:rFonts w:hint="default" w:ascii="宋体" w:hAnsi="宋体" w:eastAsia="宋体" w:cs="宋体"/>
        <w:w w:val="100"/>
        <w:sz w:val="22"/>
        <w:szCs w:val="22"/>
      </w:rPr>
    </w:lvl>
    <w:lvl w:ilvl="2" w:tentative="0">
      <w:start w:val="0"/>
      <w:numFmt w:val="bullet"/>
      <w:lvlText w:val="•"/>
      <w:lvlJc w:val="left"/>
      <w:pPr>
        <w:ind w:left="2029" w:hanging="361"/>
      </w:pPr>
      <w:rPr>
        <w:rFonts w:hint="default"/>
      </w:rPr>
    </w:lvl>
    <w:lvl w:ilvl="3" w:tentative="0">
      <w:start w:val="0"/>
      <w:numFmt w:val="bullet"/>
      <w:lvlText w:val="•"/>
      <w:lvlJc w:val="left"/>
      <w:pPr>
        <w:ind w:left="2993" w:hanging="361"/>
      </w:pPr>
      <w:rPr>
        <w:rFonts w:hint="default"/>
      </w:rPr>
    </w:lvl>
    <w:lvl w:ilvl="4" w:tentative="0">
      <w:start w:val="0"/>
      <w:numFmt w:val="bullet"/>
      <w:lvlText w:val="•"/>
      <w:lvlJc w:val="left"/>
      <w:pPr>
        <w:ind w:left="3958" w:hanging="361"/>
      </w:pPr>
      <w:rPr>
        <w:rFonts w:hint="default"/>
      </w:rPr>
    </w:lvl>
    <w:lvl w:ilvl="5" w:tentative="0">
      <w:start w:val="0"/>
      <w:numFmt w:val="bullet"/>
      <w:lvlText w:val="•"/>
      <w:lvlJc w:val="left"/>
      <w:pPr>
        <w:ind w:left="4923" w:hanging="361"/>
      </w:pPr>
      <w:rPr>
        <w:rFonts w:hint="default"/>
      </w:rPr>
    </w:lvl>
    <w:lvl w:ilvl="6" w:tentative="0">
      <w:start w:val="0"/>
      <w:numFmt w:val="bullet"/>
      <w:lvlText w:val="•"/>
      <w:lvlJc w:val="left"/>
      <w:pPr>
        <w:ind w:left="5887" w:hanging="361"/>
      </w:pPr>
      <w:rPr>
        <w:rFonts w:hint="default"/>
      </w:rPr>
    </w:lvl>
    <w:lvl w:ilvl="7" w:tentative="0">
      <w:start w:val="0"/>
      <w:numFmt w:val="bullet"/>
      <w:lvlText w:val="•"/>
      <w:lvlJc w:val="left"/>
      <w:pPr>
        <w:ind w:left="6852" w:hanging="361"/>
      </w:pPr>
      <w:rPr>
        <w:rFonts w:hint="default"/>
      </w:rPr>
    </w:lvl>
    <w:lvl w:ilvl="8" w:tentative="0">
      <w:start w:val="0"/>
      <w:numFmt w:val="bullet"/>
      <w:lvlText w:val="•"/>
      <w:lvlJc w:val="left"/>
      <w:pPr>
        <w:ind w:left="7816" w:hanging="361"/>
      </w:pPr>
      <w:rPr>
        <w:rFonts w:hint="default"/>
      </w:rPr>
    </w:lvl>
  </w:abstractNum>
  <w:abstractNum w:abstractNumId="5">
    <w:nsid w:val="03D62ECE"/>
    <w:multiLevelType w:val="multilevel"/>
    <w:tmpl w:val="03D62ECE"/>
    <w:lvl w:ilvl="0" w:tentative="0">
      <w:start w:val="1"/>
      <w:numFmt w:val="decimal"/>
      <w:lvlText w:val="%1"/>
      <w:lvlJc w:val="left"/>
      <w:pPr>
        <w:ind w:left="103" w:hanging="363"/>
        <w:jc w:val="left"/>
      </w:pPr>
      <w:rPr>
        <w:rFonts w:hint="default"/>
      </w:rPr>
    </w:lvl>
    <w:lvl w:ilvl="1" w:tentative="0">
      <w:start w:val="1"/>
      <w:numFmt w:val="decimal"/>
      <w:lvlText w:val="%1.%2"/>
      <w:lvlJc w:val="left"/>
      <w:pPr>
        <w:ind w:left="103" w:hanging="363"/>
        <w:jc w:val="left"/>
      </w:pPr>
      <w:rPr>
        <w:rFonts w:hint="default" w:ascii="宋体" w:hAnsi="宋体" w:eastAsia="宋体" w:cs="宋体"/>
        <w:w w:val="100"/>
        <w:sz w:val="22"/>
        <w:szCs w:val="22"/>
      </w:rPr>
    </w:lvl>
    <w:lvl w:ilvl="2" w:tentative="0">
      <w:start w:val="0"/>
      <w:numFmt w:val="bullet"/>
      <w:lvlText w:val="•"/>
      <w:lvlJc w:val="left"/>
      <w:pPr>
        <w:ind w:left="2029" w:hanging="363"/>
      </w:pPr>
      <w:rPr>
        <w:rFonts w:hint="default"/>
      </w:rPr>
    </w:lvl>
    <w:lvl w:ilvl="3" w:tentative="0">
      <w:start w:val="0"/>
      <w:numFmt w:val="bullet"/>
      <w:lvlText w:val="•"/>
      <w:lvlJc w:val="left"/>
      <w:pPr>
        <w:ind w:left="2993" w:hanging="363"/>
      </w:pPr>
      <w:rPr>
        <w:rFonts w:hint="default"/>
      </w:rPr>
    </w:lvl>
    <w:lvl w:ilvl="4" w:tentative="0">
      <w:start w:val="0"/>
      <w:numFmt w:val="bullet"/>
      <w:lvlText w:val="•"/>
      <w:lvlJc w:val="left"/>
      <w:pPr>
        <w:ind w:left="3958" w:hanging="363"/>
      </w:pPr>
      <w:rPr>
        <w:rFonts w:hint="default"/>
      </w:rPr>
    </w:lvl>
    <w:lvl w:ilvl="5" w:tentative="0">
      <w:start w:val="0"/>
      <w:numFmt w:val="bullet"/>
      <w:lvlText w:val="•"/>
      <w:lvlJc w:val="left"/>
      <w:pPr>
        <w:ind w:left="4923" w:hanging="363"/>
      </w:pPr>
      <w:rPr>
        <w:rFonts w:hint="default"/>
      </w:rPr>
    </w:lvl>
    <w:lvl w:ilvl="6" w:tentative="0">
      <w:start w:val="0"/>
      <w:numFmt w:val="bullet"/>
      <w:lvlText w:val="•"/>
      <w:lvlJc w:val="left"/>
      <w:pPr>
        <w:ind w:left="5887" w:hanging="363"/>
      </w:pPr>
      <w:rPr>
        <w:rFonts w:hint="default"/>
      </w:rPr>
    </w:lvl>
    <w:lvl w:ilvl="7" w:tentative="0">
      <w:start w:val="0"/>
      <w:numFmt w:val="bullet"/>
      <w:lvlText w:val="•"/>
      <w:lvlJc w:val="left"/>
      <w:pPr>
        <w:ind w:left="6852" w:hanging="363"/>
      </w:pPr>
      <w:rPr>
        <w:rFonts w:hint="default"/>
      </w:rPr>
    </w:lvl>
    <w:lvl w:ilvl="8" w:tentative="0">
      <w:start w:val="0"/>
      <w:numFmt w:val="bullet"/>
      <w:lvlText w:val="•"/>
      <w:lvlJc w:val="left"/>
      <w:pPr>
        <w:ind w:left="7816" w:hanging="363"/>
      </w:pPr>
      <w:rPr>
        <w:rFonts w:hint="default"/>
      </w:rPr>
    </w:lvl>
  </w:abstractNum>
  <w:abstractNum w:abstractNumId="6">
    <w:nsid w:val="25B654F3"/>
    <w:multiLevelType w:val="multilevel"/>
    <w:tmpl w:val="25B654F3"/>
    <w:lvl w:ilvl="0" w:tentative="0">
      <w:start w:val="2"/>
      <w:numFmt w:val="decimal"/>
      <w:lvlText w:val="%1"/>
      <w:lvlJc w:val="left"/>
      <w:pPr>
        <w:ind w:left="103" w:hanging="363"/>
        <w:jc w:val="left"/>
      </w:pPr>
      <w:rPr>
        <w:rFonts w:hint="default"/>
      </w:rPr>
    </w:lvl>
    <w:lvl w:ilvl="1" w:tentative="0">
      <w:start w:val="1"/>
      <w:numFmt w:val="decimal"/>
      <w:lvlText w:val="%1.%2"/>
      <w:lvlJc w:val="left"/>
      <w:pPr>
        <w:ind w:left="103" w:hanging="363"/>
        <w:jc w:val="left"/>
      </w:pPr>
      <w:rPr>
        <w:rFonts w:hint="default" w:ascii="宋体" w:hAnsi="宋体" w:eastAsia="宋体" w:cs="宋体"/>
        <w:w w:val="100"/>
        <w:sz w:val="22"/>
        <w:szCs w:val="22"/>
      </w:rPr>
    </w:lvl>
    <w:lvl w:ilvl="2" w:tentative="0">
      <w:start w:val="0"/>
      <w:numFmt w:val="bullet"/>
      <w:lvlText w:val="•"/>
      <w:lvlJc w:val="left"/>
      <w:pPr>
        <w:ind w:left="2029" w:hanging="363"/>
      </w:pPr>
      <w:rPr>
        <w:rFonts w:hint="default"/>
      </w:rPr>
    </w:lvl>
    <w:lvl w:ilvl="3" w:tentative="0">
      <w:start w:val="0"/>
      <w:numFmt w:val="bullet"/>
      <w:lvlText w:val="•"/>
      <w:lvlJc w:val="left"/>
      <w:pPr>
        <w:ind w:left="2993" w:hanging="363"/>
      </w:pPr>
      <w:rPr>
        <w:rFonts w:hint="default"/>
      </w:rPr>
    </w:lvl>
    <w:lvl w:ilvl="4" w:tentative="0">
      <w:start w:val="0"/>
      <w:numFmt w:val="bullet"/>
      <w:lvlText w:val="•"/>
      <w:lvlJc w:val="left"/>
      <w:pPr>
        <w:ind w:left="3958" w:hanging="363"/>
      </w:pPr>
      <w:rPr>
        <w:rFonts w:hint="default"/>
      </w:rPr>
    </w:lvl>
    <w:lvl w:ilvl="5" w:tentative="0">
      <w:start w:val="0"/>
      <w:numFmt w:val="bullet"/>
      <w:lvlText w:val="•"/>
      <w:lvlJc w:val="left"/>
      <w:pPr>
        <w:ind w:left="4923" w:hanging="363"/>
      </w:pPr>
      <w:rPr>
        <w:rFonts w:hint="default"/>
      </w:rPr>
    </w:lvl>
    <w:lvl w:ilvl="6" w:tentative="0">
      <w:start w:val="0"/>
      <w:numFmt w:val="bullet"/>
      <w:lvlText w:val="•"/>
      <w:lvlJc w:val="left"/>
      <w:pPr>
        <w:ind w:left="5887" w:hanging="363"/>
      </w:pPr>
      <w:rPr>
        <w:rFonts w:hint="default"/>
      </w:rPr>
    </w:lvl>
    <w:lvl w:ilvl="7" w:tentative="0">
      <w:start w:val="0"/>
      <w:numFmt w:val="bullet"/>
      <w:lvlText w:val="•"/>
      <w:lvlJc w:val="left"/>
      <w:pPr>
        <w:ind w:left="6852" w:hanging="363"/>
      </w:pPr>
      <w:rPr>
        <w:rFonts w:hint="default"/>
      </w:rPr>
    </w:lvl>
    <w:lvl w:ilvl="8" w:tentative="0">
      <w:start w:val="0"/>
      <w:numFmt w:val="bullet"/>
      <w:lvlText w:val="•"/>
      <w:lvlJc w:val="left"/>
      <w:pPr>
        <w:ind w:left="7816" w:hanging="363"/>
      </w:pPr>
      <w:rPr>
        <w:rFonts w:hint="default"/>
      </w:rPr>
    </w:lvl>
  </w:abstractNum>
  <w:abstractNum w:abstractNumId="7">
    <w:nsid w:val="72183CF9"/>
    <w:multiLevelType w:val="multilevel"/>
    <w:tmpl w:val="72183CF9"/>
    <w:lvl w:ilvl="0" w:tentative="0">
      <w:start w:val="3"/>
      <w:numFmt w:val="decimal"/>
      <w:lvlText w:val="%1"/>
      <w:lvlJc w:val="left"/>
      <w:pPr>
        <w:ind w:left="944" w:hanging="361"/>
        <w:jc w:val="left"/>
      </w:pPr>
      <w:rPr>
        <w:rFonts w:hint="default"/>
      </w:rPr>
    </w:lvl>
    <w:lvl w:ilvl="1" w:tentative="0">
      <w:start w:val="1"/>
      <w:numFmt w:val="decimal"/>
      <w:lvlText w:val="%1.%2"/>
      <w:lvlJc w:val="left"/>
      <w:pPr>
        <w:ind w:left="103" w:hanging="361"/>
        <w:jc w:val="left"/>
      </w:pPr>
      <w:rPr>
        <w:rFonts w:hint="default" w:ascii="宋体" w:hAnsi="宋体" w:eastAsia="宋体" w:cs="宋体"/>
        <w:w w:val="100"/>
        <w:sz w:val="22"/>
        <w:szCs w:val="22"/>
      </w:rPr>
    </w:lvl>
    <w:lvl w:ilvl="2" w:tentative="0">
      <w:start w:val="0"/>
      <w:numFmt w:val="bullet"/>
      <w:lvlText w:val="•"/>
      <w:lvlJc w:val="left"/>
      <w:pPr>
        <w:ind w:left="1918" w:hanging="361"/>
      </w:pPr>
      <w:rPr>
        <w:rFonts w:hint="default"/>
      </w:rPr>
    </w:lvl>
    <w:lvl w:ilvl="3" w:tentative="0">
      <w:start w:val="0"/>
      <w:numFmt w:val="bullet"/>
      <w:lvlText w:val="•"/>
      <w:lvlJc w:val="left"/>
      <w:pPr>
        <w:ind w:left="2896" w:hanging="361"/>
      </w:pPr>
      <w:rPr>
        <w:rFonts w:hint="default"/>
      </w:rPr>
    </w:lvl>
    <w:lvl w:ilvl="4" w:tentative="0">
      <w:start w:val="0"/>
      <w:numFmt w:val="bullet"/>
      <w:lvlText w:val="•"/>
      <w:lvlJc w:val="left"/>
      <w:pPr>
        <w:ind w:left="3875" w:hanging="361"/>
      </w:pPr>
      <w:rPr>
        <w:rFonts w:hint="default"/>
      </w:rPr>
    </w:lvl>
    <w:lvl w:ilvl="5" w:tentative="0">
      <w:start w:val="0"/>
      <w:numFmt w:val="bullet"/>
      <w:lvlText w:val="•"/>
      <w:lvlJc w:val="left"/>
      <w:pPr>
        <w:ind w:left="4853" w:hanging="361"/>
      </w:pPr>
      <w:rPr>
        <w:rFonts w:hint="default"/>
      </w:rPr>
    </w:lvl>
    <w:lvl w:ilvl="6" w:tentative="0">
      <w:start w:val="0"/>
      <w:numFmt w:val="bullet"/>
      <w:lvlText w:val="•"/>
      <w:lvlJc w:val="left"/>
      <w:pPr>
        <w:ind w:left="5832" w:hanging="361"/>
      </w:pPr>
      <w:rPr>
        <w:rFonts w:hint="default"/>
      </w:rPr>
    </w:lvl>
    <w:lvl w:ilvl="7" w:tentative="0">
      <w:start w:val="0"/>
      <w:numFmt w:val="bullet"/>
      <w:lvlText w:val="•"/>
      <w:lvlJc w:val="left"/>
      <w:pPr>
        <w:ind w:left="6810" w:hanging="361"/>
      </w:pPr>
      <w:rPr>
        <w:rFonts w:hint="default"/>
      </w:rPr>
    </w:lvl>
    <w:lvl w:ilvl="8" w:tentative="0">
      <w:start w:val="0"/>
      <w:numFmt w:val="bullet"/>
      <w:lvlText w:val="•"/>
      <w:lvlJc w:val="left"/>
      <w:pPr>
        <w:ind w:left="7789" w:hanging="361"/>
      </w:pPr>
      <w:rPr>
        <w:rFonts w:hint="default"/>
      </w:rPr>
    </w:lvl>
  </w:abstractNum>
  <w:num w:numId="1">
    <w:abstractNumId w:val="3"/>
  </w:num>
  <w:num w:numId="2">
    <w:abstractNumId w:val="1"/>
  </w:num>
  <w:num w:numId="3">
    <w:abstractNumId w:val="0"/>
  </w:num>
  <w:num w:numId="4">
    <w:abstractNumId w:val="5"/>
  </w:num>
  <w:num w:numId="5">
    <w:abstractNumId w:val="6"/>
  </w:num>
  <w:num w:numId="6">
    <w:abstractNumId w:val="7"/>
  </w:num>
  <w:num w:numId="7">
    <w:abstractNumId w:val="2"/>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圆子">
    <w15:presenceInfo w15:providerId="WPS Office" w15:userId="1284057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3C590697"/>
    <w:rsid w:val="4FBC446F"/>
    <w:rsid w:val="573749A2"/>
    <w:rsid w:val="5D230106"/>
    <w:rsid w:val="6CF61AE3"/>
    <w:rsid w:val="786E42F4"/>
    <w:rsid w:val="7D291D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qFormat/>
    <w:uiPriority w:val="1"/>
    <w:pPr>
      <w:ind w:left="103"/>
      <w:outlineLvl w:val="1"/>
    </w:pPr>
    <w:rPr>
      <w:rFonts w:ascii="宋体" w:hAnsi="宋体" w:eastAsia="宋体" w:cs="宋体"/>
      <w:b/>
      <w:bCs/>
      <w:sz w:val="32"/>
      <w:szCs w:val="32"/>
    </w:rPr>
  </w:style>
  <w:style w:type="paragraph" w:styleId="4">
    <w:name w:val="heading 2"/>
    <w:basedOn w:val="1"/>
    <w:qFormat/>
    <w:uiPriority w:val="1"/>
    <w:pPr>
      <w:spacing w:before="1"/>
      <w:ind w:left="103"/>
      <w:outlineLvl w:val="2"/>
    </w:pPr>
    <w:rPr>
      <w:rFonts w:ascii="宋体" w:hAnsi="宋体" w:eastAsia="宋体" w:cs="宋体"/>
      <w:b/>
      <w:bCs/>
      <w:sz w:val="24"/>
      <w:szCs w:val="24"/>
    </w:rPr>
  </w:style>
  <w:style w:type="character" w:default="1" w:styleId="7">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5">
    <w:name w:val="Body Text"/>
    <w:basedOn w:val="1"/>
    <w:qFormat/>
    <w:uiPriority w:val="1"/>
    <w:pPr>
      <w:spacing w:before="1"/>
      <w:ind w:left="103"/>
    </w:pPr>
    <w:rPr>
      <w:rFonts w:ascii="宋体" w:hAnsi="宋体" w:eastAsia="宋体" w:cs="宋体"/>
      <w:sz w:val="24"/>
      <w:szCs w:val="24"/>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61"/>
      <w:ind w:left="103" w:right="343" w:firstLine="480"/>
    </w:pPr>
    <w:rPr>
      <w:rFonts w:ascii="宋体" w:hAnsi="宋体" w:eastAsia="宋体" w:cs="宋体"/>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11578</Words>
  <Characters>11908</Characters>
  <TotalTime>20</TotalTime>
  <ScaleCrop>false</ScaleCrop>
  <LinksUpToDate>false</LinksUpToDate>
  <CharactersWithSpaces>12200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2025-08-12T06:15:00Z</dcterms:created>
  <dc:creator>张鹏飞</dc:creator>
  <cp:lastModifiedBy>大圆子</cp:lastModifiedBy>
  <dcterms:modified xsi:type="dcterms:W3CDTF">2025-08-15T06:34:42Z</dcterms:modified>
  <dc:title>洛</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WPS 文字</vt:lpwstr>
  </property>
  <property fmtid="{D5CDD505-2E9C-101B-9397-08002B2CF9AE}" pid="4" name="LastSaved">
    <vt:filetime>2025-08-12T00:00:00Z</vt:filetime>
  </property>
  <property fmtid="{D5CDD505-2E9C-101B-9397-08002B2CF9AE}" pid="5" name="KSOTemplateDocerSaveRecord">
    <vt:lpwstr>eyJoZGlkIjoiNjYxYTdmYzVmNGMxNTk5YTkyMmRhNWFlZDQ4Zjc4NjYiLCJ1c2VySWQiOiIyMzQ0MjI1NzUifQ==</vt:lpwstr>
  </property>
  <property fmtid="{D5CDD505-2E9C-101B-9397-08002B2CF9AE}" pid="6" name="KSOProductBuildVer">
    <vt:lpwstr>2052-12.1.0.21915</vt:lpwstr>
  </property>
  <property fmtid="{D5CDD505-2E9C-101B-9397-08002B2CF9AE}" pid="7" name="ICV">
    <vt:lpwstr>C0F1CCBA402349A4A161FCE40E095510_12</vt:lpwstr>
  </property>
</Properties>
</file>