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C1D6BF">
      <w:pPr>
        <w:spacing w:line="360" w:lineRule="auto"/>
        <w:rPr>
          <w:rFonts w:hint="eastAsia" w:ascii="宋体" w:hAnsi="宋体" w:cs="宋体"/>
          <w:b/>
          <w:color w:val="auto"/>
          <w:sz w:val="44"/>
          <w:szCs w:val="44"/>
          <w:highlight w:val="none"/>
        </w:rPr>
      </w:pPr>
    </w:p>
    <w:p w14:paraId="36653196">
      <w:pPr>
        <w:pStyle w:val="54"/>
        <w:spacing w:line="360" w:lineRule="auto"/>
        <w:ind w:firstLine="1044" w:firstLineChars="200"/>
        <w:jc w:val="center"/>
        <w:rPr>
          <w:rFonts w:hint="eastAsia" w:hAnsi="宋体" w:cs="宋体"/>
          <w:bCs/>
          <w:color w:val="auto"/>
          <w:sz w:val="52"/>
          <w:szCs w:val="52"/>
          <w:highlight w:val="none"/>
        </w:rPr>
      </w:pPr>
    </w:p>
    <w:p w14:paraId="249544D7">
      <w:pPr>
        <w:pStyle w:val="91"/>
        <w:widowControl w:val="0"/>
        <w:autoSpaceDN w:val="0"/>
        <w:spacing w:line="360" w:lineRule="auto"/>
        <w:rPr>
          <w:rFonts w:hint="eastAsia" w:asciiTheme="minorEastAsia" w:hAnsiTheme="minorEastAsia" w:eastAsiaTheme="minorEastAsia" w:cstheme="minorEastAsia"/>
          <w:bCs/>
          <w:color w:val="auto"/>
          <w:sz w:val="48"/>
          <w:szCs w:val="48"/>
          <w:highlight w:val="none"/>
        </w:rPr>
      </w:pPr>
    </w:p>
    <w:p w14:paraId="1F088069">
      <w:pPr>
        <w:pStyle w:val="91"/>
        <w:widowControl w:val="0"/>
        <w:autoSpaceDN w:val="0"/>
        <w:spacing w:line="360" w:lineRule="auto"/>
        <w:jc w:val="center"/>
        <w:rPr>
          <w:rFonts w:hint="eastAsia" w:asciiTheme="minorEastAsia" w:hAnsiTheme="minorEastAsia" w:eastAsiaTheme="minorEastAsia" w:cstheme="minorEastAsia"/>
          <w:bCs/>
          <w:color w:val="auto"/>
          <w:sz w:val="48"/>
          <w:szCs w:val="48"/>
          <w:highlight w:val="none"/>
        </w:rPr>
      </w:pPr>
    </w:p>
    <w:p w14:paraId="40981E98">
      <w:pPr>
        <w:spacing w:before="156" w:beforeLines="50" w:after="156" w:afterLines="50" w:line="360" w:lineRule="auto"/>
        <w:ind w:right="120" w:rightChars="50"/>
        <w:jc w:val="center"/>
        <w:rPr>
          <w:rFonts w:hint="eastAsia" w:asciiTheme="minorEastAsia" w:hAnsiTheme="minorEastAsia" w:eastAsiaTheme="minorEastAsia" w:cstheme="minorEastAsia"/>
          <w:b/>
          <w:bCs w:val="0"/>
          <w:color w:val="auto"/>
          <w:sz w:val="36"/>
          <w:szCs w:val="36"/>
          <w:highlight w:val="none"/>
        </w:rPr>
      </w:pPr>
      <w:r>
        <w:rPr>
          <w:rFonts w:hint="eastAsia" w:asciiTheme="minorEastAsia" w:hAnsiTheme="minorEastAsia" w:eastAsiaTheme="minorEastAsia" w:cstheme="minorEastAsia"/>
          <w:b/>
          <w:bCs w:val="0"/>
          <w:color w:val="auto"/>
          <w:sz w:val="36"/>
          <w:szCs w:val="36"/>
          <w:highlight w:val="none"/>
          <w:shd w:val="clear" w:color="auto" w:fill="FFFFFF"/>
          <w:lang w:val="en-US" w:eastAsia="zh-CN"/>
        </w:rPr>
        <w:t>开元壹号天逸项目</w:t>
      </w:r>
      <w:r>
        <w:rPr>
          <w:rFonts w:hint="eastAsia" w:asciiTheme="minorEastAsia" w:hAnsiTheme="minorEastAsia" w:eastAsiaTheme="minorEastAsia" w:cstheme="minorEastAsia"/>
          <w:b/>
          <w:bCs w:val="0"/>
          <w:color w:val="auto"/>
          <w:sz w:val="36"/>
          <w:szCs w:val="36"/>
          <w:highlight w:val="none"/>
          <w:shd w:val="clear" w:color="auto" w:fill="FFFFFF"/>
        </w:rPr>
        <w:t>公区、大堂及门头精装修工程合同</w:t>
      </w:r>
    </w:p>
    <w:p w14:paraId="3E510C08">
      <w:pPr>
        <w:autoSpaceDN w:val="0"/>
        <w:spacing w:line="360" w:lineRule="auto"/>
        <w:ind w:firstLine="2530" w:firstLineChars="1050"/>
        <w:rPr>
          <w:rFonts w:hint="eastAsia" w:asciiTheme="minorEastAsia" w:hAnsiTheme="minorEastAsia" w:eastAsiaTheme="minorEastAsia" w:cstheme="minorEastAsia"/>
          <w:b/>
          <w:color w:val="auto"/>
          <w:szCs w:val="24"/>
          <w:highlight w:val="none"/>
        </w:rPr>
      </w:pPr>
      <w:r>
        <w:rPr>
          <w:rFonts w:hint="eastAsia" w:asciiTheme="minorEastAsia" w:hAnsiTheme="minorEastAsia" w:eastAsiaTheme="minorEastAsia" w:cstheme="minorEastAsia"/>
          <w:b/>
          <w:color w:val="auto"/>
          <w:szCs w:val="24"/>
          <w:highlight w:val="none"/>
        </w:rPr>
        <w:t xml:space="preserve">     </w:t>
      </w:r>
      <w:bookmarkStart w:id="0" w:name="_GoBack"/>
      <w:bookmarkEnd w:id="0"/>
    </w:p>
    <w:p w14:paraId="6B702150">
      <w:pPr>
        <w:autoSpaceDN w:val="0"/>
        <w:spacing w:line="360" w:lineRule="auto"/>
        <w:ind w:firstLine="723" w:firstLineChars="300"/>
        <w:rPr>
          <w:rFonts w:hint="eastAsia" w:asciiTheme="minorEastAsia" w:hAnsiTheme="minorEastAsia" w:eastAsiaTheme="minorEastAsia" w:cstheme="minorEastAsia"/>
          <w:b/>
          <w:color w:val="auto"/>
          <w:szCs w:val="24"/>
          <w:highlight w:val="none"/>
        </w:rPr>
      </w:pPr>
    </w:p>
    <w:p w14:paraId="13DE8C29">
      <w:pPr>
        <w:autoSpaceDN w:val="0"/>
        <w:spacing w:line="360" w:lineRule="auto"/>
        <w:ind w:firstLine="723" w:firstLineChars="300"/>
        <w:rPr>
          <w:rFonts w:hint="eastAsia" w:asciiTheme="minorEastAsia" w:hAnsiTheme="minorEastAsia" w:eastAsiaTheme="minorEastAsia" w:cstheme="minorEastAsia"/>
          <w:b/>
          <w:color w:val="auto"/>
          <w:szCs w:val="24"/>
          <w:highlight w:val="none"/>
        </w:rPr>
      </w:pPr>
    </w:p>
    <w:p w14:paraId="0BF595EB">
      <w:pPr>
        <w:pStyle w:val="17"/>
        <w:rPr>
          <w:rFonts w:hint="eastAsia" w:asciiTheme="minorEastAsia" w:hAnsiTheme="minorEastAsia" w:eastAsiaTheme="minorEastAsia" w:cstheme="minorEastAsia"/>
          <w:b/>
          <w:color w:val="auto"/>
          <w:highlight w:val="none"/>
        </w:rPr>
      </w:pPr>
    </w:p>
    <w:p w14:paraId="3F524BF9">
      <w:pPr>
        <w:pStyle w:val="54"/>
        <w:autoSpaceDN w:val="0"/>
        <w:spacing w:line="360" w:lineRule="auto"/>
        <w:ind w:firstLine="723" w:firstLineChars="300"/>
        <w:rPr>
          <w:rFonts w:hint="eastAsia" w:asciiTheme="minorEastAsia" w:hAnsiTheme="minorEastAsia" w:eastAsiaTheme="minorEastAsia" w:cstheme="minorEastAsia"/>
          <w:color w:val="auto"/>
          <w:szCs w:val="24"/>
          <w:highlight w:val="none"/>
        </w:rPr>
      </w:pPr>
    </w:p>
    <w:p w14:paraId="6C1A96CD">
      <w:pPr>
        <w:autoSpaceDN w:val="0"/>
        <w:spacing w:line="360" w:lineRule="auto"/>
        <w:ind w:firstLine="723" w:firstLineChars="300"/>
        <w:rPr>
          <w:rFonts w:hint="eastAsia" w:asciiTheme="minorEastAsia" w:hAnsiTheme="minorEastAsia" w:eastAsiaTheme="minorEastAsia" w:cstheme="minorEastAsia"/>
          <w:b/>
          <w:color w:val="auto"/>
          <w:szCs w:val="24"/>
          <w:highlight w:val="none"/>
        </w:rPr>
      </w:pPr>
    </w:p>
    <w:p w14:paraId="268BE099">
      <w:pPr>
        <w:autoSpaceDN w:val="0"/>
        <w:spacing w:line="360" w:lineRule="auto"/>
        <w:ind w:firstLine="723" w:firstLineChars="300"/>
        <w:rPr>
          <w:rFonts w:hint="eastAsia" w:asciiTheme="minorEastAsia" w:hAnsiTheme="minorEastAsia" w:eastAsiaTheme="minorEastAsia" w:cstheme="minorEastAsia"/>
          <w:b/>
          <w:color w:val="auto"/>
          <w:szCs w:val="24"/>
          <w:highlight w:val="none"/>
        </w:rPr>
      </w:pPr>
    </w:p>
    <w:p w14:paraId="538D2144">
      <w:pPr>
        <w:autoSpaceDN w:val="0"/>
        <w:spacing w:line="360" w:lineRule="auto"/>
        <w:ind w:firstLine="723" w:firstLineChars="300"/>
        <w:rPr>
          <w:rFonts w:hint="eastAsia" w:asciiTheme="minorEastAsia" w:hAnsiTheme="minorEastAsia" w:eastAsiaTheme="minorEastAsia" w:cstheme="minorEastAsia"/>
          <w:b/>
          <w:color w:val="auto"/>
          <w:szCs w:val="24"/>
          <w:highlight w:val="none"/>
        </w:rPr>
      </w:pPr>
    </w:p>
    <w:p w14:paraId="24F0F68E">
      <w:pPr>
        <w:autoSpaceDN w:val="0"/>
        <w:spacing w:line="360" w:lineRule="auto"/>
        <w:rPr>
          <w:rFonts w:hint="eastAsia" w:asciiTheme="minorEastAsia" w:hAnsiTheme="minorEastAsia" w:eastAsiaTheme="minorEastAsia" w:cstheme="minorEastAsia"/>
          <w:b/>
          <w:bCs w:val="0"/>
          <w:color w:val="auto"/>
          <w:szCs w:val="24"/>
          <w:highlight w:val="none"/>
        </w:rPr>
      </w:pPr>
    </w:p>
    <w:p w14:paraId="1BA3D9C9">
      <w:pPr>
        <w:autoSpaceDN w:val="0"/>
        <w:spacing w:line="360" w:lineRule="auto"/>
        <w:ind w:firstLine="843" w:firstLineChars="280"/>
        <w:rPr>
          <w:rFonts w:hint="default" w:asciiTheme="minorEastAsia" w:hAnsiTheme="minorEastAsia" w:eastAsiaTheme="minorEastAsia" w:cstheme="minorEastAsia"/>
          <w:b/>
          <w:color w:val="auto"/>
          <w:sz w:val="30"/>
          <w:szCs w:val="30"/>
          <w:highlight w:val="none"/>
          <w:u w:val="single"/>
          <w:lang w:val="en-US" w:eastAsia="zh-CN"/>
        </w:rPr>
      </w:pPr>
      <w:r>
        <w:rPr>
          <w:rFonts w:hint="eastAsia" w:asciiTheme="minorEastAsia" w:hAnsiTheme="minorEastAsia" w:eastAsiaTheme="minorEastAsia" w:cstheme="minorEastAsia"/>
          <w:b/>
          <w:color w:val="auto"/>
          <w:sz w:val="30"/>
          <w:szCs w:val="30"/>
          <w:highlight w:val="none"/>
        </w:rPr>
        <w:t xml:space="preserve">            成本代码：</w:t>
      </w:r>
      <w:r>
        <w:rPr>
          <w:rFonts w:hint="eastAsia" w:asciiTheme="minorEastAsia" w:hAnsiTheme="minorEastAsia" w:eastAsiaTheme="minorEastAsia" w:cstheme="minorEastAsia"/>
          <w:b/>
          <w:color w:val="auto"/>
          <w:sz w:val="30"/>
          <w:szCs w:val="30"/>
          <w:highlight w:val="none"/>
          <w:u w:val="single"/>
          <w:lang w:val="en-US" w:eastAsia="zh-CN"/>
        </w:rPr>
        <w:t>3.3.1</w:t>
      </w:r>
    </w:p>
    <w:p w14:paraId="321F1CA5">
      <w:pPr>
        <w:autoSpaceDN w:val="0"/>
        <w:spacing w:line="360" w:lineRule="auto"/>
        <w:ind w:firstLine="843" w:firstLineChars="280"/>
        <w:rPr>
          <w:rFonts w:hint="eastAsia" w:asciiTheme="minorEastAsia" w:hAnsiTheme="minorEastAsia" w:eastAsiaTheme="minorEastAsia" w:cstheme="minorEastAsia"/>
          <w:b/>
          <w:color w:val="auto"/>
          <w:sz w:val="30"/>
          <w:szCs w:val="30"/>
          <w:highlight w:val="none"/>
          <w:lang w:eastAsia="zh-CN"/>
        </w:rPr>
      </w:pPr>
      <w:r>
        <w:rPr>
          <w:rFonts w:hint="eastAsia" w:asciiTheme="minorEastAsia" w:hAnsiTheme="minorEastAsia" w:eastAsiaTheme="minorEastAsia" w:cstheme="minorEastAsia"/>
          <w:b/>
          <w:color w:val="auto"/>
          <w:sz w:val="30"/>
          <w:szCs w:val="30"/>
          <w:highlight w:val="none"/>
        </w:rPr>
        <w:t xml:space="preserve">           合同编号：</w:t>
      </w:r>
      <w:r>
        <w:rPr>
          <w:rFonts w:hint="eastAsia" w:ascii="宋体" w:hAnsi="宋体" w:eastAsia="宋体" w:cs="宋体"/>
          <w:b/>
          <w:bCs/>
          <w:color w:val="auto"/>
          <w:sz w:val="30"/>
          <w:szCs w:val="30"/>
          <w:highlight w:val="none"/>
        </w:rPr>
        <w:t>KYYH.66-JA-05</w:t>
      </w:r>
      <w:r>
        <w:rPr>
          <w:rFonts w:hint="eastAsia" w:ascii="宋体" w:hAnsi="宋体" w:eastAsia="宋体" w:cs="宋体"/>
          <w:b/>
          <w:bCs/>
          <w:color w:val="auto"/>
          <w:sz w:val="30"/>
          <w:szCs w:val="30"/>
          <w:highlight w:val="none"/>
          <w:lang w:val="en-US" w:eastAsia="zh-CN"/>
        </w:rPr>
        <w:t xml:space="preserve">6  </w:t>
      </w:r>
    </w:p>
    <w:p w14:paraId="7E66F7DE">
      <w:pPr>
        <w:spacing w:line="360" w:lineRule="auto"/>
        <w:ind w:firstLine="840" w:firstLineChars="280"/>
        <w:rPr>
          <w:rFonts w:hint="eastAsia" w:asciiTheme="minorEastAsia" w:hAnsiTheme="minorEastAsia" w:eastAsiaTheme="minorEastAsia" w:cstheme="minorEastAsia"/>
          <w:color w:val="auto"/>
          <w:sz w:val="30"/>
          <w:szCs w:val="30"/>
          <w:highlight w:val="none"/>
        </w:rPr>
      </w:pPr>
    </w:p>
    <w:p w14:paraId="773CF1BC">
      <w:pPr>
        <w:pStyle w:val="54"/>
        <w:autoSpaceDN w:val="0"/>
        <w:spacing w:line="360" w:lineRule="auto"/>
        <w:ind w:firstLine="843" w:firstLineChars="280"/>
        <w:rPr>
          <w:rFonts w:hint="eastAsia" w:asciiTheme="minorEastAsia" w:hAnsiTheme="minorEastAsia" w:eastAsiaTheme="minorEastAsia" w:cstheme="minorEastAsia"/>
          <w:color w:val="auto"/>
          <w:sz w:val="30"/>
          <w:szCs w:val="30"/>
          <w:highlight w:val="none"/>
        </w:rPr>
      </w:pPr>
    </w:p>
    <w:p w14:paraId="35322D2E">
      <w:pPr>
        <w:pStyle w:val="18"/>
        <w:spacing w:line="360" w:lineRule="auto"/>
        <w:rPr>
          <w:rFonts w:hint="eastAsia" w:asciiTheme="minorEastAsia" w:hAnsiTheme="minorEastAsia" w:eastAsiaTheme="minorEastAsia" w:cstheme="minorEastAsia"/>
          <w:color w:val="auto"/>
          <w:highlight w:val="none"/>
        </w:rPr>
      </w:pPr>
    </w:p>
    <w:p w14:paraId="6246FB01">
      <w:pPr>
        <w:pStyle w:val="19"/>
        <w:spacing w:line="360" w:lineRule="auto"/>
        <w:rPr>
          <w:rFonts w:hint="eastAsia" w:asciiTheme="minorEastAsia" w:hAnsiTheme="minorEastAsia" w:eastAsiaTheme="minorEastAsia" w:cstheme="minorEastAsia"/>
          <w:color w:val="auto"/>
          <w:highlight w:val="none"/>
        </w:rPr>
      </w:pPr>
    </w:p>
    <w:p w14:paraId="5781E447">
      <w:pPr>
        <w:spacing w:line="360" w:lineRule="auto"/>
        <w:ind w:firstLine="1506" w:firstLineChars="500"/>
        <w:jc w:val="left"/>
        <w:rPr>
          <w:rFonts w:hint="eastAsia" w:asciiTheme="minorEastAsia" w:hAnsiTheme="minorEastAsia" w:eastAsiaTheme="minorEastAsia" w:cstheme="minorEastAsia"/>
          <w:color w:val="auto"/>
          <w:kern w:val="0"/>
          <w:sz w:val="30"/>
          <w:szCs w:val="30"/>
          <w:highlight w:val="none"/>
          <w:u w:val="single"/>
          <w:lang w:val="en-US" w:eastAsia="zh-CN"/>
        </w:rPr>
      </w:pPr>
      <w:r>
        <w:rPr>
          <w:rFonts w:hint="eastAsia" w:asciiTheme="minorEastAsia" w:hAnsiTheme="minorEastAsia" w:eastAsiaTheme="minorEastAsia" w:cstheme="minorEastAsia"/>
          <w:b/>
          <w:color w:val="auto"/>
          <w:kern w:val="0"/>
          <w:sz w:val="30"/>
          <w:szCs w:val="30"/>
          <w:highlight w:val="none"/>
        </w:rPr>
        <w:t>发 包 人：</w:t>
      </w:r>
      <w:r>
        <w:rPr>
          <w:rFonts w:hint="eastAsia" w:asciiTheme="minorEastAsia" w:hAnsiTheme="minorEastAsia" w:eastAsiaTheme="minorEastAsia" w:cstheme="minorEastAsia"/>
          <w:b/>
          <w:color w:val="auto"/>
          <w:kern w:val="0"/>
          <w:sz w:val="30"/>
          <w:szCs w:val="30"/>
          <w:highlight w:val="none"/>
          <w:u w:val="none"/>
          <w:lang w:val="en-US" w:eastAsia="zh-CN"/>
        </w:rPr>
        <w:t>洛阳浩德鑫置地有限公司</w:t>
      </w:r>
    </w:p>
    <w:p w14:paraId="72B46D7B">
      <w:pPr>
        <w:spacing w:line="360" w:lineRule="auto"/>
        <w:ind w:firstLine="1506" w:firstLineChars="500"/>
        <w:jc w:val="left"/>
        <w:rPr>
          <w:rFonts w:hint="default" w:asciiTheme="minorEastAsia" w:hAnsiTheme="minorEastAsia" w:eastAsiaTheme="minorEastAsia" w:cstheme="minorEastAsia"/>
          <w:b/>
          <w:color w:val="auto"/>
          <w:kern w:val="0"/>
          <w:sz w:val="30"/>
          <w:szCs w:val="30"/>
          <w:highlight w:val="none"/>
          <w:u w:val="single"/>
          <w:lang w:val="en-US" w:eastAsia="zh-CN"/>
        </w:rPr>
      </w:pPr>
      <w:r>
        <w:rPr>
          <w:rFonts w:hint="eastAsia" w:asciiTheme="minorEastAsia" w:hAnsiTheme="minorEastAsia" w:eastAsiaTheme="minorEastAsia" w:cstheme="minorEastAsia"/>
          <w:b/>
          <w:color w:val="auto"/>
          <w:kern w:val="0"/>
          <w:sz w:val="30"/>
          <w:szCs w:val="30"/>
          <w:highlight w:val="none"/>
        </w:rPr>
        <w:t>承 包 人：</w:t>
      </w:r>
      <w:r>
        <w:rPr>
          <w:rFonts w:hint="eastAsia" w:asciiTheme="minorEastAsia" w:hAnsiTheme="minorEastAsia" w:eastAsiaTheme="minorEastAsia" w:cstheme="minorEastAsia"/>
          <w:b/>
          <w:color w:val="auto"/>
          <w:kern w:val="0"/>
          <w:sz w:val="30"/>
          <w:szCs w:val="30"/>
          <w:highlight w:val="none"/>
          <w:lang w:eastAsia="zh-CN"/>
        </w:rPr>
        <w:t>河南洪海实业有限公司</w:t>
      </w:r>
      <w:r>
        <w:rPr>
          <w:rFonts w:hint="eastAsia" w:asciiTheme="minorEastAsia" w:hAnsiTheme="minorEastAsia" w:eastAsiaTheme="minorEastAsia" w:cstheme="minorEastAsia"/>
          <w:b/>
          <w:color w:val="auto"/>
          <w:kern w:val="0"/>
          <w:sz w:val="30"/>
          <w:szCs w:val="30"/>
          <w:highlight w:val="none"/>
          <w:lang w:val="en-US" w:eastAsia="zh-CN"/>
        </w:rPr>
        <w:t xml:space="preserve">             </w:t>
      </w:r>
    </w:p>
    <w:p w14:paraId="3C8CAA81">
      <w:pPr>
        <w:spacing w:line="360" w:lineRule="auto"/>
        <w:ind w:firstLine="1506" w:firstLineChars="500"/>
        <w:jc w:val="left"/>
        <w:rPr>
          <w:rFonts w:hint="eastAsia" w:asciiTheme="minorEastAsia" w:hAnsiTheme="minorEastAsia" w:eastAsiaTheme="minorEastAsia" w:cstheme="minorEastAsia"/>
          <w:b/>
          <w:color w:val="auto"/>
          <w:kern w:val="0"/>
          <w:sz w:val="30"/>
          <w:szCs w:val="30"/>
          <w:highlight w:val="none"/>
        </w:rPr>
        <w:sectPr>
          <w:headerReference r:id="rId3" w:type="default"/>
          <w:footerReference r:id="rId4" w:type="default"/>
          <w:pgSz w:w="11906" w:h="16838"/>
          <w:pgMar w:top="1304" w:right="1304" w:bottom="1304" w:left="1064" w:header="851" w:footer="850" w:gutter="0"/>
          <w:cols w:space="425" w:num="1"/>
          <w:docGrid w:type="lines" w:linePitch="312" w:charSpace="0"/>
        </w:sectPr>
      </w:pPr>
      <w:r>
        <w:rPr>
          <w:rFonts w:hint="eastAsia" w:asciiTheme="minorEastAsia" w:hAnsiTheme="minorEastAsia" w:eastAsiaTheme="minorEastAsia" w:cstheme="minorEastAsia"/>
          <w:b/>
          <w:color w:val="auto"/>
          <w:kern w:val="0"/>
          <w:sz w:val="30"/>
          <w:szCs w:val="30"/>
          <w:highlight w:val="none"/>
        </w:rPr>
        <w:t>签订时间：</w:t>
      </w:r>
      <w:r>
        <w:rPr>
          <w:rFonts w:hint="eastAsia" w:asciiTheme="minorEastAsia" w:hAnsiTheme="minorEastAsia" w:eastAsiaTheme="minorEastAsia" w:cstheme="minorEastAsia"/>
          <w:b/>
          <w:color w:val="auto"/>
          <w:kern w:val="0"/>
          <w:sz w:val="30"/>
          <w:szCs w:val="30"/>
          <w:highlight w:val="none"/>
          <w:u w:val="single"/>
          <w:lang w:val="en-US" w:eastAsia="zh-CN"/>
        </w:rPr>
        <w:t>2025</w:t>
      </w:r>
      <w:r>
        <w:rPr>
          <w:rFonts w:hint="eastAsia" w:asciiTheme="minorEastAsia" w:hAnsiTheme="minorEastAsia" w:eastAsiaTheme="minorEastAsia" w:cstheme="minorEastAsia"/>
          <w:b/>
          <w:color w:val="auto"/>
          <w:kern w:val="0"/>
          <w:sz w:val="30"/>
          <w:szCs w:val="30"/>
          <w:highlight w:val="none"/>
        </w:rPr>
        <w:t>年</w:t>
      </w:r>
      <w:r>
        <w:rPr>
          <w:rFonts w:hint="eastAsia" w:asciiTheme="minorEastAsia" w:hAnsiTheme="minorEastAsia" w:eastAsiaTheme="minorEastAsia" w:cstheme="minorEastAsia"/>
          <w:b/>
          <w:color w:val="auto"/>
          <w:kern w:val="0"/>
          <w:sz w:val="30"/>
          <w:szCs w:val="30"/>
          <w:highlight w:val="none"/>
          <w:lang w:val="en-US" w:eastAsia="zh-CN"/>
        </w:rPr>
        <w:t xml:space="preserve"> </w:t>
      </w:r>
      <w:r>
        <w:rPr>
          <w:rFonts w:hint="eastAsia" w:asciiTheme="minorEastAsia" w:hAnsiTheme="minorEastAsia" w:eastAsiaTheme="minorEastAsia" w:cstheme="minorEastAsia"/>
          <w:b/>
          <w:color w:val="auto"/>
          <w:kern w:val="0"/>
          <w:sz w:val="30"/>
          <w:szCs w:val="30"/>
          <w:highlight w:val="none"/>
          <w:u w:val="single"/>
          <w:lang w:val="en-US" w:eastAsia="zh-CN"/>
        </w:rPr>
        <w:t>9</w:t>
      </w:r>
      <w:r>
        <w:rPr>
          <w:rFonts w:hint="eastAsia" w:asciiTheme="minorEastAsia" w:hAnsiTheme="minorEastAsia" w:eastAsiaTheme="minorEastAsia" w:cstheme="minorEastAsia"/>
          <w:b/>
          <w:color w:val="auto"/>
          <w:kern w:val="0"/>
          <w:sz w:val="30"/>
          <w:szCs w:val="30"/>
          <w:highlight w:val="none"/>
        </w:rPr>
        <w:t>月</w:t>
      </w:r>
      <w:r>
        <w:rPr>
          <w:rFonts w:hint="eastAsia" w:asciiTheme="minorEastAsia" w:hAnsiTheme="minorEastAsia" w:eastAsiaTheme="minorEastAsia" w:cstheme="minorEastAsia"/>
          <w:b/>
          <w:color w:val="auto"/>
          <w:kern w:val="0"/>
          <w:sz w:val="30"/>
          <w:szCs w:val="30"/>
          <w:highlight w:val="none"/>
          <w:u w:val="single"/>
          <w:lang w:val="en-US" w:eastAsia="zh-CN"/>
        </w:rPr>
        <w:t xml:space="preserve">    </w:t>
      </w:r>
      <w:r>
        <w:rPr>
          <w:rFonts w:hint="eastAsia" w:asciiTheme="minorEastAsia" w:hAnsiTheme="minorEastAsia" w:eastAsiaTheme="minorEastAsia" w:cstheme="minorEastAsia"/>
          <w:b/>
          <w:color w:val="auto"/>
          <w:kern w:val="0"/>
          <w:sz w:val="30"/>
          <w:szCs w:val="30"/>
          <w:highlight w:val="none"/>
        </w:rPr>
        <w:t>日</w:t>
      </w:r>
    </w:p>
    <w:p w14:paraId="0970AC1A">
      <w:pPr>
        <w:spacing w:before="156" w:beforeLines="50" w:after="156" w:afterLines="50" w:line="360" w:lineRule="auto"/>
        <w:ind w:right="120" w:rightChars="50"/>
        <w:jc w:val="center"/>
        <w:rPr>
          <w:rFonts w:hint="eastAsia" w:asciiTheme="minorEastAsia" w:hAnsiTheme="minorEastAsia" w:eastAsiaTheme="minorEastAsia" w:cstheme="minorEastAsia"/>
          <w:b/>
          <w:color w:val="auto"/>
          <w:szCs w:val="24"/>
          <w:highlight w:val="none"/>
        </w:rPr>
      </w:pPr>
      <w:r>
        <w:rPr>
          <w:rFonts w:hint="eastAsia" w:asciiTheme="minorEastAsia" w:hAnsiTheme="minorEastAsia" w:eastAsiaTheme="minorEastAsia" w:cstheme="minorEastAsia"/>
          <w:b/>
          <w:color w:val="auto"/>
          <w:sz w:val="32"/>
          <w:szCs w:val="32"/>
          <w:highlight w:val="none"/>
          <w:shd w:val="clear" w:color="auto" w:fill="FFFFFF"/>
          <w:lang w:val="en-US" w:eastAsia="zh-CN"/>
        </w:rPr>
        <w:t xml:space="preserve"> </w:t>
      </w:r>
      <w:r>
        <w:rPr>
          <w:rFonts w:hint="eastAsia" w:asciiTheme="minorEastAsia" w:hAnsiTheme="minorEastAsia" w:eastAsiaTheme="minorEastAsia" w:cstheme="minorEastAsia"/>
          <w:b/>
          <w:bCs w:val="0"/>
          <w:color w:val="auto"/>
          <w:sz w:val="36"/>
          <w:szCs w:val="36"/>
          <w:highlight w:val="none"/>
          <w:shd w:val="clear" w:color="auto" w:fill="FFFFFF"/>
          <w:lang w:val="en-US" w:eastAsia="zh-CN"/>
        </w:rPr>
        <w:t>开元壹号天逸项目</w:t>
      </w:r>
      <w:r>
        <w:rPr>
          <w:rFonts w:hint="eastAsia" w:asciiTheme="minorEastAsia" w:hAnsiTheme="minorEastAsia" w:eastAsiaTheme="minorEastAsia" w:cstheme="minorEastAsia"/>
          <w:b/>
          <w:color w:val="auto"/>
          <w:sz w:val="32"/>
          <w:szCs w:val="32"/>
          <w:highlight w:val="none"/>
          <w:shd w:val="clear" w:color="auto" w:fill="FFFFFF"/>
          <w:lang w:eastAsia="zh-CN"/>
        </w:rPr>
        <w:t>公区、大堂</w:t>
      </w:r>
      <w:r>
        <w:rPr>
          <w:rFonts w:hint="eastAsia" w:asciiTheme="minorEastAsia" w:hAnsiTheme="minorEastAsia" w:eastAsiaTheme="minorEastAsia" w:cstheme="minorEastAsia"/>
          <w:b/>
          <w:color w:val="auto"/>
          <w:sz w:val="32"/>
          <w:szCs w:val="32"/>
          <w:highlight w:val="none"/>
          <w:shd w:val="clear" w:color="auto" w:fill="FFFFFF"/>
        </w:rPr>
        <w:t>及门头精装修工程合同</w:t>
      </w:r>
    </w:p>
    <w:p w14:paraId="484A76D9">
      <w:pPr>
        <w:spacing w:line="360" w:lineRule="auto"/>
        <w:jc w:val="left"/>
        <w:rPr>
          <w:rFonts w:hint="eastAsia" w:asciiTheme="majorEastAsia" w:hAnsiTheme="majorEastAsia" w:eastAsiaTheme="majorEastAsia" w:cstheme="majorEastAsia"/>
          <w:b/>
          <w:bCs/>
          <w:color w:val="auto"/>
          <w:szCs w:val="24"/>
          <w:highlight w:val="none"/>
          <w:u w:val="single"/>
          <w:lang w:val="en-US" w:eastAsia="zh-CN"/>
        </w:rPr>
      </w:pPr>
      <w:r>
        <w:rPr>
          <w:rFonts w:hint="eastAsia" w:asciiTheme="majorEastAsia" w:hAnsiTheme="majorEastAsia" w:eastAsiaTheme="majorEastAsia" w:cstheme="majorEastAsia"/>
          <w:b/>
          <w:bCs/>
          <w:color w:val="auto"/>
          <w:kern w:val="0"/>
          <w:position w:val="-10"/>
          <w:szCs w:val="24"/>
          <w:highlight w:val="none"/>
        </w:rPr>
        <w:t>发包人（以下简称甲方）：</w:t>
      </w:r>
      <w:r>
        <w:rPr>
          <w:rFonts w:hint="eastAsia" w:asciiTheme="majorEastAsia" w:hAnsiTheme="majorEastAsia" w:eastAsiaTheme="majorEastAsia" w:cstheme="majorEastAsia"/>
          <w:b/>
          <w:bCs/>
          <w:color w:val="auto"/>
          <w:kern w:val="0"/>
          <w:position w:val="-10"/>
          <w:szCs w:val="24"/>
          <w:highlight w:val="none"/>
          <w:u w:val="single"/>
          <w:lang w:val="en-US" w:eastAsia="zh-CN"/>
        </w:rPr>
        <w:t xml:space="preserve"> 洛阳浩德鑫置地有限公司</w:t>
      </w:r>
    </w:p>
    <w:p w14:paraId="558974C4">
      <w:pPr>
        <w:pStyle w:val="54"/>
        <w:spacing w:line="360" w:lineRule="auto"/>
        <w:rPr>
          <w:rFonts w:hint="eastAsia" w:asciiTheme="majorEastAsia" w:hAnsiTheme="majorEastAsia" w:eastAsiaTheme="majorEastAsia" w:cstheme="majorEastAsia"/>
          <w:b/>
          <w:bCs/>
          <w:sz w:val="24"/>
          <w:szCs w:val="24"/>
          <w:u w:val="single"/>
        </w:rPr>
      </w:pPr>
      <w:r>
        <w:rPr>
          <w:rFonts w:hint="eastAsia" w:asciiTheme="majorEastAsia" w:hAnsiTheme="majorEastAsia" w:eastAsiaTheme="majorEastAsia" w:cstheme="majorEastAsia"/>
          <w:b/>
          <w:bCs/>
          <w:color w:val="auto"/>
          <w:szCs w:val="24"/>
          <w:highlight w:val="none"/>
        </w:rPr>
        <w:t>统一社会信用代</w:t>
      </w:r>
      <w:r>
        <w:rPr>
          <w:rFonts w:hint="eastAsia" w:asciiTheme="majorEastAsia" w:hAnsiTheme="majorEastAsia" w:eastAsiaTheme="majorEastAsia" w:cstheme="majorEastAsia"/>
          <w:b/>
          <w:bCs/>
          <w:sz w:val="24"/>
          <w:szCs w:val="24"/>
          <w:u w:val="single"/>
        </w:rPr>
        <w:t>码：</w:t>
      </w:r>
      <w:r>
        <w:rPr>
          <w:rFonts w:hint="eastAsia" w:asciiTheme="majorEastAsia" w:hAnsiTheme="majorEastAsia" w:eastAsiaTheme="majorEastAsia" w:cstheme="majorEastAsia"/>
          <w:b/>
          <w:bCs/>
          <w:kern w:val="0"/>
          <w:position w:val="-10"/>
          <w:sz w:val="24"/>
          <w:szCs w:val="24"/>
          <w:u w:val="single"/>
        </w:rPr>
        <w:t>914103005542480325</w:t>
      </w:r>
    </w:p>
    <w:p w14:paraId="290B071D">
      <w:pPr>
        <w:pStyle w:val="54"/>
        <w:spacing w:line="360" w:lineRule="auto"/>
        <w:rPr>
          <w:rFonts w:hint="eastAsia" w:asciiTheme="majorEastAsia" w:hAnsiTheme="majorEastAsia" w:eastAsiaTheme="majorEastAsia" w:cstheme="majorEastAsia"/>
          <w:b/>
          <w:bCs/>
          <w:color w:val="auto"/>
          <w:szCs w:val="24"/>
          <w:highlight w:val="none"/>
          <w:u w:val="single"/>
          <w:lang w:val="en-US" w:eastAsia="zh-CN"/>
        </w:rPr>
      </w:pPr>
      <w:r>
        <w:rPr>
          <w:rFonts w:hint="eastAsia" w:asciiTheme="majorEastAsia" w:hAnsiTheme="majorEastAsia" w:eastAsiaTheme="majorEastAsia" w:cstheme="majorEastAsia"/>
          <w:b/>
          <w:bCs/>
          <w:color w:val="auto"/>
          <w:szCs w:val="24"/>
          <w:highlight w:val="none"/>
        </w:rPr>
        <w:t>承包人（以下简称乙方）：</w:t>
      </w:r>
      <w:r>
        <w:rPr>
          <w:rFonts w:hint="eastAsia" w:asciiTheme="majorEastAsia" w:hAnsiTheme="majorEastAsia" w:eastAsiaTheme="majorEastAsia" w:cstheme="majorEastAsia"/>
          <w:b/>
          <w:bCs/>
          <w:color w:val="auto"/>
          <w:szCs w:val="24"/>
          <w:highlight w:val="none"/>
          <w:u w:val="single"/>
          <w:lang w:val="en-US" w:eastAsia="zh-CN"/>
        </w:rPr>
        <w:t xml:space="preserve"> 河南洪海实业有限公司</w:t>
      </w:r>
    </w:p>
    <w:p w14:paraId="03A41210">
      <w:pPr>
        <w:pStyle w:val="54"/>
        <w:spacing w:line="360" w:lineRule="auto"/>
        <w:rPr>
          <w:rFonts w:hint="eastAsia" w:asciiTheme="majorEastAsia" w:hAnsiTheme="majorEastAsia" w:eastAsiaTheme="majorEastAsia" w:cstheme="majorEastAsia"/>
          <w:b/>
          <w:bCs/>
          <w:color w:val="auto"/>
          <w:szCs w:val="24"/>
          <w:highlight w:val="none"/>
        </w:rPr>
      </w:pPr>
      <w:r>
        <w:rPr>
          <w:rFonts w:hint="eastAsia" w:asciiTheme="majorEastAsia" w:hAnsiTheme="majorEastAsia" w:eastAsiaTheme="majorEastAsia" w:cstheme="majorEastAsia"/>
          <w:b/>
          <w:bCs/>
          <w:color w:val="auto"/>
          <w:szCs w:val="24"/>
          <w:highlight w:val="none"/>
        </w:rPr>
        <w:t>统一社会信用代码：</w:t>
      </w:r>
      <w:r>
        <w:rPr>
          <w:rFonts w:hint="eastAsia" w:asciiTheme="majorEastAsia" w:hAnsiTheme="majorEastAsia" w:eastAsiaTheme="majorEastAsia" w:cstheme="majorEastAsia"/>
          <w:b/>
          <w:bCs/>
          <w:color w:val="auto"/>
          <w:szCs w:val="24"/>
          <w:highlight w:val="none"/>
          <w:u w:val="single"/>
        </w:rPr>
        <w:t xml:space="preserve"> </w:t>
      </w:r>
      <w:r>
        <w:rPr>
          <w:rFonts w:hint="eastAsia" w:asciiTheme="majorEastAsia" w:hAnsiTheme="majorEastAsia" w:eastAsiaTheme="majorEastAsia" w:cstheme="majorEastAsia"/>
          <w:b/>
          <w:bCs/>
          <w:color w:val="auto"/>
          <w:szCs w:val="24"/>
          <w:highlight w:val="none"/>
          <w:u w:val="single"/>
          <w:lang w:val="en-US" w:eastAsia="zh-CN"/>
        </w:rPr>
        <w:t xml:space="preserve"> </w:t>
      </w:r>
      <w:r>
        <w:rPr>
          <w:rFonts w:hint="eastAsia" w:asciiTheme="majorEastAsia" w:hAnsiTheme="majorEastAsia" w:eastAsiaTheme="majorEastAsia" w:cstheme="majorEastAsia"/>
          <w:b/>
          <w:bCs/>
          <w:sz w:val="24"/>
          <w:szCs w:val="24"/>
          <w:u w:val="single"/>
        </w:rPr>
        <w:t>91410200070087789P</w:t>
      </w:r>
      <w:r>
        <w:rPr>
          <w:rFonts w:hint="eastAsia" w:asciiTheme="majorEastAsia" w:hAnsiTheme="majorEastAsia" w:eastAsiaTheme="majorEastAsia" w:cstheme="majorEastAsia"/>
          <w:b/>
          <w:bCs/>
          <w:color w:val="auto"/>
          <w:szCs w:val="24"/>
          <w:highlight w:val="none"/>
          <w:u w:val="none"/>
          <w:lang w:val="en-US" w:eastAsia="zh-CN"/>
        </w:rPr>
        <w:t xml:space="preserve"> </w:t>
      </w:r>
      <w:r>
        <w:rPr>
          <w:rFonts w:hint="eastAsia" w:asciiTheme="majorEastAsia" w:hAnsiTheme="majorEastAsia" w:eastAsiaTheme="majorEastAsia" w:cstheme="majorEastAsia"/>
          <w:b/>
          <w:bCs/>
          <w:color w:val="auto"/>
          <w:szCs w:val="24"/>
          <w:highlight w:val="none"/>
          <w:u w:val="none"/>
        </w:rPr>
        <w:t xml:space="preserve"> </w:t>
      </w:r>
    </w:p>
    <w:p w14:paraId="5612ED3D">
      <w:pPr>
        <w:wordWrap w:val="0"/>
        <w:topLinePunct/>
        <w:autoSpaceDE w:val="0"/>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依照《中华人民共和国民法典》、《中华人民共和国建筑法》及其他有关法律、行政法规，遵循平等、自愿、公平和诚实信用的原则，双方就</w:t>
      </w:r>
      <w:r>
        <w:rPr>
          <w:rFonts w:hint="eastAsia" w:asciiTheme="minorEastAsia" w:hAnsiTheme="minorEastAsia" w:eastAsiaTheme="minorEastAsia" w:cstheme="minorEastAsia"/>
          <w:b w:val="0"/>
          <w:bCs w:val="0"/>
          <w:color w:val="auto"/>
          <w:sz w:val="24"/>
          <w:szCs w:val="24"/>
          <w:highlight w:val="none"/>
          <w:u w:val="single"/>
          <w:shd w:val="clear"/>
          <w:lang w:val="en-US" w:eastAsia="zh-CN"/>
        </w:rPr>
        <w:t>开元壹号天逸项目</w:t>
      </w:r>
      <w:r>
        <w:rPr>
          <w:rFonts w:hint="eastAsia" w:asciiTheme="minorEastAsia" w:hAnsiTheme="minorEastAsia" w:eastAsiaTheme="minorEastAsia" w:cstheme="minorEastAsia"/>
          <w:color w:val="auto"/>
          <w:szCs w:val="24"/>
          <w:highlight w:val="none"/>
          <w:u w:val="single"/>
          <w:lang w:eastAsia="zh-CN"/>
        </w:rPr>
        <w:t>公区、大堂</w:t>
      </w:r>
      <w:r>
        <w:rPr>
          <w:rFonts w:hint="eastAsia" w:asciiTheme="minorEastAsia" w:hAnsiTheme="minorEastAsia" w:eastAsiaTheme="minorEastAsia" w:cstheme="minorEastAsia"/>
          <w:color w:val="auto"/>
          <w:szCs w:val="24"/>
          <w:highlight w:val="none"/>
          <w:u w:val="single"/>
        </w:rPr>
        <w:t xml:space="preserve">及门头精装修工程 </w:t>
      </w:r>
      <w:r>
        <w:rPr>
          <w:rFonts w:hint="eastAsia" w:asciiTheme="minorEastAsia" w:hAnsiTheme="minorEastAsia" w:eastAsiaTheme="minorEastAsia" w:cstheme="minorEastAsia"/>
          <w:color w:val="auto"/>
          <w:szCs w:val="24"/>
          <w:highlight w:val="none"/>
        </w:rPr>
        <w:t>事项协商一致，订立本合同。</w:t>
      </w:r>
    </w:p>
    <w:p w14:paraId="7DAD4E3E">
      <w:pPr>
        <w:numPr>
          <w:ilvl w:val="0"/>
          <w:numId w:val="2"/>
        </w:numPr>
        <w:tabs>
          <w:tab w:val="left" w:pos="0"/>
        </w:tabs>
        <w:wordWrap w:val="0"/>
        <w:topLinePunct/>
        <w:autoSpaceDE w:val="0"/>
        <w:spacing w:line="360" w:lineRule="auto"/>
        <w:ind w:left="-420" w:firstLine="42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b/>
          <w:bCs/>
          <w:color w:val="auto"/>
          <w:szCs w:val="24"/>
          <w:highlight w:val="none"/>
        </w:rPr>
        <w:t>工程概况</w:t>
      </w:r>
    </w:p>
    <w:p w14:paraId="25938257">
      <w:pPr>
        <w:numPr>
          <w:ilvl w:val="0"/>
          <w:numId w:val="3"/>
        </w:numPr>
        <w:wordWrap w:val="0"/>
        <w:topLinePunct/>
        <w:autoSpaceDE w:val="0"/>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工程名称：</w:t>
      </w:r>
      <w:r>
        <w:rPr>
          <w:rFonts w:hint="eastAsia" w:asciiTheme="minorEastAsia" w:hAnsiTheme="minorEastAsia" w:eastAsiaTheme="minorEastAsia" w:cstheme="minorEastAsia"/>
          <w:b w:val="0"/>
          <w:bCs w:val="0"/>
          <w:color w:val="auto"/>
          <w:sz w:val="24"/>
          <w:szCs w:val="24"/>
          <w:highlight w:val="none"/>
          <w:u w:val="single"/>
          <w:shd w:val="clear"/>
          <w:lang w:val="en-US" w:eastAsia="zh-CN"/>
        </w:rPr>
        <w:t>开元壹号天逸项目</w:t>
      </w:r>
      <w:r>
        <w:rPr>
          <w:rFonts w:hint="eastAsia" w:asciiTheme="minorEastAsia" w:hAnsiTheme="minorEastAsia" w:eastAsiaTheme="minorEastAsia" w:cstheme="minorEastAsia"/>
          <w:color w:val="auto"/>
          <w:szCs w:val="24"/>
          <w:highlight w:val="none"/>
          <w:u w:val="single"/>
          <w:lang w:eastAsia="zh-CN"/>
        </w:rPr>
        <w:t>公区、大堂</w:t>
      </w:r>
      <w:r>
        <w:rPr>
          <w:rFonts w:hint="eastAsia" w:asciiTheme="minorEastAsia" w:hAnsiTheme="minorEastAsia" w:eastAsiaTheme="minorEastAsia" w:cstheme="minorEastAsia"/>
          <w:color w:val="auto"/>
          <w:szCs w:val="24"/>
          <w:highlight w:val="none"/>
          <w:u w:val="single"/>
        </w:rPr>
        <w:t>及门头精装修工程</w:t>
      </w:r>
      <w:r>
        <w:rPr>
          <w:rFonts w:hint="eastAsia" w:asciiTheme="minorEastAsia" w:hAnsiTheme="minorEastAsia" w:eastAsiaTheme="minorEastAsia" w:cstheme="minorEastAsia"/>
          <w:color w:val="auto"/>
          <w:szCs w:val="24"/>
          <w:highlight w:val="none"/>
          <w:u w:val="single"/>
          <w:lang w:val="en-US" w:eastAsia="zh-CN"/>
        </w:rPr>
        <w:t xml:space="preserve"> </w:t>
      </w:r>
      <w:r>
        <w:rPr>
          <w:rFonts w:hint="eastAsia" w:asciiTheme="minorEastAsia" w:hAnsiTheme="minorEastAsia" w:eastAsiaTheme="minorEastAsia" w:cstheme="minorEastAsia"/>
          <w:color w:val="auto"/>
          <w:szCs w:val="24"/>
          <w:highlight w:val="none"/>
        </w:rPr>
        <w:t>。</w:t>
      </w:r>
    </w:p>
    <w:p w14:paraId="12C62782">
      <w:pPr>
        <w:numPr>
          <w:ilvl w:val="0"/>
          <w:numId w:val="3"/>
        </w:numPr>
        <w:wordWrap w:val="0"/>
        <w:topLinePunct/>
        <w:autoSpaceDE w:val="0"/>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val="en-US" w:eastAsia="zh-CN"/>
        </w:rPr>
        <w:t>工</w:t>
      </w:r>
      <w:r>
        <w:rPr>
          <w:rFonts w:hint="eastAsia" w:asciiTheme="minorEastAsia" w:hAnsiTheme="minorEastAsia" w:eastAsiaTheme="minorEastAsia" w:cstheme="minorEastAsia"/>
          <w:color w:val="auto"/>
          <w:szCs w:val="24"/>
          <w:highlight w:val="none"/>
        </w:rPr>
        <w:t>程地点：</w:t>
      </w:r>
      <w:r>
        <w:rPr>
          <w:rFonts w:hint="eastAsia" w:asciiTheme="minorEastAsia" w:hAnsiTheme="minorEastAsia" w:eastAsiaTheme="minorEastAsia" w:cstheme="minorEastAsia"/>
          <w:szCs w:val="24"/>
          <w:u w:val="single"/>
          <w:lang w:val="en-US" w:eastAsia="zh-CN"/>
        </w:rPr>
        <w:t>洛阳市开元壹号天逸项目</w:t>
      </w:r>
      <w:r>
        <w:rPr>
          <w:rFonts w:hint="eastAsia" w:asciiTheme="minorEastAsia" w:hAnsiTheme="minorEastAsia" w:eastAsiaTheme="minorEastAsia" w:cstheme="minorEastAsia"/>
          <w:color w:val="auto"/>
          <w:szCs w:val="24"/>
          <w:highlight w:val="none"/>
          <w:u w:val="none"/>
        </w:rPr>
        <w:t xml:space="preserve"> </w:t>
      </w:r>
      <w:r>
        <w:rPr>
          <w:rFonts w:hint="eastAsia" w:asciiTheme="minorEastAsia" w:hAnsiTheme="minorEastAsia" w:eastAsiaTheme="minorEastAsia" w:cstheme="minorEastAsia"/>
          <w:color w:val="auto"/>
          <w:szCs w:val="24"/>
          <w:highlight w:val="none"/>
        </w:rPr>
        <w:t>。</w:t>
      </w:r>
    </w:p>
    <w:p w14:paraId="35D68F9E">
      <w:pPr>
        <w:numPr>
          <w:ilvl w:val="0"/>
          <w:numId w:val="2"/>
        </w:numPr>
        <w:tabs>
          <w:tab w:val="left" w:pos="0"/>
        </w:tabs>
        <w:wordWrap w:val="0"/>
        <w:topLinePunct/>
        <w:autoSpaceDE w:val="0"/>
        <w:spacing w:line="360" w:lineRule="auto"/>
        <w:ind w:left="-420" w:firstLine="420"/>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Cs w:val="24"/>
          <w:highlight w:val="none"/>
        </w:rPr>
        <w:t>工程承包范围</w:t>
      </w:r>
    </w:p>
    <w:p w14:paraId="20467D06">
      <w:pPr>
        <w:numPr>
          <w:ilvl w:val="0"/>
          <w:numId w:val="4"/>
        </w:numPr>
        <w:wordWrap w:val="0"/>
        <w:topLinePunct/>
        <w:autoSpaceDE w:val="0"/>
        <w:spacing w:line="360" w:lineRule="auto"/>
        <w:ind w:left="665" w:hanging="425" w:firstLineChars="0"/>
        <w:rPr>
          <w:rFonts w:hint="eastAsia" w:asciiTheme="minorEastAsia" w:hAnsiTheme="minorEastAsia" w:eastAsiaTheme="minorEastAsia" w:cstheme="minorEastAsia"/>
          <w:b w:val="0"/>
          <w:color w:val="auto"/>
          <w:kern w:val="2"/>
          <w:position w:val="0"/>
          <w:szCs w:val="24"/>
          <w:highlight w:val="none"/>
        </w:rPr>
      </w:pPr>
      <w:r>
        <w:rPr>
          <w:rFonts w:hint="eastAsia" w:asciiTheme="minorEastAsia" w:hAnsiTheme="minorEastAsia" w:eastAsiaTheme="minorEastAsia" w:cstheme="minorEastAsia"/>
          <w:b w:val="0"/>
          <w:color w:val="auto"/>
          <w:kern w:val="2"/>
          <w:position w:val="0"/>
          <w:szCs w:val="24"/>
          <w:highlight w:val="none"/>
        </w:rPr>
        <w:t>承包范围：</w:t>
      </w:r>
      <w:r>
        <w:rPr>
          <w:rFonts w:hint="eastAsia" w:asciiTheme="minorEastAsia" w:hAnsiTheme="minorEastAsia" w:eastAsiaTheme="minorEastAsia" w:cstheme="minorEastAsia"/>
          <w:b w:val="0"/>
          <w:color w:val="auto"/>
          <w:kern w:val="2"/>
          <w:position w:val="0"/>
          <w:szCs w:val="24"/>
          <w:highlight w:val="none"/>
          <w:lang w:val="en-US" w:eastAsia="zh-CN"/>
        </w:rPr>
        <w:t>负一层、负二层大堂，东塔一层大堂，主楼5层至24层电梯前室及走道（样板层除外）；负二层至6层地砖及踢脚线；公共卫生间及物业用房。</w:t>
      </w:r>
      <w:r>
        <w:rPr>
          <w:rFonts w:hint="eastAsia" w:asciiTheme="minorEastAsia" w:hAnsiTheme="minorEastAsia" w:eastAsiaTheme="minorEastAsia" w:cstheme="minorEastAsia"/>
          <w:b w:val="0"/>
          <w:color w:val="auto"/>
          <w:kern w:val="2"/>
          <w:position w:val="0"/>
          <w:szCs w:val="24"/>
          <w:highlight w:val="none"/>
          <w:u w:val="none"/>
          <w:lang w:val="en-US" w:eastAsia="zh-CN"/>
        </w:rPr>
        <w:t xml:space="preserve"> </w:t>
      </w:r>
    </w:p>
    <w:p w14:paraId="767AF761">
      <w:pPr>
        <w:numPr>
          <w:ilvl w:val="0"/>
          <w:numId w:val="4"/>
        </w:numPr>
        <w:wordWrap w:val="0"/>
        <w:topLinePunct/>
        <w:autoSpaceDE w:val="0"/>
        <w:spacing w:line="360" w:lineRule="auto"/>
        <w:ind w:left="665" w:hanging="425" w:firstLineChars="0"/>
        <w:rPr>
          <w:rFonts w:hint="eastAsia" w:asciiTheme="minorEastAsia" w:hAnsiTheme="minorEastAsia" w:eastAsiaTheme="minorEastAsia" w:cstheme="minorEastAsia"/>
          <w:b w:val="0"/>
          <w:color w:val="auto"/>
          <w:kern w:val="2"/>
          <w:position w:val="0"/>
          <w:szCs w:val="24"/>
          <w:highlight w:val="none"/>
        </w:rPr>
      </w:pPr>
      <w:r>
        <w:rPr>
          <w:rFonts w:hint="eastAsia" w:asciiTheme="minorEastAsia" w:hAnsiTheme="minorEastAsia" w:eastAsiaTheme="minorEastAsia" w:cstheme="minorEastAsia"/>
          <w:b w:val="0"/>
          <w:color w:val="auto"/>
          <w:kern w:val="2"/>
          <w:position w:val="0"/>
          <w:szCs w:val="24"/>
          <w:highlight w:val="none"/>
        </w:rPr>
        <w:t>具体详见《图纸》及附件《价格清单》。</w:t>
      </w:r>
    </w:p>
    <w:p w14:paraId="62AAF32E">
      <w:pPr>
        <w:numPr>
          <w:ilvl w:val="0"/>
          <w:numId w:val="4"/>
        </w:numPr>
        <w:wordWrap w:val="0"/>
        <w:topLinePunct/>
        <w:autoSpaceDE w:val="0"/>
        <w:spacing w:line="360" w:lineRule="auto"/>
        <w:ind w:left="665" w:hanging="425" w:firstLineChars="0"/>
        <w:rPr>
          <w:rFonts w:hint="eastAsia" w:asciiTheme="minorEastAsia" w:hAnsiTheme="minorEastAsia" w:eastAsiaTheme="minorEastAsia" w:cstheme="minorEastAsia"/>
          <w:b w:val="0"/>
          <w:color w:val="auto"/>
          <w:kern w:val="2"/>
          <w:position w:val="0"/>
          <w:szCs w:val="24"/>
          <w:highlight w:val="none"/>
        </w:rPr>
      </w:pPr>
      <w:r>
        <w:rPr>
          <w:rFonts w:hint="eastAsia" w:asciiTheme="minorEastAsia" w:hAnsiTheme="minorEastAsia" w:eastAsiaTheme="minorEastAsia" w:cstheme="minorEastAsia"/>
          <w:b w:val="0"/>
          <w:color w:val="auto"/>
          <w:kern w:val="2"/>
          <w:position w:val="0"/>
          <w:szCs w:val="24"/>
          <w:highlight w:val="none"/>
        </w:rPr>
        <w:t>甲方要求其它内容（包括且不限于</w:t>
      </w:r>
      <w:r>
        <w:rPr>
          <w:rFonts w:hint="eastAsia" w:asciiTheme="minorEastAsia" w:hAnsiTheme="minorEastAsia" w:eastAsiaTheme="minorEastAsia" w:cstheme="minorEastAsia"/>
          <w:b w:val="0"/>
          <w:color w:val="auto"/>
          <w:kern w:val="2"/>
          <w:position w:val="0"/>
          <w:szCs w:val="24"/>
          <w:highlight w:val="none"/>
          <w:lang w:eastAsia="zh-CN"/>
        </w:rPr>
        <w:t>承包范围内</w:t>
      </w:r>
      <w:r>
        <w:rPr>
          <w:rFonts w:hint="eastAsia" w:asciiTheme="minorEastAsia" w:hAnsiTheme="minorEastAsia" w:eastAsiaTheme="minorEastAsia" w:cstheme="minorEastAsia"/>
          <w:b w:val="0"/>
          <w:color w:val="auto"/>
          <w:kern w:val="2"/>
          <w:position w:val="0"/>
          <w:szCs w:val="24"/>
          <w:highlight w:val="none"/>
        </w:rPr>
        <w:t>通电接线、配合消防及给水等其它后续永久工程提前施工）。</w:t>
      </w:r>
    </w:p>
    <w:p w14:paraId="4652144F">
      <w:pPr>
        <w:numPr>
          <w:ilvl w:val="0"/>
          <w:numId w:val="4"/>
        </w:numPr>
        <w:wordWrap w:val="0"/>
        <w:topLinePunct/>
        <w:autoSpaceDE w:val="0"/>
        <w:spacing w:line="360" w:lineRule="auto"/>
        <w:ind w:left="665" w:hanging="425" w:firstLineChars="0"/>
        <w:rPr>
          <w:rFonts w:hint="eastAsia" w:asciiTheme="minorEastAsia" w:hAnsiTheme="minorEastAsia" w:eastAsiaTheme="minorEastAsia" w:cstheme="minorEastAsia"/>
          <w:color w:val="auto"/>
          <w:szCs w:val="24"/>
          <w:highlight w:val="none"/>
          <w:lang w:eastAsia="zh-CN"/>
        </w:rPr>
      </w:pPr>
      <w:r>
        <w:rPr>
          <w:rFonts w:hint="eastAsia" w:asciiTheme="minorEastAsia" w:hAnsiTheme="minorEastAsia" w:eastAsiaTheme="minorEastAsia" w:cstheme="minorEastAsia"/>
          <w:color w:val="auto"/>
          <w:szCs w:val="24"/>
          <w:highlight w:val="none"/>
        </w:rPr>
        <w:t>界线划分：具体</w:t>
      </w:r>
      <w:r>
        <w:rPr>
          <w:rFonts w:hint="eastAsia" w:asciiTheme="minorEastAsia" w:hAnsiTheme="minorEastAsia" w:eastAsiaTheme="minorEastAsia" w:cstheme="minorEastAsia"/>
          <w:color w:val="auto"/>
          <w:szCs w:val="24"/>
          <w:highlight w:val="none"/>
          <w:lang w:eastAsia="zh-CN"/>
        </w:rPr>
        <w:t>按甲方书面</w:t>
      </w:r>
      <w:r>
        <w:rPr>
          <w:rFonts w:hint="eastAsia" w:asciiTheme="minorEastAsia" w:hAnsiTheme="minorEastAsia" w:eastAsiaTheme="minorEastAsia" w:cstheme="minorEastAsia"/>
          <w:color w:val="auto"/>
          <w:szCs w:val="24"/>
          <w:highlight w:val="none"/>
        </w:rPr>
        <w:t>界定</w:t>
      </w:r>
      <w:r>
        <w:rPr>
          <w:rFonts w:hint="eastAsia" w:asciiTheme="minorEastAsia" w:hAnsiTheme="minorEastAsia" w:eastAsiaTheme="minorEastAsia" w:cstheme="minorEastAsia"/>
          <w:color w:val="auto"/>
          <w:szCs w:val="24"/>
          <w:highlight w:val="none"/>
          <w:lang w:eastAsia="zh-CN"/>
        </w:rPr>
        <w:t>。</w:t>
      </w:r>
    </w:p>
    <w:p w14:paraId="37D69B6B">
      <w:pPr>
        <w:numPr>
          <w:ilvl w:val="0"/>
          <w:numId w:val="2"/>
        </w:numPr>
        <w:tabs>
          <w:tab w:val="left" w:pos="0"/>
        </w:tabs>
        <w:wordWrap w:val="0"/>
        <w:topLinePunct/>
        <w:autoSpaceDE w:val="0"/>
        <w:spacing w:line="360" w:lineRule="auto"/>
        <w:ind w:left="-420" w:firstLine="420"/>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Cs w:val="24"/>
          <w:highlight w:val="none"/>
        </w:rPr>
        <w:t>承包方式</w:t>
      </w:r>
    </w:p>
    <w:p w14:paraId="21EFD4DF">
      <w:pPr>
        <w:numPr>
          <w:ilvl w:val="0"/>
          <w:numId w:val="5"/>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计价原则采用下面第</w:t>
      </w:r>
      <w:r>
        <w:rPr>
          <w:rFonts w:hint="eastAsia" w:asciiTheme="minorEastAsia" w:hAnsiTheme="minorEastAsia" w:eastAsiaTheme="minorEastAsia" w:cstheme="minorEastAsia"/>
          <w:i w:val="0"/>
          <w:iCs w:val="0"/>
          <w:color w:val="auto"/>
          <w:szCs w:val="24"/>
          <w:highlight w:val="none"/>
          <w:u w:val="single"/>
        </w:rPr>
        <w:t xml:space="preserve"> </w:t>
      </w:r>
      <w:r>
        <w:rPr>
          <w:rFonts w:hint="eastAsia" w:asciiTheme="minorEastAsia" w:hAnsiTheme="minorEastAsia" w:eastAsiaTheme="minorEastAsia" w:cstheme="minorEastAsia"/>
          <w:i w:val="0"/>
          <w:iCs w:val="0"/>
          <w:color w:val="auto"/>
          <w:szCs w:val="24"/>
          <w:highlight w:val="none"/>
          <w:u w:val="single"/>
          <w:lang w:eastAsia="zh-CN"/>
        </w:rPr>
        <w:t>（</w:t>
      </w:r>
      <w:r>
        <w:rPr>
          <w:rFonts w:hint="eastAsia" w:asciiTheme="minorEastAsia" w:hAnsiTheme="minorEastAsia" w:eastAsiaTheme="minorEastAsia" w:cstheme="minorEastAsia"/>
          <w:i w:val="0"/>
          <w:iCs w:val="0"/>
          <w:color w:val="auto"/>
          <w:szCs w:val="24"/>
          <w:highlight w:val="none"/>
          <w:u w:val="single"/>
          <w:lang w:val="en-US" w:eastAsia="zh-CN"/>
        </w:rPr>
        <w:t>2</w:t>
      </w:r>
      <w:r>
        <w:rPr>
          <w:rFonts w:hint="eastAsia" w:asciiTheme="minorEastAsia" w:hAnsiTheme="minorEastAsia" w:eastAsiaTheme="minorEastAsia" w:cstheme="minorEastAsia"/>
          <w:i w:val="0"/>
          <w:iCs w:val="0"/>
          <w:color w:val="auto"/>
          <w:szCs w:val="24"/>
          <w:highlight w:val="none"/>
          <w:u w:val="single"/>
          <w:lang w:eastAsia="zh-CN"/>
        </w:rPr>
        <w:t>）</w:t>
      </w:r>
      <w:r>
        <w:rPr>
          <w:rFonts w:hint="eastAsia" w:asciiTheme="minorEastAsia" w:hAnsiTheme="minorEastAsia" w:eastAsiaTheme="minorEastAsia" w:cstheme="minorEastAsia"/>
          <w:i w:val="0"/>
          <w:iCs w:val="0"/>
          <w:color w:val="auto"/>
          <w:szCs w:val="24"/>
          <w:highlight w:val="none"/>
          <w:u w:val="single"/>
        </w:rPr>
        <w:t xml:space="preserve"> </w:t>
      </w:r>
      <w:r>
        <w:rPr>
          <w:rFonts w:hint="eastAsia" w:asciiTheme="minorEastAsia" w:hAnsiTheme="minorEastAsia" w:eastAsiaTheme="minorEastAsia" w:cstheme="minorEastAsia"/>
          <w:color w:val="auto"/>
          <w:szCs w:val="24"/>
          <w:highlight w:val="none"/>
        </w:rPr>
        <w:t>种方式：</w:t>
      </w:r>
    </w:p>
    <w:p w14:paraId="7067C905">
      <w:pPr>
        <w:numPr>
          <w:ilvl w:val="0"/>
          <w:numId w:val="6"/>
        </w:numPr>
        <w:wordWrap w:val="0"/>
        <w:topLinePunct/>
        <w:autoSpaceDE w:val="0"/>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本合同采用：固定总价包干，除本合同中另有约定的情况以外，单价及工程量结算不调整（如按图施工工程量与合同附件1《工程量清单》中的工程量有差异，差异部分视为已包含在合同包干总价中）。</w:t>
      </w:r>
    </w:p>
    <w:p w14:paraId="07DECFC1">
      <w:pPr>
        <w:numPr>
          <w:ilvl w:val="0"/>
          <w:numId w:val="6"/>
        </w:numPr>
        <w:wordWrap w:val="0"/>
        <w:topLinePunct/>
        <w:autoSpaceDE w:val="0"/>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本合同采用：固定综合单价，除本合同中另有约定的情况以外，单价结算不调整；合同工程量暂定，结算按实计量。</w:t>
      </w:r>
    </w:p>
    <w:p w14:paraId="087437FB">
      <w:pPr>
        <w:numPr>
          <w:ilvl w:val="0"/>
          <w:numId w:val="5"/>
        </w:numPr>
        <w:wordWrap w:val="0"/>
        <w:topLinePunct/>
        <w:autoSpaceDE w:val="0"/>
        <w:spacing w:line="360" w:lineRule="auto"/>
        <w:ind w:left="665" w:hanging="425" w:firstLineChars="0"/>
        <w:rPr>
          <w:rFonts w:hint="eastAsia" w:asciiTheme="minorEastAsia" w:hAnsiTheme="minorEastAsia" w:eastAsiaTheme="minorEastAsia" w:cstheme="minorEastAsia"/>
          <w:b w:val="0"/>
          <w:color w:val="auto"/>
          <w:kern w:val="2"/>
          <w:position w:val="0"/>
          <w:szCs w:val="24"/>
          <w:highlight w:val="none"/>
          <w:lang w:eastAsia="zh-CN"/>
        </w:rPr>
      </w:pPr>
      <w:r>
        <w:rPr>
          <w:rFonts w:hint="eastAsia" w:asciiTheme="minorEastAsia" w:hAnsiTheme="minorEastAsia" w:eastAsiaTheme="minorEastAsia" w:cstheme="minorEastAsia"/>
          <w:color w:val="auto"/>
          <w:kern w:val="2"/>
          <w:sz w:val="24"/>
          <w:szCs w:val="24"/>
          <w:highlight w:val="none"/>
          <w:lang w:val="en-US" w:eastAsia="zh-CN" w:bidi="ar-SA"/>
        </w:rPr>
        <w:t>合同附件《工程量清单》中单价为完成该分项工程全部工序内容的综合单价。承包范围内约定的工作内容，为图纸中所有表述的全部工作内容（包含图纸未列明事项）。属于承包范围和合同图纸内的工作内容，合同附件《工程量清单》中未列的项目，视为已包含在合同价中。乙方所供应的全部产品、半成品等所有权及丢、灭失的风险均自工程竣工，经甲方书面验收合格移交甲方后转移至甲方所有，所有权转移前的保管责任及费用由乙方自行承担</w:t>
      </w:r>
      <w:r>
        <w:rPr>
          <w:rFonts w:hint="eastAsia" w:asciiTheme="minorEastAsia" w:hAnsiTheme="minorEastAsia" w:eastAsiaTheme="minorEastAsia" w:cstheme="minorEastAsia"/>
          <w:b w:val="0"/>
          <w:color w:val="auto"/>
          <w:kern w:val="2"/>
          <w:position w:val="0"/>
          <w:szCs w:val="24"/>
          <w:highlight w:val="none"/>
          <w:lang w:eastAsia="zh-CN"/>
        </w:rPr>
        <w:t>。</w:t>
      </w:r>
    </w:p>
    <w:p w14:paraId="2BCF3A1E">
      <w:pPr>
        <w:numPr>
          <w:ilvl w:val="0"/>
          <w:numId w:val="5"/>
        </w:numPr>
        <w:wordWrap w:val="0"/>
        <w:topLinePunct/>
        <w:autoSpaceDE w:val="0"/>
        <w:spacing w:line="360" w:lineRule="auto"/>
        <w:ind w:left="665" w:hanging="425" w:firstLineChars="0"/>
        <w:rPr>
          <w:rFonts w:hint="default" w:asciiTheme="minorEastAsia" w:hAnsiTheme="minorEastAsia" w:eastAsiaTheme="minorEastAsia" w:cstheme="minorEastAsia"/>
          <w:b w:val="0"/>
          <w:color w:val="auto"/>
          <w:kern w:val="2"/>
          <w:position w:val="0"/>
          <w:szCs w:val="24"/>
          <w:highlight w:val="none"/>
        </w:rPr>
      </w:pPr>
      <w:r>
        <w:rPr>
          <w:rFonts w:hint="default" w:asciiTheme="minorEastAsia" w:hAnsiTheme="minorEastAsia" w:eastAsiaTheme="minorEastAsia" w:cstheme="minorEastAsia"/>
          <w:b w:val="0"/>
          <w:color w:val="auto"/>
          <w:kern w:val="2"/>
          <w:position w:val="0"/>
          <w:sz w:val="24"/>
          <w:szCs w:val="24"/>
          <w:highlight w:val="none"/>
          <w:lang w:val="en-US" w:eastAsia="zh-CN" w:bidi="ar-SA"/>
        </w:rPr>
        <w:t>《工程量清单》中综合单价：</w:t>
      </w:r>
      <w:r>
        <w:rPr>
          <w:rFonts w:hint="default" w:asciiTheme="minorEastAsia" w:hAnsiTheme="minorEastAsia" w:eastAsiaTheme="minorEastAsia" w:cstheme="minorEastAsia"/>
          <w:b w:val="0"/>
          <w:color w:val="auto"/>
          <w:kern w:val="2"/>
          <w:position w:val="0"/>
          <w:szCs w:val="24"/>
          <w:highlight w:val="none"/>
        </w:rPr>
        <w:t>包括但不限于人工费、材料费（包括材料损耗、材料加工费、材料检验试验费）、甲供材保管费、设备费、机械使用费、合同工期内的赶工费、施工水电费（不含甲分包水电费，费用自行协商）、规费、管理费、措施费、利润、税金、加班费、农民工工伤保险费、建筑施工人身意外伤害保险、包装空运、国外及本地存仓、运输、办理验收直至取得验收合格证明文件和保修费用，以及政策性文件规定的各项应有费用及招标文件明示或暗示的所有一切风险、责任和义务的费用。其中，措施费包含但不限于组织措施费、缩短工期增加费、二次搬运费、检测费、远途施工增加费、夜间施工费、疫情防护费用、环境保护、文明施工（含扬尘治理，含施工现场为达到环保主管部门要求所需要的各项措施费用）、安全施工、临时设施等，技术措施费、垂直运输费、超高增加费、成品保护费、现场勘察费、垃圾外运费、工程完工验收前精保洁及移交、交叉施工降效费及配合费、设备/材料的安全保管、石材结晶等其他费用。此费用不随材料市场价格波动、工资、物价、费率的变动或的政府颁发的任何调价文件而发生变化；材料风险费不再调整。</w:t>
      </w:r>
    </w:p>
    <w:p w14:paraId="167F38EA">
      <w:pPr>
        <w:numPr>
          <w:ilvl w:val="0"/>
          <w:numId w:val="5"/>
        </w:numPr>
        <w:wordWrap w:val="0"/>
        <w:topLinePunct/>
        <w:autoSpaceDE w:val="0"/>
        <w:spacing w:line="360" w:lineRule="auto"/>
        <w:ind w:left="665" w:hanging="425" w:firstLineChars="0"/>
        <w:rPr>
          <w:rFonts w:hint="default" w:asciiTheme="minorEastAsia" w:hAnsiTheme="minorEastAsia" w:eastAsiaTheme="minorEastAsia" w:cstheme="minorEastAsia"/>
          <w:b w:val="0"/>
          <w:color w:val="auto"/>
          <w:kern w:val="2"/>
          <w:position w:val="0"/>
          <w:szCs w:val="24"/>
          <w:highlight w:val="none"/>
        </w:rPr>
      </w:pPr>
      <w:r>
        <w:rPr>
          <w:rFonts w:hint="default" w:asciiTheme="minorEastAsia" w:hAnsiTheme="minorEastAsia" w:eastAsiaTheme="minorEastAsia" w:cstheme="minorEastAsia"/>
          <w:b w:val="0"/>
          <w:color w:val="auto"/>
          <w:kern w:val="2"/>
          <w:position w:val="0"/>
          <w:szCs w:val="24"/>
          <w:highlight w:val="none"/>
        </w:rPr>
        <w:t>无论原材料市场有何变动，任何一方均不能以任何理由调整本合同的各分项工程固定综合单价。</w:t>
      </w:r>
    </w:p>
    <w:p w14:paraId="75E27103">
      <w:pPr>
        <w:numPr>
          <w:ilvl w:val="0"/>
          <w:numId w:val="5"/>
        </w:numPr>
        <w:spacing w:line="360" w:lineRule="auto"/>
        <w:ind w:left="665" w:hanging="425" w:firstLineChars="0"/>
        <w:rPr>
          <w:rFonts w:hint="default" w:asciiTheme="minorEastAsia" w:hAnsiTheme="minorEastAsia" w:eastAsiaTheme="minorEastAsia" w:cstheme="minorEastAsia"/>
          <w:color w:val="auto"/>
          <w:szCs w:val="24"/>
          <w:highlight w:val="none"/>
        </w:rPr>
      </w:pPr>
      <w:r>
        <w:rPr>
          <w:rFonts w:hint="default" w:asciiTheme="minorEastAsia" w:hAnsiTheme="minorEastAsia" w:eastAsiaTheme="minorEastAsia" w:cstheme="minorEastAsia"/>
          <w:color w:val="auto"/>
          <w:szCs w:val="24"/>
          <w:highlight w:val="none"/>
        </w:rPr>
        <w:t>各分项工程施工图或报价清单中没有说明但在施工过程中为完成各分项工程必须完成的所有工作，视为已经包含在各分项工程固定总价中</w:t>
      </w:r>
      <w:r>
        <w:rPr>
          <w:rFonts w:hint="eastAsia" w:asciiTheme="minorEastAsia" w:hAnsiTheme="minorEastAsia" w:eastAsiaTheme="minorEastAsia" w:cstheme="minorEastAsia"/>
          <w:color w:val="auto"/>
          <w:szCs w:val="24"/>
          <w:highlight w:val="none"/>
          <w:lang w:eastAsia="zh-CN"/>
        </w:rPr>
        <w:t>，</w:t>
      </w:r>
      <w:r>
        <w:rPr>
          <w:rFonts w:hint="eastAsia" w:ascii="宋体" w:hAnsi="宋体" w:eastAsia="宋体" w:cs="宋体"/>
          <w:color w:val="auto"/>
          <w:sz w:val="24"/>
          <w:szCs w:val="24"/>
          <w:highlight w:val="none"/>
          <w:lang w:val="en-US" w:eastAsia="zh-CN"/>
        </w:rPr>
        <w:t>若乙方拒绝施工或实际未施工的，甲方有权扣除相应工程款，具体金额双方协商，无法协商一致按照甲方确认的金额为准</w:t>
      </w:r>
      <w:r>
        <w:rPr>
          <w:rFonts w:hint="default" w:asciiTheme="minorEastAsia" w:hAnsiTheme="minorEastAsia" w:eastAsiaTheme="minorEastAsia" w:cstheme="minorEastAsia"/>
          <w:color w:val="auto"/>
          <w:szCs w:val="24"/>
          <w:highlight w:val="none"/>
        </w:rPr>
        <w:t>。</w:t>
      </w:r>
    </w:p>
    <w:p w14:paraId="7E3FBDBC">
      <w:pPr>
        <w:numPr>
          <w:ilvl w:val="0"/>
          <w:numId w:val="5"/>
        </w:numPr>
        <w:spacing w:line="360" w:lineRule="auto"/>
        <w:ind w:left="665" w:hanging="425" w:firstLineChars="0"/>
        <w:rPr>
          <w:rFonts w:hint="default" w:asciiTheme="minorEastAsia" w:hAnsiTheme="minorEastAsia" w:eastAsiaTheme="minorEastAsia" w:cstheme="minorEastAsia"/>
          <w:color w:val="auto"/>
          <w:szCs w:val="24"/>
          <w:highlight w:val="none"/>
        </w:rPr>
      </w:pPr>
      <w:r>
        <w:rPr>
          <w:rFonts w:hint="default" w:asciiTheme="minorEastAsia" w:hAnsiTheme="minorEastAsia" w:eastAsiaTheme="minorEastAsia" w:cstheme="minorEastAsia"/>
          <w:color w:val="auto"/>
          <w:szCs w:val="24"/>
          <w:highlight w:val="none"/>
        </w:rPr>
        <w:t>乙方应提前视察现场并了解现场现状，本合同签订时乙方已清楚并考虑工地现场条件，包括周围环境、交通道路、现场地质条件、施工场地及周围地下管网、承包范围、施工图纸、施工组织设计，且已考虑施工技术措施、文明施工、安全生产维护、工期内赶工等因素。合同价格已充分考虑上述因素并考虑在价格中。合同价格视为由工程开工至完成竣工验收并符合交付使用标准的一切费用，甲方将不会就现场状况作出任何变更签证或增加工程款，但是，由于甲方改变工程范围或工作量的设计变更除外。乙方为完成本合同规定的工作所需施工组织中的所有费用均已包含在本合同价格内，不再另外计取。</w:t>
      </w:r>
    </w:p>
    <w:p w14:paraId="633CD56A">
      <w:pPr>
        <w:numPr>
          <w:ilvl w:val="0"/>
          <w:numId w:val="5"/>
        </w:numPr>
        <w:spacing w:line="360" w:lineRule="auto"/>
        <w:ind w:left="665" w:hanging="425" w:firstLineChars="0"/>
        <w:rPr>
          <w:rFonts w:hint="default" w:asciiTheme="minorEastAsia" w:hAnsiTheme="minorEastAsia" w:eastAsiaTheme="minorEastAsia" w:cstheme="minorEastAsia"/>
          <w:color w:val="auto"/>
          <w:szCs w:val="24"/>
          <w:highlight w:val="none"/>
        </w:rPr>
      </w:pPr>
      <w:r>
        <w:rPr>
          <w:rFonts w:hint="default" w:asciiTheme="minorEastAsia" w:hAnsiTheme="minorEastAsia" w:eastAsiaTheme="minorEastAsia" w:cstheme="minorEastAsia"/>
          <w:color w:val="auto"/>
          <w:szCs w:val="24"/>
          <w:highlight w:val="none"/>
        </w:rPr>
        <w:t>施工过程中经甲方认可的实际施工方案仅作为甲方对乙方技术方案的肯定，不作为计价依据，甲方不接受乙方重新组价或者调价的要求。</w:t>
      </w:r>
    </w:p>
    <w:p w14:paraId="1C53ED46">
      <w:pPr>
        <w:numPr>
          <w:ilvl w:val="0"/>
          <w:numId w:val="5"/>
        </w:numPr>
        <w:spacing w:line="360" w:lineRule="auto"/>
        <w:ind w:left="665" w:hanging="425" w:firstLineChars="0"/>
        <w:rPr>
          <w:rFonts w:hint="default" w:asciiTheme="minorEastAsia" w:hAnsiTheme="minorEastAsia" w:eastAsiaTheme="minorEastAsia" w:cstheme="minorEastAsia"/>
          <w:color w:val="auto"/>
          <w:szCs w:val="24"/>
          <w:highlight w:val="none"/>
        </w:rPr>
      </w:pPr>
      <w:r>
        <w:rPr>
          <w:rFonts w:hint="default" w:asciiTheme="minorEastAsia" w:hAnsiTheme="minorEastAsia" w:eastAsiaTheme="minorEastAsia" w:cstheme="minorEastAsia"/>
          <w:color w:val="auto"/>
          <w:szCs w:val="24"/>
          <w:highlight w:val="none"/>
        </w:rPr>
        <w:t>本项目由乙方对施工图纸进行深化，乙方应在保证招标图纸的装饰效果（面层材料不属于深化范围）的情况下进行深化。乙方对图纸进行深化时应结合施工现场实际情况并充分考虑基层做法的可实施性（可实施性指：质量达到国家最新质量标准及甲方的要求，其装饰效果达到设计部门的要求，能一次性通过整体验收合格）。乙方在报价时应考虑基层施工所需的费用（包括因深化点位对原有墙体的拆改及修补），不再另计，乙方的报价必须考虑深化后的施工图纸基层做法，不因施工过程中对图纸的深化、做法的不同而增加基层施工的费用。</w:t>
      </w:r>
    </w:p>
    <w:p w14:paraId="57D13F9F">
      <w:pPr>
        <w:numPr>
          <w:ilvl w:val="0"/>
          <w:numId w:val="5"/>
        </w:numPr>
        <w:wordWrap w:val="0"/>
        <w:topLinePunct/>
        <w:autoSpaceDE w:val="0"/>
        <w:spacing w:line="360" w:lineRule="auto"/>
        <w:ind w:left="665" w:hanging="425" w:firstLineChars="0"/>
        <w:rPr>
          <w:rFonts w:hint="default" w:asciiTheme="minorEastAsia" w:hAnsiTheme="minorEastAsia" w:eastAsiaTheme="minorEastAsia" w:cstheme="minorEastAsia"/>
          <w:b w:val="0"/>
          <w:color w:val="auto"/>
          <w:kern w:val="2"/>
          <w:position w:val="0"/>
          <w:szCs w:val="24"/>
          <w:highlight w:val="none"/>
        </w:rPr>
      </w:pPr>
      <w:r>
        <w:rPr>
          <w:rFonts w:hint="default" w:asciiTheme="minorEastAsia" w:hAnsiTheme="minorEastAsia" w:eastAsiaTheme="minorEastAsia" w:cstheme="minorEastAsia"/>
          <w:b w:val="0"/>
          <w:color w:val="auto"/>
          <w:kern w:val="2"/>
          <w:position w:val="0"/>
          <w:szCs w:val="24"/>
          <w:highlight w:val="none"/>
        </w:rPr>
        <w:t>土建工程的总承包施工单位是按合同约定的施工范围及交楼标准施工，工程质量必须符合国家有关规定验收标准，在交楼时如发现不满足的由总承包施工单位负责整改到满足规范要求为止。如建筑工程规范与装修的规范标准有差异时（即总承包施工单位负责完成的项目达到建筑工程规范标准而达不到装修标准要求时），则由乙方负责将施工面完善至符合装修要求，并已在价格中综合考虑此部分费用。</w:t>
      </w:r>
    </w:p>
    <w:p w14:paraId="5CE0E16C">
      <w:pPr>
        <w:numPr>
          <w:ilvl w:val="0"/>
          <w:numId w:val="5"/>
        </w:numPr>
        <w:wordWrap w:val="0"/>
        <w:topLinePunct/>
        <w:autoSpaceDE w:val="0"/>
        <w:spacing w:line="360" w:lineRule="auto"/>
        <w:ind w:left="665" w:hanging="425" w:firstLineChars="0"/>
        <w:rPr>
          <w:rFonts w:hint="default" w:asciiTheme="minorEastAsia" w:hAnsiTheme="minorEastAsia" w:eastAsiaTheme="minorEastAsia" w:cstheme="minorEastAsia"/>
          <w:b w:val="0"/>
          <w:color w:val="auto"/>
          <w:kern w:val="2"/>
          <w:position w:val="0"/>
          <w:szCs w:val="24"/>
          <w:highlight w:val="none"/>
        </w:rPr>
      </w:pPr>
      <w:r>
        <w:rPr>
          <w:rFonts w:hint="default" w:asciiTheme="minorEastAsia" w:hAnsiTheme="minorEastAsia" w:eastAsiaTheme="minorEastAsia" w:cstheme="minorEastAsia"/>
          <w:b w:val="0"/>
          <w:color w:val="auto"/>
          <w:kern w:val="2"/>
          <w:position w:val="0"/>
          <w:szCs w:val="24"/>
          <w:highlight w:val="none"/>
          <w:lang w:val="en-US" w:eastAsia="zh-CN"/>
        </w:rPr>
        <w:t>本工程优先施工样板，样板段需经甲方验收合格后方进行后续大区施工，若样板段验收不合格，甲方有权无责对后续合同及施工内容另行分包，双方就已完成部分进行合同结算。</w:t>
      </w:r>
    </w:p>
    <w:p w14:paraId="543027AD">
      <w:pPr>
        <w:numPr>
          <w:ilvl w:val="0"/>
          <w:numId w:val="2"/>
        </w:numPr>
        <w:tabs>
          <w:tab w:val="left" w:pos="0"/>
        </w:tabs>
        <w:wordWrap/>
        <w:topLinePunct w:val="0"/>
        <w:autoSpaceDE/>
        <w:spacing w:line="360" w:lineRule="auto"/>
        <w:ind w:left="-420" w:firstLine="420"/>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Cs w:val="24"/>
          <w:highlight w:val="none"/>
        </w:rPr>
        <w:t>工期要求</w:t>
      </w:r>
    </w:p>
    <w:p w14:paraId="3DD432EE">
      <w:pPr>
        <w:numPr>
          <w:ilvl w:val="0"/>
          <w:numId w:val="7"/>
        </w:numPr>
        <w:wordWrap/>
        <w:topLinePunct w:val="0"/>
        <w:autoSpaceDE/>
        <w:spacing w:line="360" w:lineRule="auto"/>
        <w:ind w:left="665" w:hanging="425" w:firstLineChars="0"/>
        <w:rPr>
          <w:rFonts w:hint="default" w:asciiTheme="minorEastAsia" w:hAnsiTheme="minorEastAsia" w:eastAsiaTheme="minorEastAsia" w:cstheme="minorEastAsia"/>
          <w:color w:val="auto"/>
          <w:szCs w:val="24"/>
          <w:highlight w:val="none"/>
        </w:rPr>
      </w:pPr>
      <w:r>
        <w:rPr>
          <w:rFonts w:hint="default" w:asciiTheme="minorEastAsia" w:hAnsiTheme="minorEastAsia" w:eastAsiaTheme="minorEastAsia" w:cstheme="minorEastAsia"/>
          <w:color w:val="auto"/>
          <w:szCs w:val="24"/>
          <w:highlight w:val="none"/>
        </w:rPr>
        <w:t>本施工工期为</w:t>
      </w:r>
      <w:r>
        <w:rPr>
          <w:rFonts w:hint="default" w:asciiTheme="minorEastAsia" w:hAnsiTheme="minorEastAsia" w:eastAsiaTheme="minorEastAsia" w:cstheme="minorEastAsia"/>
          <w:color w:val="auto"/>
          <w:szCs w:val="24"/>
          <w:highlight w:val="none"/>
          <w:u w:val="single"/>
          <w:lang w:val="en-US" w:eastAsia="zh-CN"/>
        </w:rPr>
        <w:t xml:space="preserve"> </w:t>
      </w:r>
      <w:r>
        <w:rPr>
          <w:rFonts w:hint="eastAsia" w:asciiTheme="minorEastAsia" w:hAnsiTheme="minorEastAsia" w:eastAsiaTheme="minorEastAsia" w:cstheme="minorEastAsia"/>
          <w:color w:val="auto"/>
          <w:szCs w:val="24"/>
          <w:highlight w:val="none"/>
          <w:u w:val="single"/>
          <w:lang w:val="en-US" w:eastAsia="zh-CN"/>
        </w:rPr>
        <w:t>120</w:t>
      </w:r>
      <w:r>
        <w:rPr>
          <w:rFonts w:hint="default" w:asciiTheme="minorEastAsia" w:hAnsiTheme="minorEastAsia" w:eastAsiaTheme="minorEastAsia" w:cstheme="minorEastAsia"/>
          <w:color w:val="auto"/>
          <w:szCs w:val="24"/>
          <w:highlight w:val="none"/>
          <w:u w:val="single"/>
        </w:rPr>
        <w:t xml:space="preserve"> </w:t>
      </w:r>
      <w:r>
        <w:rPr>
          <w:rFonts w:hint="default" w:asciiTheme="minorEastAsia" w:hAnsiTheme="minorEastAsia" w:eastAsiaTheme="minorEastAsia" w:cstheme="minorEastAsia"/>
          <w:color w:val="auto"/>
          <w:szCs w:val="24"/>
          <w:highlight w:val="none"/>
        </w:rPr>
        <w:t>日历天，</w:t>
      </w:r>
      <w:r>
        <w:rPr>
          <w:rFonts w:hint="eastAsia" w:asciiTheme="minorEastAsia" w:hAnsiTheme="minorEastAsia" w:eastAsiaTheme="minorEastAsia" w:cstheme="minorEastAsia"/>
          <w:color w:val="auto"/>
          <w:szCs w:val="24"/>
          <w:highlight w:val="none"/>
          <w:lang w:val="en-US" w:eastAsia="zh-CN"/>
        </w:rPr>
        <w:t xml:space="preserve"> </w:t>
      </w:r>
      <w:r>
        <w:rPr>
          <w:rFonts w:hint="default" w:asciiTheme="minorEastAsia" w:hAnsiTheme="minorEastAsia" w:eastAsiaTheme="minorEastAsia" w:cstheme="minorEastAsia"/>
          <w:color w:val="auto"/>
          <w:szCs w:val="24"/>
          <w:highlight w:val="none"/>
        </w:rPr>
        <w:t>进场时间暂定于</w:t>
      </w:r>
      <w:r>
        <w:rPr>
          <w:rFonts w:hint="eastAsia" w:asciiTheme="minorEastAsia" w:hAnsiTheme="minorEastAsia" w:eastAsiaTheme="minorEastAsia" w:cstheme="minorEastAsia"/>
          <w:color w:val="auto"/>
          <w:szCs w:val="24"/>
          <w:highlight w:val="none"/>
          <w:lang w:val="en-US" w:eastAsia="zh-CN"/>
        </w:rPr>
        <w:t xml:space="preserve">2025年 </w:t>
      </w:r>
      <w:r>
        <w:rPr>
          <w:rFonts w:hint="eastAsia" w:asciiTheme="minorEastAsia" w:hAnsiTheme="minorEastAsia" w:eastAsiaTheme="minorEastAsia" w:cstheme="minorEastAsia"/>
          <w:color w:val="auto"/>
          <w:szCs w:val="24"/>
          <w:highlight w:val="none"/>
          <w:u w:val="single"/>
          <w:lang w:val="en-US" w:eastAsia="zh-CN"/>
        </w:rPr>
        <w:t>9</w:t>
      </w:r>
      <w:r>
        <w:rPr>
          <w:rFonts w:hint="default" w:asciiTheme="minorEastAsia" w:hAnsiTheme="minorEastAsia" w:eastAsiaTheme="minorEastAsia" w:cstheme="minorEastAsia"/>
          <w:color w:val="auto"/>
          <w:szCs w:val="24"/>
          <w:highlight w:val="none"/>
        </w:rPr>
        <w:t>月</w:t>
      </w:r>
      <w:r>
        <w:rPr>
          <w:rFonts w:hint="default" w:asciiTheme="minorEastAsia" w:hAnsiTheme="minorEastAsia" w:eastAsiaTheme="minorEastAsia" w:cstheme="minorEastAsia"/>
          <w:color w:val="auto"/>
          <w:szCs w:val="24"/>
          <w:highlight w:val="none"/>
          <w:lang w:val="en-US" w:eastAsia="zh-CN"/>
        </w:rPr>
        <w:t xml:space="preserve"> </w:t>
      </w:r>
      <w:r>
        <w:rPr>
          <w:rFonts w:hint="eastAsia" w:asciiTheme="minorEastAsia" w:hAnsiTheme="minorEastAsia" w:eastAsiaTheme="minorEastAsia" w:cstheme="minorEastAsia"/>
          <w:color w:val="auto"/>
          <w:szCs w:val="24"/>
          <w:highlight w:val="none"/>
          <w:u w:val="single"/>
          <w:lang w:val="en-US" w:eastAsia="zh-CN"/>
        </w:rPr>
        <w:t>20</w:t>
      </w:r>
      <w:r>
        <w:rPr>
          <w:rFonts w:hint="default" w:asciiTheme="minorEastAsia" w:hAnsiTheme="minorEastAsia" w:eastAsiaTheme="minorEastAsia" w:cstheme="minorEastAsia"/>
          <w:color w:val="auto"/>
          <w:szCs w:val="24"/>
          <w:highlight w:val="none"/>
        </w:rPr>
        <w:t>日 ，具体开工时间以甲方发出的书面通知为准</w:t>
      </w:r>
      <w:r>
        <w:rPr>
          <w:rFonts w:hint="eastAsia" w:asciiTheme="minorEastAsia" w:hAnsiTheme="minorEastAsia" w:eastAsiaTheme="minorEastAsia" w:cstheme="minorEastAsia"/>
          <w:color w:val="auto"/>
          <w:szCs w:val="24"/>
          <w:highlight w:val="none"/>
          <w:lang w:eastAsia="zh-CN"/>
        </w:rPr>
        <w:t>，</w:t>
      </w:r>
      <w:r>
        <w:rPr>
          <w:rFonts w:hint="eastAsia" w:ascii="宋体" w:hAnsi="宋体" w:eastAsia="宋体" w:cs="宋体"/>
          <w:color w:val="auto"/>
          <w:sz w:val="24"/>
          <w:szCs w:val="24"/>
          <w:highlight w:val="none"/>
          <w:lang w:val="en-US" w:eastAsia="zh-CN"/>
        </w:rPr>
        <w:t>乙方承诺满足甲方的工期要求并不要求工期赔偿/补偿。</w:t>
      </w:r>
    </w:p>
    <w:p w14:paraId="17C98D89">
      <w:pPr>
        <w:numPr>
          <w:ilvl w:val="0"/>
          <w:numId w:val="7"/>
        </w:numPr>
        <w:wordWrap/>
        <w:topLinePunct w:val="0"/>
        <w:autoSpaceDE/>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default" w:asciiTheme="minorEastAsia" w:hAnsiTheme="minorEastAsia" w:eastAsiaTheme="minorEastAsia" w:cstheme="minorEastAsia"/>
          <w:color w:val="auto"/>
          <w:szCs w:val="24"/>
          <w:highlight w:val="none"/>
        </w:rPr>
        <w:t>施工过程中如遇甲方责任或需明确允许工期顺延的各种情况所延误的工期，经甲、乙双方签证认可后予以调整，并在此基础上确定完工日期。</w:t>
      </w:r>
      <w:r>
        <w:rPr>
          <w:rFonts w:hint="eastAsia" w:asciiTheme="minorEastAsia" w:hAnsiTheme="minorEastAsia" w:eastAsiaTheme="minorEastAsia" w:cstheme="minorEastAsia"/>
          <w:color w:val="auto"/>
          <w:szCs w:val="24"/>
          <w:highlight w:val="none"/>
        </w:rPr>
        <w:t xml:space="preserve"> </w:t>
      </w:r>
    </w:p>
    <w:p w14:paraId="397D01D3">
      <w:pPr>
        <w:numPr>
          <w:ilvl w:val="0"/>
          <w:numId w:val="2"/>
        </w:numPr>
        <w:tabs>
          <w:tab w:val="left" w:pos="0"/>
        </w:tabs>
        <w:wordWrap/>
        <w:topLinePunct w:val="0"/>
        <w:autoSpaceDE/>
        <w:spacing w:line="360" w:lineRule="auto"/>
        <w:ind w:left="-420" w:firstLine="420"/>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Cs w:val="24"/>
          <w:highlight w:val="none"/>
        </w:rPr>
        <w:t>合同价格</w:t>
      </w:r>
    </w:p>
    <w:p w14:paraId="1D6F0E95">
      <w:pPr>
        <w:numPr>
          <w:ilvl w:val="0"/>
          <w:numId w:val="8"/>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合同含税</w:t>
      </w:r>
      <w:r>
        <w:rPr>
          <w:rFonts w:hint="eastAsia" w:asciiTheme="minorEastAsia" w:hAnsiTheme="minorEastAsia" w:eastAsiaTheme="minorEastAsia" w:cstheme="minorEastAsia"/>
          <w:color w:val="auto"/>
          <w:szCs w:val="24"/>
          <w:highlight w:val="none"/>
          <w:lang w:val="en-US" w:eastAsia="zh-CN"/>
        </w:rPr>
        <w:t>暂</w:t>
      </w:r>
      <w:r>
        <w:rPr>
          <w:rFonts w:hint="eastAsia" w:asciiTheme="minorEastAsia" w:hAnsiTheme="minorEastAsia" w:eastAsiaTheme="minorEastAsia" w:cstheme="minorEastAsia"/>
          <w:color w:val="auto"/>
          <w:szCs w:val="24"/>
          <w:highlight w:val="none"/>
        </w:rPr>
        <w:t>定总价为¥</w:t>
      </w:r>
      <w:r>
        <w:rPr>
          <w:rFonts w:hint="default" w:asciiTheme="minorEastAsia" w:hAnsiTheme="minorEastAsia" w:eastAsiaTheme="minorEastAsia" w:cstheme="minorEastAsia"/>
          <w:color w:val="auto"/>
          <w:szCs w:val="24"/>
          <w:highlight w:val="none"/>
          <w:u w:val="single"/>
        </w:rPr>
        <w:t xml:space="preserve"> </w:t>
      </w:r>
      <w:r>
        <w:rPr>
          <w:rFonts w:hint="default" w:asciiTheme="minorEastAsia" w:hAnsiTheme="minorEastAsia" w:eastAsiaTheme="minorEastAsia" w:cstheme="minorEastAsia"/>
          <w:color w:val="auto"/>
          <w:szCs w:val="24"/>
          <w:highlight w:val="none"/>
          <w:u w:val="single"/>
          <w:lang w:val="en-US" w:eastAsia="zh-CN"/>
        </w:rPr>
        <w:t xml:space="preserve">2555865.00 </w:t>
      </w:r>
      <w:r>
        <w:rPr>
          <w:rFonts w:hint="default" w:asciiTheme="minorEastAsia" w:hAnsiTheme="minorEastAsia" w:eastAsiaTheme="minorEastAsia" w:cstheme="minorEastAsia"/>
          <w:color w:val="auto"/>
          <w:szCs w:val="24"/>
          <w:highlight w:val="none"/>
          <w:u w:val="single"/>
        </w:rPr>
        <w:t xml:space="preserve"> </w:t>
      </w:r>
      <w:r>
        <w:rPr>
          <w:rFonts w:hint="eastAsia" w:asciiTheme="minorEastAsia" w:hAnsiTheme="minorEastAsia" w:eastAsiaTheme="minorEastAsia" w:cstheme="minorEastAsia"/>
          <w:color w:val="auto"/>
          <w:szCs w:val="24"/>
          <w:highlight w:val="none"/>
        </w:rPr>
        <w:t>元（大写人民币</w:t>
      </w:r>
      <w:r>
        <w:rPr>
          <w:rFonts w:hint="eastAsia" w:asciiTheme="minorEastAsia" w:hAnsiTheme="minorEastAsia" w:eastAsiaTheme="minorEastAsia" w:cstheme="minorEastAsia"/>
          <w:color w:val="auto"/>
          <w:szCs w:val="24"/>
          <w:highlight w:val="none"/>
          <w:lang w:eastAsia="zh-CN"/>
        </w:rPr>
        <w:t>：</w:t>
      </w:r>
      <w:r>
        <w:rPr>
          <w:rFonts w:hint="eastAsia" w:asciiTheme="minorEastAsia" w:hAnsiTheme="minorEastAsia" w:eastAsiaTheme="minorEastAsia" w:cstheme="minorEastAsia"/>
          <w:color w:val="auto"/>
          <w:szCs w:val="24"/>
          <w:highlight w:val="none"/>
          <w:u w:val="single"/>
          <w:lang w:eastAsia="zh-CN"/>
        </w:rPr>
        <w:t>贰佰伍拾伍万伍仟捌佰陆拾伍元整，</w:t>
      </w:r>
      <w:r>
        <w:rPr>
          <w:rFonts w:hint="eastAsia" w:asciiTheme="minorEastAsia" w:hAnsiTheme="minorEastAsia" w:eastAsiaTheme="minorEastAsia" w:cstheme="minorEastAsia"/>
          <w:color w:val="auto"/>
          <w:szCs w:val="24"/>
          <w:highlight w:val="none"/>
          <w:u w:val="single"/>
          <w:lang w:val="en-US" w:eastAsia="zh-CN"/>
        </w:rPr>
        <w:t xml:space="preserve">下称“合同总金额” </w:t>
      </w:r>
      <w:r>
        <w:rPr>
          <w:rFonts w:hint="eastAsia" w:asciiTheme="minorEastAsia" w:hAnsiTheme="minorEastAsia" w:eastAsiaTheme="minorEastAsia" w:cstheme="minorEastAsia"/>
          <w:color w:val="auto"/>
          <w:szCs w:val="24"/>
          <w:highlight w:val="none"/>
          <w:u w:val="none"/>
          <w:lang w:eastAsia="zh-CN"/>
        </w:rPr>
        <w:t>）</w:t>
      </w:r>
      <w:r>
        <w:rPr>
          <w:rFonts w:hint="eastAsia" w:asciiTheme="minorEastAsia" w:hAnsiTheme="minorEastAsia" w:eastAsiaTheme="minorEastAsia" w:cstheme="minorEastAsia"/>
          <w:color w:val="auto"/>
          <w:szCs w:val="24"/>
          <w:highlight w:val="none"/>
        </w:rPr>
        <w:t>。其中不含税金额为¥</w:t>
      </w:r>
      <w:r>
        <w:rPr>
          <w:rFonts w:hint="default" w:asciiTheme="minorEastAsia" w:hAnsiTheme="minorEastAsia" w:eastAsiaTheme="minorEastAsia" w:cstheme="minorEastAsia"/>
          <w:color w:val="auto"/>
          <w:szCs w:val="24"/>
          <w:highlight w:val="none"/>
          <w:u w:val="single"/>
          <w:lang w:val="en-US" w:eastAsia="zh-CN"/>
        </w:rPr>
        <w:t xml:space="preserve"> </w:t>
      </w:r>
      <w:r>
        <w:rPr>
          <w:rFonts w:hint="default" w:ascii="等线" w:hAnsi="等线" w:eastAsia="等线" w:cs="等线"/>
          <w:b w:val="0"/>
          <w:bCs w:val="0"/>
          <w:i w:val="0"/>
          <w:iCs w:val="0"/>
          <w:color w:val="000000"/>
          <w:kern w:val="0"/>
          <w:sz w:val="22"/>
          <w:szCs w:val="22"/>
          <w:u w:val="single"/>
          <w:lang w:val="en-US" w:eastAsia="zh-CN" w:bidi="ar"/>
        </w:rPr>
        <w:t>2344830.2</w:t>
      </w:r>
      <w:r>
        <w:rPr>
          <w:rFonts w:hint="eastAsia" w:ascii="等线" w:hAnsi="等线" w:eastAsia="等线" w:cs="等线"/>
          <w:b w:val="0"/>
          <w:bCs w:val="0"/>
          <w:i w:val="0"/>
          <w:iCs w:val="0"/>
          <w:color w:val="000000"/>
          <w:kern w:val="0"/>
          <w:sz w:val="22"/>
          <w:szCs w:val="22"/>
          <w:u w:val="single"/>
          <w:lang w:val="en-US" w:eastAsia="zh-CN" w:bidi="ar"/>
        </w:rPr>
        <w:t>8</w:t>
      </w:r>
      <w:r>
        <w:rPr>
          <w:rFonts w:hint="default" w:asciiTheme="minorEastAsia" w:hAnsiTheme="minorEastAsia" w:eastAsiaTheme="minorEastAsia" w:cstheme="minorEastAsia"/>
          <w:b w:val="0"/>
          <w:bCs w:val="0"/>
          <w:color w:val="auto"/>
          <w:szCs w:val="24"/>
          <w:highlight w:val="none"/>
          <w:u w:val="single"/>
        </w:rPr>
        <w:t xml:space="preserve"> </w:t>
      </w:r>
      <w:r>
        <w:rPr>
          <w:rFonts w:hint="eastAsia" w:asciiTheme="minorEastAsia" w:hAnsiTheme="minorEastAsia" w:eastAsiaTheme="minorEastAsia" w:cstheme="minorEastAsia"/>
          <w:color w:val="auto"/>
          <w:szCs w:val="24"/>
          <w:highlight w:val="none"/>
        </w:rPr>
        <w:t>元（大写人民币</w:t>
      </w:r>
      <w:r>
        <w:rPr>
          <w:rFonts w:hint="eastAsia" w:asciiTheme="minorEastAsia" w:hAnsiTheme="minorEastAsia" w:eastAsiaTheme="minorEastAsia" w:cstheme="minorEastAsia"/>
          <w:color w:val="auto"/>
          <w:szCs w:val="24"/>
          <w:highlight w:val="none"/>
          <w:lang w:eastAsia="zh-CN"/>
        </w:rPr>
        <w:t>：</w:t>
      </w:r>
      <w:r>
        <w:rPr>
          <w:rFonts w:hint="eastAsia" w:asciiTheme="minorEastAsia" w:hAnsiTheme="minorEastAsia" w:eastAsiaTheme="minorEastAsia" w:cstheme="minorEastAsia"/>
          <w:color w:val="auto"/>
          <w:szCs w:val="24"/>
          <w:highlight w:val="none"/>
          <w:u w:val="single"/>
          <w:lang w:val="en-US" w:eastAsia="zh-CN"/>
        </w:rPr>
        <w:t>贰佰叁拾肆万肆仟捌佰叁拾元贰角捌分</w:t>
      </w:r>
      <w:r>
        <w:rPr>
          <w:rFonts w:hint="default" w:asciiTheme="minorEastAsia" w:hAnsiTheme="minorEastAsia" w:eastAsiaTheme="minorEastAsia" w:cstheme="minorEastAsia"/>
          <w:color w:val="auto"/>
          <w:szCs w:val="24"/>
          <w:highlight w:val="none"/>
          <w:u w:val="single"/>
        </w:rPr>
        <w:t xml:space="preserve"> </w:t>
      </w:r>
      <w:r>
        <w:rPr>
          <w:rFonts w:hint="eastAsia" w:asciiTheme="minorEastAsia" w:hAnsiTheme="minorEastAsia" w:eastAsiaTheme="minorEastAsia" w:cstheme="minorEastAsia"/>
          <w:color w:val="auto"/>
          <w:szCs w:val="24"/>
          <w:highlight w:val="none"/>
        </w:rPr>
        <w:t>元），增值税税金为¥</w:t>
      </w:r>
      <w:r>
        <w:rPr>
          <w:rFonts w:hint="default" w:ascii="等线" w:hAnsi="等线" w:eastAsia="等线" w:cs="等线"/>
          <w:i w:val="0"/>
          <w:iCs w:val="0"/>
          <w:color w:val="000000"/>
          <w:kern w:val="0"/>
          <w:sz w:val="22"/>
          <w:szCs w:val="22"/>
          <w:u w:val="single"/>
          <w:lang w:val="en-US" w:eastAsia="zh-CN" w:bidi="ar"/>
        </w:rPr>
        <w:t>211034.72</w:t>
      </w:r>
      <w:r>
        <w:rPr>
          <w:rFonts w:hint="eastAsia" w:asciiTheme="minorEastAsia" w:hAnsiTheme="minorEastAsia" w:eastAsiaTheme="minorEastAsia" w:cstheme="minorEastAsia"/>
          <w:color w:val="auto"/>
          <w:szCs w:val="24"/>
          <w:highlight w:val="none"/>
        </w:rPr>
        <w:t>元（大写人民币</w:t>
      </w:r>
      <w:r>
        <w:rPr>
          <w:rFonts w:hint="eastAsia" w:asciiTheme="minorEastAsia" w:hAnsiTheme="minorEastAsia" w:eastAsiaTheme="minorEastAsia" w:cstheme="minorEastAsia"/>
          <w:color w:val="auto"/>
          <w:szCs w:val="24"/>
          <w:highlight w:val="none"/>
          <w:lang w:eastAsia="zh-CN"/>
        </w:rPr>
        <w:t>：</w:t>
      </w:r>
      <w:r>
        <w:rPr>
          <w:rFonts w:hint="default" w:asciiTheme="minorEastAsia" w:hAnsiTheme="minorEastAsia" w:eastAsiaTheme="minorEastAsia" w:cstheme="minorEastAsia"/>
          <w:color w:val="auto"/>
          <w:szCs w:val="24"/>
          <w:highlight w:val="none"/>
          <w:u w:val="single"/>
        </w:rPr>
        <w:t xml:space="preserve"> </w:t>
      </w:r>
      <w:r>
        <w:rPr>
          <w:rFonts w:hint="eastAsia" w:asciiTheme="minorEastAsia" w:hAnsiTheme="minorEastAsia" w:eastAsiaTheme="minorEastAsia" w:cstheme="minorEastAsia"/>
          <w:color w:val="auto"/>
          <w:szCs w:val="24"/>
          <w:highlight w:val="none"/>
          <w:u w:val="single"/>
          <w:lang w:val="en-US" w:eastAsia="zh-CN"/>
        </w:rPr>
        <w:t>贰拾壹万壹仟零叁拾肆元柒角贰分</w:t>
      </w:r>
      <w:r>
        <w:rPr>
          <w:rFonts w:hint="default" w:asciiTheme="minorEastAsia" w:hAnsiTheme="minorEastAsia" w:eastAsiaTheme="minorEastAsia" w:cstheme="minorEastAsia"/>
          <w:color w:val="auto"/>
          <w:szCs w:val="24"/>
          <w:highlight w:val="none"/>
          <w:u w:val="single"/>
        </w:rPr>
        <w:t xml:space="preserve"> </w:t>
      </w:r>
      <w:r>
        <w:rPr>
          <w:rFonts w:hint="eastAsia" w:asciiTheme="minorEastAsia" w:hAnsiTheme="minorEastAsia" w:eastAsiaTheme="minorEastAsia" w:cstheme="minorEastAsia"/>
          <w:color w:val="auto"/>
          <w:szCs w:val="24"/>
          <w:highlight w:val="none"/>
        </w:rPr>
        <w:t>），税率</w:t>
      </w:r>
      <w:r>
        <w:rPr>
          <w:rFonts w:hint="default" w:asciiTheme="minorEastAsia" w:hAnsiTheme="minorEastAsia" w:eastAsiaTheme="minorEastAsia" w:cstheme="minorEastAsia"/>
          <w:color w:val="auto"/>
          <w:szCs w:val="24"/>
          <w:highlight w:val="none"/>
          <w:u w:val="single"/>
          <w:lang w:val="en-US" w:eastAsia="zh-CN"/>
        </w:rPr>
        <w:t xml:space="preserve"> </w:t>
      </w:r>
      <w:r>
        <w:rPr>
          <w:rFonts w:hint="eastAsia" w:asciiTheme="minorEastAsia" w:hAnsiTheme="minorEastAsia" w:eastAsiaTheme="minorEastAsia" w:cstheme="minorEastAsia"/>
          <w:color w:val="auto"/>
          <w:szCs w:val="24"/>
          <w:highlight w:val="none"/>
          <w:u w:val="single"/>
          <w:lang w:val="en-US" w:eastAsia="zh-CN"/>
        </w:rPr>
        <w:t>9</w:t>
      </w:r>
      <w:r>
        <w:rPr>
          <w:rFonts w:hint="eastAsia" w:asciiTheme="minorEastAsia" w:hAnsiTheme="minorEastAsia" w:eastAsiaTheme="minorEastAsia" w:cstheme="minorEastAsia"/>
          <w:color w:val="auto"/>
          <w:szCs w:val="24"/>
          <w:highlight w:val="none"/>
        </w:rPr>
        <w:t>%。详见附件《价格清单》。</w:t>
      </w:r>
    </w:p>
    <w:p w14:paraId="0651D585">
      <w:pPr>
        <w:numPr>
          <w:ilvl w:val="0"/>
          <w:numId w:val="8"/>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xml:space="preserve">增值税税率说明： </w:t>
      </w:r>
    </w:p>
    <w:p w14:paraId="2B13DF24">
      <w:pPr>
        <w:numPr>
          <w:ilvl w:val="0"/>
          <w:numId w:val="9"/>
        </w:numPr>
        <w:spacing w:line="360" w:lineRule="auto"/>
        <w:ind w:left="905" w:hanging="425" w:firstLineChars="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合同价增值税税率按</w:t>
      </w:r>
      <w:r>
        <w:rPr>
          <w:rFonts w:hint="eastAsia" w:asciiTheme="minorEastAsia" w:hAnsiTheme="minorEastAsia" w:eastAsiaTheme="minorEastAsia" w:cstheme="minorEastAsia"/>
          <w:color w:val="auto"/>
          <w:highlight w:val="none"/>
          <w:u w:val="single"/>
          <w:lang w:val="en-US" w:eastAsia="zh-CN"/>
        </w:rPr>
        <w:t xml:space="preserve">9 </w:t>
      </w:r>
      <w:r>
        <w:rPr>
          <w:rFonts w:hint="eastAsia" w:asciiTheme="minorEastAsia" w:hAnsiTheme="minorEastAsia" w:eastAsiaTheme="minorEastAsia" w:cstheme="minorEastAsia"/>
          <w:color w:val="auto"/>
          <w:highlight w:val="none"/>
        </w:rPr>
        <w:t>%计算，如因国家税收政策变化引起增值税税率调整，增值税税金依据国家增值税税率调整进行增减调整，合同价随增值税税金增减进行增减调整（合同不含税金额不变）。增值税税金增减金额随付款节点进行调整，结算总价的税金按实际付款时税率进行结算。</w:t>
      </w:r>
    </w:p>
    <w:p w14:paraId="11D1C4A5">
      <w:pPr>
        <w:numPr>
          <w:ilvl w:val="0"/>
          <w:numId w:val="9"/>
        </w:numPr>
        <w:spacing w:line="360" w:lineRule="auto"/>
        <w:ind w:left="905" w:hanging="425" w:firstLineChars="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如因乙方纳税资格变更引起增值税税率变化，风险由乙方自行承担（税率增加的，甲方仍按原税率支付税金；税率减小的，甲方按减小后的税率支付税金）。</w:t>
      </w:r>
    </w:p>
    <w:p w14:paraId="47BA83E4">
      <w:pPr>
        <w:numPr>
          <w:ilvl w:val="0"/>
          <w:numId w:val="2"/>
        </w:numPr>
        <w:wordWrap/>
        <w:topLinePunct w:val="0"/>
        <w:autoSpaceDE/>
        <w:spacing w:line="360" w:lineRule="auto"/>
        <w:ind w:left="-420" w:firstLine="420"/>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Cs w:val="24"/>
          <w:highlight w:val="none"/>
        </w:rPr>
        <w:t>工程价款支付采用</w:t>
      </w:r>
      <w:r>
        <w:rPr>
          <w:rFonts w:hint="eastAsia" w:asciiTheme="minorEastAsia" w:hAnsiTheme="minorEastAsia" w:eastAsiaTheme="minorEastAsia" w:cstheme="minorEastAsia"/>
          <w:b/>
          <w:bCs/>
          <w:color w:val="auto"/>
          <w:szCs w:val="24"/>
          <w:highlight w:val="none"/>
          <w:lang w:val="en-US" w:eastAsia="zh-CN"/>
        </w:rPr>
        <w:t>以下</w:t>
      </w:r>
      <w:r>
        <w:rPr>
          <w:rFonts w:hint="eastAsia" w:asciiTheme="minorEastAsia" w:hAnsiTheme="minorEastAsia" w:eastAsiaTheme="minorEastAsia" w:cstheme="minorEastAsia"/>
          <w:b/>
          <w:bCs/>
          <w:color w:val="auto"/>
          <w:szCs w:val="24"/>
          <w:highlight w:val="none"/>
        </w:rPr>
        <w:t>方式</w:t>
      </w:r>
    </w:p>
    <w:p w14:paraId="21A23A05">
      <w:pPr>
        <w:numPr>
          <w:ilvl w:val="0"/>
          <w:numId w:val="10"/>
        </w:numPr>
        <w:spacing w:line="360" w:lineRule="auto"/>
        <w:ind w:left="665" w:hanging="425" w:firstLineChars="0"/>
        <w:rPr>
          <w:rFonts w:hint="default"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val="en-US" w:eastAsia="zh-CN"/>
        </w:rPr>
        <w:t>节点支付：</w:t>
      </w:r>
    </w:p>
    <w:p w14:paraId="384D7EF5">
      <w:pPr>
        <w:keepNext w:val="0"/>
        <w:keepLines w:val="0"/>
        <w:pageBreakBefore w:val="0"/>
        <w:widowControl/>
        <w:numPr>
          <w:ilvl w:val="0"/>
          <w:numId w:val="11"/>
        </w:numPr>
        <w:kinsoku/>
        <w:wordWrap/>
        <w:overflowPunct/>
        <w:topLinePunct w:val="0"/>
        <w:autoSpaceDE/>
        <w:autoSpaceDN/>
        <w:bidi w:val="0"/>
        <w:adjustRightInd/>
        <w:spacing w:line="360" w:lineRule="auto"/>
        <w:ind w:left="905" w:hanging="425"/>
        <w:jc w:val="left"/>
        <w:textAlignment w:val="auto"/>
        <w:rPr>
          <w:rFonts w:hint="eastAsia" w:ascii="宋体" w:hAnsi="宋体" w:eastAsia="宋体" w:cs="Times New Roman"/>
          <w:color w:val="auto"/>
          <w:kern w:val="2"/>
          <w:szCs w:val="22"/>
          <w:highlight w:val="none"/>
          <w:lang w:val="zh-CN"/>
        </w:rPr>
      </w:pPr>
      <w:r>
        <w:rPr>
          <w:rFonts w:hint="eastAsia" w:ascii="宋体" w:hAnsi="宋体" w:eastAsia="宋体" w:cs="Times New Roman"/>
          <w:color w:val="auto"/>
          <w:kern w:val="2"/>
          <w:szCs w:val="22"/>
          <w:highlight w:val="none"/>
          <w:lang w:val="zh-CN"/>
        </w:rPr>
        <w:t>按合同约定工程量</w:t>
      </w:r>
      <w:r>
        <w:rPr>
          <w:rFonts w:hint="eastAsia" w:ascii="宋体" w:hAnsi="宋体" w:cs="Times New Roman"/>
          <w:color w:val="auto"/>
          <w:kern w:val="2"/>
          <w:szCs w:val="22"/>
          <w:highlight w:val="none"/>
          <w:lang w:val="en-US" w:eastAsia="zh-CN"/>
        </w:rPr>
        <w:t>完成50%且</w:t>
      </w:r>
      <w:r>
        <w:rPr>
          <w:rFonts w:hint="eastAsia" w:ascii="宋体" w:hAnsi="宋体" w:eastAsia="宋体" w:cs="Times New Roman"/>
          <w:color w:val="auto"/>
          <w:kern w:val="2"/>
          <w:szCs w:val="22"/>
          <w:highlight w:val="none"/>
          <w:lang w:val="zh-CN"/>
        </w:rPr>
        <w:t>单项工程量清单约定工作内容全部完成（不得拆解清单）</w:t>
      </w:r>
      <w:r>
        <w:rPr>
          <w:rFonts w:hint="eastAsia" w:ascii="宋体" w:hAnsi="宋体" w:cs="Times New Roman"/>
          <w:color w:val="auto"/>
          <w:kern w:val="2"/>
          <w:szCs w:val="22"/>
          <w:highlight w:val="none"/>
          <w:lang w:val="en-US" w:eastAsia="zh-CN"/>
        </w:rPr>
        <w:t>并经</w:t>
      </w:r>
      <w:r>
        <w:rPr>
          <w:rFonts w:hint="eastAsia" w:ascii="宋体" w:hAnsi="宋体"/>
          <w:color w:val="auto"/>
          <w:highlight w:val="none"/>
        </w:rPr>
        <w:t>甲方审核</w:t>
      </w:r>
      <w:r>
        <w:rPr>
          <w:rFonts w:hint="eastAsia" w:ascii="宋体" w:hAnsi="宋体"/>
          <w:color w:val="auto"/>
          <w:highlight w:val="none"/>
          <w:lang w:val="en-US" w:eastAsia="zh-CN"/>
        </w:rPr>
        <w:t>确认无误</w:t>
      </w:r>
      <w:r>
        <w:rPr>
          <w:rFonts w:hint="eastAsia" w:ascii="宋体" w:hAnsi="宋体"/>
          <w:color w:val="auto"/>
          <w:highlight w:val="none"/>
        </w:rPr>
        <w:t>后</w:t>
      </w:r>
      <w:r>
        <w:rPr>
          <w:rFonts w:hint="eastAsia" w:ascii="宋体" w:hAnsi="宋体"/>
          <w:color w:val="auto"/>
          <w:highlight w:val="none"/>
          <w:lang w:eastAsia="zh-CN"/>
        </w:rPr>
        <w:t>，</w:t>
      </w:r>
      <w:r>
        <w:rPr>
          <w:rFonts w:hint="eastAsia" w:asciiTheme="minorEastAsia" w:hAnsiTheme="minorEastAsia" w:eastAsiaTheme="minorEastAsia" w:cstheme="minorEastAsia"/>
          <w:color w:val="auto"/>
          <w:highlight w:val="none"/>
        </w:rPr>
        <w:t>甲方向乙方支付至</w:t>
      </w:r>
      <w:r>
        <w:rPr>
          <w:rFonts w:hint="eastAsia" w:asciiTheme="minorEastAsia" w:hAnsiTheme="minorEastAsia" w:eastAsiaTheme="minorEastAsia" w:cstheme="minorEastAsia"/>
          <w:color w:val="auto"/>
          <w:highlight w:val="none"/>
          <w:lang w:val="en-US" w:eastAsia="zh-CN"/>
        </w:rPr>
        <w:t>已完工程价款的</w:t>
      </w:r>
      <w:r>
        <w:rPr>
          <w:rFonts w:hint="eastAsia" w:asciiTheme="minorEastAsia" w:hAnsiTheme="minorEastAsia" w:eastAsiaTheme="minorEastAsia" w:cstheme="minorEastAsia"/>
          <w:color w:val="auto"/>
          <w:highlight w:val="none"/>
        </w:rPr>
        <w:t>80%；</w:t>
      </w:r>
    </w:p>
    <w:p w14:paraId="7CF3B4BB">
      <w:pPr>
        <w:widowControl/>
        <w:numPr>
          <w:ilvl w:val="0"/>
          <w:numId w:val="11"/>
        </w:numPr>
        <w:spacing w:line="360" w:lineRule="auto"/>
        <w:ind w:left="905" w:hanging="425" w:firstLineChars="0"/>
        <w:jc w:val="left"/>
        <w:rPr>
          <w:rFonts w:hint="eastAsia" w:ascii="宋体" w:hAnsi="宋体" w:eastAsia="宋体" w:cs="Times New Roman"/>
          <w:color w:val="auto"/>
          <w:highlight w:val="none"/>
          <w:lang w:val="zh-CN"/>
        </w:rPr>
      </w:pPr>
      <w:r>
        <w:rPr>
          <w:rFonts w:hint="eastAsia" w:ascii="宋体" w:hAnsi="宋体" w:eastAsia="宋体" w:cs="Times New Roman"/>
          <w:color w:val="auto"/>
          <w:highlight w:val="none"/>
          <w:lang w:val="zh-CN"/>
        </w:rPr>
        <w:t>全部</w:t>
      </w:r>
      <w:r>
        <w:rPr>
          <w:rFonts w:hint="eastAsia" w:ascii="宋体" w:hAnsi="宋体" w:cs="Times New Roman"/>
          <w:color w:val="auto"/>
          <w:highlight w:val="none"/>
          <w:lang w:val="en-US" w:eastAsia="zh-CN"/>
        </w:rPr>
        <w:t>工程</w:t>
      </w:r>
      <w:r>
        <w:rPr>
          <w:rFonts w:hint="eastAsia" w:ascii="宋体" w:hAnsi="宋体" w:eastAsia="宋体" w:cs="Times New Roman"/>
          <w:color w:val="auto"/>
          <w:highlight w:val="none"/>
          <w:lang w:val="zh-CN"/>
        </w:rPr>
        <w:t>施工完成</w:t>
      </w:r>
      <w:r>
        <w:rPr>
          <w:rFonts w:hint="eastAsia" w:ascii="宋体" w:hAnsi="宋体" w:cs="Times New Roman"/>
          <w:color w:val="auto"/>
          <w:highlight w:val="none"/>
          <w:lang w:val="en-US" w:eastAsia="zh-CN"/>
        </w:rPr>
        <w:t>并</w:t>
      </w:r>
      <w:r>
        <w:rPr>
          <w:rFonts w:hint="eastAsia" w:ascii="宋体" w:hAnsi="宋体" w:eastAsia="宋体" w:cs="Times New Roman"/>
          <w:color w:val="auto"/>
          <w:highlight w:val="none"/>
          <w:lang w:val="zh-CN"/>
        </w:rPr>
        <w:t>精保洁移交甲方</w:t>
      </w:r>
      <w:r>
        <w:rPr>
          <w:rFonts w:hint="eastAsia" w:ascii="宋体" w:hAnsi="宋体" w:cs="Times New Roman"/>
          <w:color w:val="auto"/>
          <w:highlight w:val="none"/>
          <w:lang w:val="en-US" w:eastAsia="zh-CN"/>
        </w:rPr>
        <w:t>后</w:t>
      </w:r>
      <w:r>
        <w:rPr>
          <w:rFonts w:hint="eastAsia" w:ascii="宋体" w:hAnsi="宋体" w:eastAsia="宋体" w:cs="Times New Roman"/>
          <w:color w:val="auto"/>
          <w:highlight w:val="none"/>
          <w:lang w:val="zh-CN"/>
        </w:rPr>
        <w:t>，甲方向乙方支付至已完工程价款的85%；</w:t>
      </w:r>
    </w:p>
    <w:p w14:paraId="37C8FE44">
      <w:pPr>
        <w:widowControl/>
        <w:numPr>
          <w:ilvl w:val="0"/>
          <w:numId w:val="11"/>
        </w:numPr>
        <w:spacing w:line="360" w:lineRule="auto"/>
        <w:ind w:left="905" w:hanging="425" w:firstLineChars="0"/>
        <w:jc w:val="left"/>
        <w:rPr>
          <w:rFonts w:hint="eastAsia" w:ascii="宋体" w:hAnsi="宋体" w:eastAsia="宋体" w:cs="Times New Roman"/>
          <w:color w:val="auto"/>
          <w:highlight w:val="none"/>
        </w:rPr>
      </w:pPr>
      <w:r>
        <w:rPr>
          <w:rFonts w:hint="eastAsia" w:ascii="宋体" w:hAnsi="宋体" w:eastAsia="宋体" w:cs="Times New Roman"/>
          <w:color w:val="auto"/>
          <w:highlight w:val="none"/>
          <w:lang w:val="zh-CN"/>
        </w:rPr>
        <w:t>经甲方及监理验收合格，竣工资料完成，配合甲方完成结算</w:t>
      </w:r>
      <w:r>
        <w:rPr>
          <w:rFonts w:hint="eastAsia" w:ascii="宋体" w:hAnsi="宋体" w:cs="Times New Roman"/>
          <w:color w:val="auto"/>
          <w:highlight w:val="none"/>
          <w:lang w:val="zh-CN"/>
        </w:rPr>
        <w:t>（</w:t>
      </w:r>
      <w:r>
        <w:rPr>
          <w:rFonts w:hint="eastAsia" w:ascii="宋体" w:hAnsi="宋体" w:cs="Times New Roman"/>
          <w:color w:val="auto"/>
          <w:highlight w:val="none"/>
          <w:lang w:val="en-US" w:eastAsia="zh-CN"/>
        </w:rPr>
        <w:t>双方签订结算协议</w:t>
      </w:r>
      <w:r>
        <w:rPr>
          <w:rFonts w:hint="eastAsia" w:ascii="宋体" w:hAnsi="宋体" w:cs="Times New Roman"/>
          <w:color w:val="auto"/>
          <w:highlight w:val="none"/>
          <w:lang w:val="zh-CN"/>
        </w:rPr>
        <w:t>）</w:t>
      </w:r>
      <w:r>
        <w:rPr>
          <w:rFonts w:hint="eastAsia" w:ascii="宋体" w:hAnsi="宋体" w:eastAsia="宋体" w:cs="Times New Roman"/>
          <w:color w:val="auto"/>
          <w:highlight w:val="none"/>
          <w:lang w:val="zh-CN"/>
        </w:rPr>
        <w:t>后，支付至整个工程结算金额的97%；</w:t>
      </w:r>
    </w:p>
    <w:p w14:paraId="120D2306">
      <w:pPr>
        <w:numPr>
          <w:ilvl w:val="0"/>
          <w:numId w:val="10"/>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工程剩余金额（即结算金额的3%）留为质保金。工程质保期为</w:t>
      </w:r>
      <w:r>
        <w:rPr>
          <w:rFonts w:hint="eastAsia" w:asciiTheme="minorEastAsia" w:hAnsiTheme="minorEastAsia" w:eastAsiaTheme="minorEastAsia" w:cstheme="minorEastAsia"/>
          <w:color w:val="auto"/>
          <w:szCs w:val="24"/>
          <w:highlight w:val="none"/>
          <w:lang w:eastAsia="zh-CN"/>
        </w:rPr>
        <w:t>两</w:t>
      </w:r>
      <w:r>
        <w:rPr>
          <w:rFonts w:hint="eastAsia" w:asciiTheme="minorEastAsia" w:hAnsiTheme="minorEastAsia" w:eastAsiaTheme="minorEastAsia" w:cstheme="minorEastAsia"/>
          <w:color w:val="auto"/>
          <w:szCs w:val="24"/>
          <w:highlight w:val="none"/>
        </w:rPr>
        <w:t>年，自工程全部施工完成，并经甲方、监理及相关部门验收合格之日起开始计算。质保期满且无质量问题</w:t>
      </w:r>
      <w:r>
        <w:rPr>
          <w:rFonts w:hint="eastAsia" w:asciiTheme="minorEastAsia" w:hAnsiTheme="minorEastAsia" w:eastAsiaTheme="minorEastAsia" w:cstheme="minorEastAsia"/>
          <w:color w:val="auto"/>
          <w:szCs w:val="24"/>
          <w:highlight w:val="none"/>
          <w:lang w:val="en-US" w:eastAsia="zh-CN"/>
        </w:rPr>
        <w:t>后</w:t>
      </w:r>
      <w:r>
        <w:rPr>
          <w:rFonts w:hint="eastAsia" w:asciiTheme="minorEastAsia" w:hAnsiTheme="minorEastAsia" w:eastAsiaTheme="minorEastAsia" w:cstheme="minorEastAsia"/>
          <w:color w:val="auto"/>
          <w:szCs w:val="24"/>
          <w:highlight w:val="none"/>
        </w:rPr>
        <w:t>无息退还剩余款项（若有）。质保期内，如因工程质量问题、用料质量问题、维修或乙方其他违约行为等导致乙方存在应支付未支付款项或甲方代乙方支出的款项的，甲方有权在工程质保金中直接扣除，质保金不足以弥补甲方损失的，乙方应负责赔偿，因此导致工程质保金低于3%，乙方应在收到甲方补足通知之日起3日内予以补足。</w:t>
      </w:r>
    </w:p>
    <w:p w14:paraId="6336F069">
      <w:pPr>
        <w:numPr>
          <w:ilvl w:val="0"/>
          <w:numId w:val="10"/>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每次付款前，乙方应按甲方要求出具合法有效的增值税专用发票，否则甲方有权延迟付款。当甲方向乙方累计支付款项至本合同结算值的97％时，乙方须向甲方开具结算金额100％的合法有效的增值税专用发票，否则甲方除扣留质保金外，还有权延迟支付该批次工程款且不视为违约。乙方应在开票之后5个工作日内将发票送达甲方，甲方签收发票的日期为发票的送达日期。</w:t>
      </w:r>
      <w:r>
        <w:rPr>
          <w:rFonts w:hint="eastAsia" w:asciiTheme="minorEastAsia" w:hAnsiTheme="minorEastAsia" w:eastAsiaTheme="minorEastAsia" w:cstheme="minorEastAsia"/>
          <w:color w:val="auto"/>
          <w:szCs w:val="24"/>
          <w:highlight w:val="none"/>
        </w:rPr>
        <w:tab/>
      </w:r>
      <w:r>
        <w:rPr>
          <w:rFonts w:hint="eastAsia" w:asciiTheme="minorEastAsia" w:hAnsiTheme="minorEastAsia" w:eastAsiaTheme="minorEastAsia" w:cstheme="minorEastAsia"/>
          <w:color w:val="auto"/>
          <w:szCs w:val="24"/>
          <w:highlight w:val="none"/>
        </w:rPr>
        <w:tab/>
      </w:r>
    </w:p>
    <w:p w14:paraId="504A1D0D">
      <w:pPr>
        <w:numPr>
          <w:ilvl w:val="0"/>
          <w:numId w:val="10"/>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乙方应提供合规发票，乙方开具发票不合规时出现税务问题，乙方应承担赔偿责任，包括但不限于税款、滞纳金、罚款及其相关的损失。不合格发票包括但不限于以下情形：开具虚假、作废等无效发票或者违反国家法律法规开具、提供发票的；开具发票种类错误；开具发票税率与合同约定不符；发票上的信息错误；因乙方迟延送达、开具错误等原因造成发票认证失败等。</w:t>
      </w:r>
    </w:p>
    <w:p w14:paraId="25EBE8F7">
      <w:pPr>
        <w:numPr>
          <w:ilvl w:val="0"/>
          <w:numId w:val="10"/>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对发票不合规的约定：</w:t>
      </w:r>
    </w:p>
    <w:p w14:paraId="5B1C29FC">
      <w:pPr>
        <w:numPr>
          <w:ilvl w:val="0"/>
          <w:numId w:val="12"/>
        </w:numPr>
        <w:spacing w:line="360" w:lineRule="auto"/>
        <w:ind w:left="905" w:hanging="425" w:firstLineChars="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乙方提供的发票为增值税专用发票的，因乙方迟延送达、开具错误等原因导致其提供的增值税专用发票没有通过税务部门认证，造成甲方不能抵扣的，甲方有权拒绝接收。</w:t>
      </w:r>
    </w:p>
    <w:p w14:paraId="3A8933DA">
      <w:pPr>
        <w:numPr>
          <w:ilvl w:val="0"/>
          <w:numId w:val="12"/>
        </w:numPr>
        <w:spacing w:line="360" w:lineRule="auto"/>
        <w:ind w:left="905" w:hanging="425" w:firstLineChars="0"/>
        <w:rPr>
          <w:rFonts w:hint="default" w:asciiTheme="minorEastAsia" w:hAnsiTheme="minorEastAsia" w:eastAsiaTheme="minorEastAsia" w:cstheme="minorEastAsia"/>
          <w:color w:val="auto"/>
          <w:highlight w:val="none"/>
        </w:rPr>
      </w:pPr>
      <w:r>
        <w:rPr>
          <w:rFonts w:hint="default" w:asciiTheme="minorEastAsia" w:hAnsiTheme="minorEastAsia" w:eastAsiaTheme="minorEastAsia" w:cstheme="minorEastAsia"/>
          <w:color w:val="auto"/>
          <w:highlight w:val="none"/>
        </w:rPr>
        <w:t>乙方开具虚假、作废等无效发票或者违反国家法律法规开具、提供发票的，乙方应自行承担相应法律责任，赔偿由此给甲方造成的全部损失并应向甲方支付合同总价20% 的违约金，乙方提供履约保证金的，甲方有权扣除乙方全部履约保证金，以上违约金或履约保证金不足以弥补甲方损失的，乙方应予赔偿；乙方重新开具的发票仍与合同约定不符的，乙方除按本项前述约定承担责任外，甲方拒绝接收；乙方无法开具发票的，乙方除按本项前述约定承担责任外，乙方应退还甲方已付款项，赔偿由此给甲方造成的全部损失，甲方有权终止合同。</w:t>
      </w:r>
    </w:p>
    <w:p w14:paraId="20ACAC6D">
      <w:pPr>
        <w:numPr>
          <w:ilvl w:val="0"/>
          <w:numId w:val="10"/>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其他税务风险的合同约定：</w:t>
      </w:r>
    </w:p>
    <w:p w14:paraId="655F5B48">
      <w:pPr>
        <w:numPr>
          <w:ilvl w:val="0"/>
          <w:numId w:val="13"/>
        </w:numPr>
        <w:spacing w:line="360" w:lineRule="auto"/>
        <w:ind w:left="905" w:hanging="425" w:firstLineChars="0"/>
        <w:rPr>
          <w:rFonts w:hint="default" w:asciiTheme="minorEastAsia" w:hAnsiTheme="minorEastAsia" w:eastAsiaTheme="minorEastAsia" w:cstheme="minorEastAsia"/>
          <w:color w:val="auto"/>
          <w:highlight w:val="none"/>
        </w:rPr>
      </w:pPr>
      <w:r>
        <w:rPr>
          <w:rFonts w:hint="default" w:asciiTheme="minorEastAsia" w:hAnsiTheme="minorEastAsia" w:eastAsiaTheme="minorEastAsia" w:cstheme="minorEastAsia"/>
          <w:color w:val="auto"/>
          <w:highlight w:val="none"/>
        </w:rPr>
        <w:t>如果甲方丢失增值税专用发票联和抵扣联，乙方应向甲方提供专用发票记账联复印件，并加盖乙方发票专用章。</w:t>
      </w:r>
    </w:p>
    <w:p w14:paraId="7E702F0D">
      <w:pPr>
        <w:numPr>
          <w:ilvl w:val="0"/>
          <w:numId w:val="13"/>
        </w:numPr>
        <w:spacing w:line="360" w:lineRule="auto"/>
        <w:ind w:left="905" w:hanging="425" w:firstLineChars="0"/>
        <w:rPr>
          <w:rFonts w:hint="default" w:asciiTheme="minorEastAsia" w:hAnsiTheme="minorEastAsia" w:eastAsiaTheme="minorEastAsia" w:cstheme="minorEastAsia"/>
          <w:color w:val="auto"/>
          <w:highlight w:val="none"/>
        </w:rPr>
      </w:pPr>
      <w:r>
        <w:rPr>
          <w:rFonts w:hint="default" w:asciiTheme="minorEastAsia" w:hAnsiTheme="minorEastAsia" w:eastAsiaTheme="minorEastAsia" w:cstheme="minorEastAsia"/>
          <w:color w:val="auto"/>
          <w:highlight w:val="none"/>
        </w:rPr>
        <w:t>如果获得开具的汇总专用发票，则乙方应提供其防伪税控系统开具的《销售货物或者提供应税劳务清单》，并加盖发票专用章。</w:t>
      </w:r>
    </w:p>
    <w:p w14:paraId="47B7D707">
      <w:pPr>
        <w:numPr>
          <w:ilvl w:val="0"/>
          <w:numId w:val="10"/>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真实发生且合理合规的设计变更、现场签证事项，在按甲方制度审批完成后随节点进度款进行付款（每次具备支付条件的签证变更金额累计金额需超过3万元，累计已审批变更签证金额不足3万元时依次滚动到下节点，甲方内部流程显示为审批中或未发起审批的金额不具备支付条件）；支付比例为流程已审批完成且已确认金额的80%，剩余20%于竣工结算后支付。</w:t>
      </w:r>
    </w:p>
    <w:p w14:paraId="6B788634">
      <w:pPr>
        <w:keepNext w:val="0"/>
        <w:keepLines w:val="0"/>
        <w:numPr>
          <w:ilvl w:val="0"/>
          <w:numId w:val="2"/>
        </w:numPr>
        <w:spacing w:line="360" w:lineRule="auto"/>
        <w:ind w:left="-420" w:firstLine="420"/>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甲方现场移交标准</w:t>
      </w:r>
    </w:p>
    <w:p w14:paraId="6D230032">
      <w:pPr>
        <w:numPr>
          <w:ilvl w:val="0"/>
          <w:numId w:val="14"/>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本工程移交界面为工地现状条件，且乙方已充分踏勘现场，对工地现状条件下施工所需的措施费等相关费用已综合考虑在合同总价内。</w:t>
      </w:r>
    </w:p>
    <w:p w14:paraId="7B3BABC4">
      <w:pPr>
        <w:numPr>
          <w:ilvl w:val="0"/>
          <w:numId w:val="14"/>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甲方只负责告知施工现场堆放材料的场地，乙方自行解决施工及管理人员住宿办公场所，由此产生的费用由乙方自行承担。</w:t>
      </w:r>
    </w:p>
    <w:p w14:paraId="3A6BF33B">
      <w:pPr>
        <w:numPr>
          <w:ilvl w:val="0"/>
          <w:numId w:val="14"/>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甲方告知水源电源接驳点，接驳工作及接驳费用、施工过程中产生的水电费用由乙方承担。</w:t>
      </w:r>
    </w:p>
    <w:p w14:paraId="559ED820">
      <w:pPr>
        <w:numPr>
          <w:ilvl w:val="0"/>
          <w:numId w:val="2"/>
        </w:numPr>
        <w:wordWrap w:val="0"/>
        <w:topLinePunct/>
        <w:spacing w:line="360" w:lineRule="auto"/>
        <w:ind w:left="-420" w:firstLine="420"/>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Cs w:val="24"/>
          <w:highlight w:val="none"/>
        </w:rPr>
        <w:t>材料供应要求：</w:t>
      </w:r>
    </w:p>
    <w:p w14:paraId="36184418">
      <w:pPr>
        <w:numPr>
          <w:ilvl w:val="0"/>
          <w:numId w:val="15"/>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由乙方自行选择供货商进行采购的材料：由乙方采购前按照甲方确认的设计图纸及定标封样要求注明的颜色、质量、质感、规格、品牌等送实物样品（所有饰面材料）供甲方确认，经甲方、监理书面确认后，作为施工实物样板封存甲方，并由乙方按甲方确认的施工实物样板自行采购。</w:t>
      </w:r>
    </w:p>
    <w:p w14:paraId="54A3DCA6">
      <w:pPr>
        <w:numPr>
          <w:ilvl w:val="0"/>
          <w:numId w:val="15"/>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在施工时材料在进场前必须先经甲方书面认可后方能进场，否则甲方有权清退相关材料，由此产生的费用由乙方承担。甲方有权自主决定是否改为甲供材料，乙方对此</w:t>
      </w:r>
      <w:r>
        <w:rPr>
          <w:rFonts w:hint="eastAsia" w:asciiTheme="minorEastAsia" w:hAnsiTheme="minorEastAsia" w:eastAsiaTheme="minorEastAsia" w:cstheme="minorEastAsia"/>
          <w:color w:val="auto"/>
          <w:szCs w:val="24"/>
          <w:highlight w:val="none"/>
          <w:lang w:val="en-US" w:eastAsia="zh-CN"/>
        </w:rPr>
        <w:t>无</w:t>
      </w:r>
      <w:r>
        <w:rPr>
          <w:rFonts w:hint="eastAsia" w:asciiTheme="minorEastAsia" w:hAnsiTheme="minorEastAsia" w:eastAsiaTheme="minorEastAsia" w:cstheme="minorEastAsia"/>
          <w:color w:val="auto"/>
          <w:szCs w:val="24"/>
          <w:highlight w:val="none"/>
        </w:rPr>
        <w:t>任何异议</w:t>
      </w:r>
      <w:r>
        <w:rPr>
          <w:rFonts w:hint="eastAsia" w:asciiTheme="minorEastAsia" w:hAnsiTheme="minorEastAsia" w:eastAsiaTheme="minorEastAsia" w:cstheme="minorEastAsia"/>
          <w:color w:val="auto"/>
          <w:szCs w:val="24"/>
          <w:highlight w:val="none"/>
          <w:lang w:eastAsia="zh-CN"/>
        </w:rPr>
        <w:t>。</w:t>
      </w:r>
      <w:r>
        <w:rPr>
          <w:rFonts w:hint="eastAsia" w:asciiTheme="minorEastAsia" w:hAnsiTheme="minorEastAsia" w:eastAsiaTheme="minorEastAsia" w:cstheme="minorEastAsia"/>
          <w:color w:val="auto"/>
          <w:szCs w:val="24"/>
          <w:highlight w:val="none"/>
        </w:rPr>
        <w:t xml:space="preserve"> </w:t>
      </w:r>
    </w:p>
    <w:p w14:paraId="06FBB3DE">
      <w:pPr>
        <w:numPr>
          <w:ilvl w:val="0"/>
          <w:numId w:val="15"/>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乙方所使用的材料必须保证合格证书等资料齐全，保证材料通过消防等主管部门的检验检测并承担相关费用且提交相应检测报告，因材料不合格造成费用等损失均由乙方承担。同时，乙方采购材料必须符合国家、河南省及洛阳市的环保标准，选用板材必须达到E1级环保级别及达到洛阳市环保主管部门的标准。</w:t>
      </w:r>
    </w:p>
    <w:p w14:paraId="5EED1A93">
      <w:pPr>
        <w:numPr>
          <w:ilvl w:val="0"/>
          <w:numId w:val="15"/>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乙方在购置设备及材料前必须经甲方、监理书面认可后方可采购。乙方采购的设备、材料等在进场前要先向甲方和监理方填报《材料、设备进场报验单》，经甲方和监理验收合格并书面签证认可后方能进场，且使用前应按有关规定进行自检或按甲方要求进行检验或试验，不合格的不得使用，检验或试验费用由乙方承担。甲方的认可及/或签证并不视为对乙方供应设备及材料的质量合格的认可，也不因此免除乙方对设备及材料的质量瑕疵担保的责任。未经甲方和监理工程师检查认可的设备、材料不得进场；已进场但自检或甲方检验不合格的设备、材料应清退出场，由此造成的责任及损失由乙方负责。</w:t>
      </w:r>
    </w:p>
    <w:p w14:paraId="5D182FA2">
      <w:pPr>
        <w:numPr>
          <w:ilvl w:val="0"/>
          <w:numId w:val="15"/>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本工程承包范围内使用的全部设备、材料及产品必须满足合格品规定，满足国家标准和行业标准，并符合洛阳市质量部门对建筑设备、材料及产品的具体要求，坚持三证（合格证，材质书，出厂检验报告）齐全，有规定要求的材料必须检测或复试合格后方可使用。同时因乙方所使用的建筑材料存在的包括但不限于质量问题造成建筑物环境污染超过国家或洛阳市允许标准，由乙方负责处理并承担因此而造成的相应经济损失。</w:t>
      </w:r>
    </w:p>
    <w:p w14:paraId="4962BC42">
      <w:pPr>
        <w:numPr>
          <w:ilvl w:val="0"/>
          <w:numId w:val="15"/>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乙方采购的材料设备品牌（合同内有具体材料设备品牌约定的材料），未经甲方许可，乙方不得擅自更换品牌；若乙方擅自更换采购的材料设备不符合合同约定的品牌、厂家、产地、材质、工艺、规格、型号等标准或者存在“假冒伪劣”等情形，则甲方有权要求乙方将该部分材料设备清退出场，对已施工使用的材料设备，有权要求乙方全部拆除并重新施工，直至符合合同约定的各项质量标准，工期不予顺延，由此导致乙方工期及材料费用等损失由乙方自行承担，同时甲方还有权根据本合同相关条款追究乙方的违约责任，并向乙方主张包括但不限于因索赔产生的诉讼费、保全费、保全担保费、律师费等损失。为保障建设工程品质、强化施工质量，无论工程是否已经验收合格，无论甲方是否未经验收即已投入使用，乙方均承诺：不论何时，只要甲方发现乙方施工的工程存在前述约定的情形，乙方除按照本条款承担相应责任外，还应当按照该部分材料设备对应的合同价款的三倍金额另行向甲方支付惩罚性赔偿（该惩罚性赔偿不足伍万元的，按伍万元计）。若乙方要求更换合同约定材料品牌，须乙方书面申请并经甲方书面审批通过，更换材料应确保与原品牌同等档次，更换材料后甲方保留价格调整的权利（即：引起价格调增的部分甲方不予调整，价格调减的部分甲方可据实调减）。</w:t>
      </w:r>
    </w:p>
    <w:p w14:paraId="20834541">
      <w:pPr>
        <w:numPr>
          <w:ilvl w:val="0"/>
          <w:numId w:val="15"/>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材料品牌约定详见附件三《材料品牌表》。</w:t>
      </w:r>
    </w:p>
    <w:p w14:paraId="574E469A">
      <w:pPr>
        <w:pStyle w:val="2"/>
        <w:ind w:firstLine="240" w:firstLineChars="100"/>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8.乙方确保随货提供的检测报告、合格证的真实性，否则，乙方应对所供产品符合合同约定承担证明责任。</w:t>
      </w:r>
    </w:p>
    <w:p w14:paraId="1862BFE1">
      <w:pPr>
        <w:numPr>
          <w:ilvl w:val="0"/>
          <w:numId w:val="2"/>
        </w:numPr>
        <w:wordWrap w:val="0"/>
        <w:topLinePunct/>
        <w:autoSpaceDE w:val="0"/>
        <w:spacing w:line="360" w:lineRule="auto"/>
        <w:ind w:left="-420" w:firstLine="420"/>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Cs w:val="24"/>
          <w:highlight w:val="none"/>
        </w:rPr>
        <w:t>工程质量要求</w:t>
      </w:r>
    </w:p>
    <w:p w14:paraId="07E10DA8">
      <w:pPr>
        <w:numPr>
          <w:ilvl w:val="0"/>
          <w:numId w:val="16"/>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施工质量标准：合格。全部工程（包括材料、工艺等）应符合按合同约定、设计图纸及现行的国家相关行业及工程所在地的技术规范及质量验收评定标准，具体评定标准及奖罚条例如下：</w:t>
      </w:r>
    </w:p>
    <w:p w14:paraId="31DF621E">
      <w:pPr>
        <w:numPr>
          <w:ilvl w:val="0"/>
          <w:numId w:val="17"/>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按照有关验收规范和国家标准执行，工程质量为合格。</w:t>
      </w:r>
    </w:p>
    <w:p w14:paraId="3A2801F7">
      <w:pPr>
        <w:numPr>
          <w:ilvl w:val="0"/>
          <w:numId w:val="17"/>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不合格工程不予验收和结算，且乙方应赔偿甲方因此遭受的一切损失。</w:t>
      </w:r>
    </w:p>
    <w:p w14:paraId="3AB57D4A">
      <w:pPr>
        <w:numPr>
          <w:ilvl w:val="0"/>
          <w:numId w:val="16"/>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工程质量控制要求：所有装修装饰工程必须达到设计图纸和国家现行施工规范的技术要求。工程质量达不到要求的应予以免费返工，直到达到要求为止，若由此而造成的损失和工程逾期的，由乙方负责。</w:t>
      </w:r>
    </w:p>
    <w:p w14:paraId="54EDDBDD">
      <w:pPr>
        <w:numPr>
          <w:ilvl w:val="0"/>
          <w:numId w:val="16"/>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工程质量必须符合设计图纸及相应设计文件的要求，验收标准执行现行国家质量验收及施工规范和地方行政管理部门制定的规范文件。</w:t>
      </w:r>
    </w:p>
    <w:p w14:paraId="10CA4DE1">
      <w:pPr>
        <w:numPr>
          <w:ilvl w:val="0"/>
          <w:numId w:val="16"/>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xml:space="preserve">工程材料与设备应符合国家质量标准和环保标准，按照设计图纸及施工规范、验收规范组织进货，且应“三证”齐全。材料进场后，甲方有权按规定分批号进行抽检，复检合格经甲方认可后方可使用，抽检产生的费用由乙方承担（若有）。   </w:t>
      </w:r>
    </w:p>
    <w:p w14:paraId="04565E99">
      <w:pPr>
        <w:numPr>
          <w:ilvl w:val="0"/>
          <w:numId w:val="16"/>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乙方在施工现场组织施工时应做好现场成品保护工作，禁止私自拆除或破坏现有成品。如必须拆除或改变需书面报请甲方同意。成品保护需满足附件六《成品保护标准》中对应的要求。</w:t>
      </w:r>
    </w:p>
    <w:p w14:paraId="57F0DABD">
      <w:pPr>
        <w:numPr>
          <w:ilvl w:val="0"/>
          <w:numId w:val="16"/>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如果发生以下情形，甲方有权要求整改，情节严重的甲方有权解除合同，由此造成的损失乙方承担：</w:t>
      </w:r>
    </w:p>
    <w:p w14:paraId="2E6F3C70">
      <w:pPr>
        <w:numPr>
          <w:ilvl w:val="0"/>
          <w:numId w:val="18"/>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不按合同约定的要求施工；</w:t>
      </w:r>
    </w:p>
    <w:p w14:paraId="01A49669">
      <w:pPr>
        <w:numPr>
          <w:ilvl w:val="0"/>
          <w:numId w:val="18"/>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违反正常施工程序、施工工艺进行野蛮施工；</w:t>
      </w:r>
    </w:p>
    <w:p w14:paraId="519E645A">
      <w:pPr>
        <w:numPr>
          <w:ilvl w:val="0"/>
          <w:numId w:val="18"/>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施工质量、安全、环保等达不到有关要求；</w:t>
      </w:r>
    </w:p>
    <w:p w14:paraId="4255646D">
      <w:pPr>
        <w:numPr>
          <w:ilvl w:val="0"/>
          <w:numId w:val="18"/>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施工材料不符合本合同规定的品牌或材质的。</w:t>
      </w:r>
    </w:p>
    <w:p w14:paraId="3360DE48">
      <w:pPr>
        <w:numPr>
          <w:ilvl w:val="0"/>
          <w:numId w:val="16"/>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施工厂区每项工序需做到工完料清。</w:t>
      </w:r>
    </w:p>
    <w:p w14:paraId="3A42B55B">
      <w:pPr>
        <w:numPr>
          <w:ilvl w:val="0"/>
          <w:numId w:val="16"/>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技术标准：材料满足国家或相关行业的强制性质量标准；无强制性标准的应以样品或双方约定的标准为准（包括图纸、样品）等，图纸及样品必须经双方签认并妥善封存，并具有国家认可机构出具的与每批石材、铝板相对应有效期限内的有效质量检验合格报告。同时，如国家标准、行业标准及企业内控标准不一致时，以其中较高的标准为准。</w:t>
      </w:r>
    </w:p>
    <w:p w14:paraId="6122915C">
      <w:pPr>
        <w:numPr>
          <w:ilvl w:val="0"/>
          <w:numId w:val="16"/>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国家现行的有关规范、法规及行业标准；</w:t>
      </w:r>
    </w:p>
    <w:p w14:paraId="5724FAB9">
      <w:pPr>
        <w:numPr>
          <w:ilvl w:val="0"/>
          <w:numId w:val="16"/>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应采用的主要设计、施工、检验、评定标准。</w:t>
      </w:r>
    </w:p>
    <w:p w14:paraId="7755DAFE">
      <w:pPr>
        <w:numPr>
          <w:ilvl w:val="0"/>
          <w:numId w:val="19"/>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《建筑工程施工质量验收统一标准》GB50300-2013</w:t>
      </w:r>
    </w:p>
    <w:p w14:paraId="0D57058D">
      <w:pPr>
        <w:numPr>
          <w:ilvl w:val="0"/>
          <w:numId w:val="19"/>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《建筑工程质量验收规范》GB50210-2018</w:t>
      </w:r>
    </w:p>
    <w:p w14:paraId="01815316">
      <w:pPr>
        <w:numPr>
          <w:ilvl w:val="0"/>
          <w:numId w:val="19"/>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与本工程有关的技术规范和验收标准</w:t>
      </w:r>
    </w:p>
    <w:p w14:paraId="7740FA73">
      <w:pPr>
        <w:numPr>
          <w:ilvl w:val="0"/>
          <w:numId w:val="20"/>
        </w:numPr>
        <w:spacing w:line="360" w:lineRule="auto"/>
        <w:ind w:left="114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《建筑工程施工质量验收统一标准》GB50300-2013</w:t>
      </w:r>
    </w:p>
    <w:p w14:paraId="2C2E6477">
      <w:pPr>
        <w:numPr>
          <w:ilvl w:val="0"/>
          <w:numId w:val="20"/>
        </w:numPr>
        <w:spacing w:line="360" w:lineRule="auto"/>
        <w:ind w:left="114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《建筑工程质量验收规范》GB50210-2018</w:t>
      </w:r>
    </w:p>
    <w:p w14:paraId="5177EA81">
      <w:pPr>
        <w:numPr>
          <w:ilvl w:val="0"/>
          <w:numId w:val="20"/>
        </w:numPr>
        <w:spacing w:line="360" w:lineRule="auto"/>
        <w:ind w:left="114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xml:space="preserve">《住宅装饰装修工程施工规范》GB50327-2001 </w:t>
      </w:r>
    </w:p>
    <w:p w14:paraId="613EACDD">
      <w:pPr>
        <w:numPr>
          <w:ilvl w:val="0"/>
          <w:numId w:val="16"/>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其他施工及验收规范、质量检验评定标准：</w:t>
      </w:r>
    </w:p>
    <w:p w14:paraId="5ACA8DE2">
      <w:pPr>
        <w:numPr>
          <w:ilvl w:val="0"/>
          <w:numId w:val="21"/>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《砌体工程施工质量验收规范》GB50203--2019</w:t>
      </w:r>
    </w:p>
    <w:p w14:paraId="31CEA1EC">
      <w:pPr>
        <w:numPr>
          <w:ilvl w:val="0"/>
          <w:numId w:val="21"/>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《混凝土工程施工质量验收规范》GB50204—2015</w:t>
      </w:r>
    </w:p>
    <w:p w14:paraId="10F1F843">
      <w:pPr>
        <w:numPr>
          <w:ilvl w:val="0"/>
          <w:numId w:val="21"/>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《建筑电气工程施工质量验收规范》GB50303—2015</w:t>
      </w:r>
    </w:p>
    <w:p w14:paraId="728C64E6">
      <w:pPr>
        <w:numPr>
          <w:ilvl w:val="0"/>
          <w:numId w:val="21"/>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《河南省工程建设标准设计》12YJ</w:t>
      </w:r>
    </w:p>
    <w:p w14:paraId="3B287E71">
      <w:pPr>
        <w:numPr>
          <w:ilvl w:val="0"/>
          <w:numId w:val="21"/>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《建筑施工安全检查标准》JGJ59-2011</w:t>
      </w:r>
    </w:p>
    <w:p w14:paraId="7A247ABF">
      <w:pPr>
        <w:numPr>
          <w:ilvl w:val="0"/>
          <w:numId w:val="21"/>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《施工现场临时用电安全技术规范》JGJ46-2005</w:t>
      </w:r>
    </w:p>
    <w:p w14:paraId="69C2F1DC">
      <w:pPr>
        <w:numPr>
          <w:ilvl w:val="0"/>
          <w:numId w:val="21"/>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《建筑涂饰工程施工及验收规程》JGJ/T29-2003</w:t>
      </w:r>
    </w:p>
    <w:p w14:paraId="765051B2">
      <w:pPr>
        <w:numPr>
          <w:ilvl w:val="0"/>
          <w:numId w:val="21"/>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《建筑装饰装修工程质量验收规范》GB50210-2018</w:t>
      </w:r>
    </w:p>
    <w:p w14:paraId="414429D2">
      <w:pPr>
        <w:numPr>
          <w:ilvl w:val="0"/>
          <w:numId w:val="21"/>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《安全防范工程技术规范》GB50348-2018</w:t>
      </w:r>
    </w:p>
    <w:p w14:paraId="75E39509">
      <w:pPr>
        <w:numPr>
          <w:ilvl w:val="0"/>
          <w:numId w:val="21"/>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《综合布线系统工程验收规范》 GBT 50312-2016</w:t>
      </w:r>
    </w:p>
    <w:p w14:paraId="0BD688A7">
      <w:pPr>
        <w:numPr>
          <w:ilvl w:val="0"/>
          <w:numId w:val="21"/>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《建筑给水排水及采暖工程施工质量验收规范》GB50242-2002</w:t>
      </w:r>
    </w:p>
    <w:p w14:paraId="266B9F6C">
      <w:pPr>
        <w:numPr>
          <w:ilvl w:val="0"/>
          <w:numId w:val="21"/>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《综合布线系统工程验收规范》 GBT 50312-2016</w:t>
      </w:r>
    </w:p>
    <w:p w14:paraId="40EF3F0C">
      <w:pPr>
        <w:numPr>
          <w:ilvl w:val="0"/>
          <w:numId w:val="21"/>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工程质量同时需满足《中浩德地产集团工程精细化手册1.0工艺标准》中对应的要求。</w:t>
      </w:r>
    </w:p>
    <w:p w14:paraId="0B0A253A">
      <w:pPr>
        <w:numPr>
          <w:ilvl w:val="0"/>
          <w:numId w:val="16"/>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施工及选用设备和材料时按最近的国际或国内标准执行，并提供采用的国际或国内标准、规范和所 应用的最新版本的有关技术依据资料。</w:t>
      </w:r>
    </w:p>
    <w:p w14:paraId="63F550DF">
      <w:pPr>
        <w:numPr>
          <w:ilvl w:val="0"/>
          <w:numId w:val="2"/>
        </w:numPr>
        <w:wordWrap/>
        <w:topLinePunct w:val="0"/>
        <w:autoSpaceDE/>
        <w:spacing w:line="360" w:lineRule="auto"/>
        <w:ind w:left="-420" w:firstLine="420"/>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Cs w:val="24"/>
          <w:highlight w:val="none"/>
        </w:rPr>
        <w:t>现场安全文明施工及管理要求</w:t>
      </w:r>
    </w:p>
    <w:p w14:paraId="5F928077">
      <w:pPr>
        <w:numPr>
          <w:ilvl w:val="0"/>
          <w:numId w:val="22"/>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乙方负责施工现场的安全管理工作，对施工期间的安全承担全部责任，派专人负责具体的安全工作，并经常性地做好安全宣传教育，严防安全隐患，杜绝伤亡事故和火灾的发生。如发生事故，责任由乙方负责，与甲方无关，乙方同时保护现场并及时上报有关部门。</w:t>
      </w:r>
    </w:p>
    <w:p w14:paraId="12DF7242">
      <w:pPr>
        <w:numPr>
          <w:ilvl w:val="0"/>
          <w:numId w:val="22"/>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乙方及乙方施工人员在现场包括但不限于因用水、用电、高空作业、使用机器发生伤亡事故的，其经济责任、法律责任和其他民事责任均由乙方负责。</w:t>
      </w:r>
    </w:p>
    <w:p w14:paraId="38592064">
      <w:pPr>
        <w:numPr>
          <w:ilvl w:val="0"/>
          <w:numId w:val="22"/>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乙方及乙方派驻施工现场的现场代表须向甲方签订安全责任书，对工程质量、安全作出相应承诺和确定目标值。若上述目标不能达到，应向甲方支付违约金2000元并向甲方给予经济补偿和承担相应的法律责任。</w:t>
      </w:r>
    </w:p>
    <w:p w14:paraId="32287F0C">
      <w:pPr>
        <w:numPr>
          <w:ilvl w:val="0"/>
          <w:numId w:val="22"/>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施工现场用电器具应有接地、接零装置和线路布置规范化，安全防护措施到位。乙方自身职工、与甲方有关的第三方人员在现场发生伤亡事故，其经济责任、法律责任和其他民事责任均由乙方负责。</w:t>
      </w:r>
    </w:p>
    <w:p w14:paraId="70E15F79">
      <w:pPr>
        <w:numPr>
          <w:ilvl w:val="0"/>
          <w:numId w:val="22"/>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乙方应加强对现场施工人员的教育。施工现场严禁酗酒、打架斗殴、赌博和其他违法违章现象，每发现一次，乙方按2000元/次向甲方支付违约金</w:t>
      </w:r>
      <w:r>
        <w:rPr>
          <w:rFonts w:hint="eastAsia" w:asciiTheme="minorEastAsia" w:hAnsiTheme="minorEastAsia" w:eastAsiaTheme="minorEastAsia" w:cstheme="minorEastAsia"/>
          <w:color w:val="auto"/>
          <w:szCs w:val="24"/>
          <w:highlight w:val="none"/>
          <w:lang w:eastAsia="zh-CN"/>
        </w:rPr>
        <w:t>；</w:t>
      </w:r>
      <w:r>
        <w:rPr>
          <w:rFonts w:hint="eastAsia" w:asciiTheme="minorEastAsia" w:hAnsiTheme="minorEastAsia" w:eastAsiaTheme="minorEastAsia" w:cstheme="minorEastAsia"/>
          <w:color w:val="auto"/>
          <w:szCs w:val="24"/>
          <w:highlight w:val="none"/>
        </w:rPr>
        <w:t>乙方任何人员不得以任何理由出现围堵售楼部、公司、政府部门等现象，每发现一次，乙方向甲方支付违约金10万元</w:t>
      </w:r>
      <w:r>
        <w:rPr>
          <w:rFonts w:hint="eastAsia" w:asciiTheme="minorEastAsia" w:hAnsiTheme="minorEastAsia" w:eastAsiaTheme="minorEastAsia" w:cstheme="minorEastAsia"/>
          <w:color w:val="auto"/>
          <w:szCs w:val="24"/>
          <w:highlight w:val="none"/>
          <w:lang w:eastAsia="zh-CN"/>
        </w:rPr>
        <w:t>；</w:t>
      </w:r>
      <w:r>
        <w:rPr>
          <w:rFonts w:hint="eastAsia" w:asciiTheme="minorEastAsia" w:hAnsiTheme="minorEastAsia" w:eastAsiaTheme="minorEastAsia" w:cstheme="minorEastAsia"/>
          <w:color w:val="auto"/>
          <w:kern w:val="2"/>
          <w:szCs w:val="24"/>
          <w:highlight w:val="none"/>
        </w:rPr>
        <w:t>乙方在施工期间，合同约定项目经理必须24小时在场，甲方、监理随时对乙方项目经理在岗履职情况进行考评，如每发现1次项目经理无故不在岗，乙方向甲方支付违约金5000元。</w:t>
      </w:r>
    </w:p>
    <w:p w14:paraId="0B887A9D">
      <w:pPr>
        <w:numPr>
          <w:ilvl w:val="0"/>
          <w:numId w:val="22"/>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乙方严禁对现场甲方工作人员、与甲方有关第三方人员、监理人员等，进行请客、行贿等。甲方发现一次无论何原因将对各方参与人员给予发生数额10倍以上的经济处罚，达到刑事责任时，将依据有关法律追究当事人的刑事责任。</w:t>
      </w:r>
    </w:p>
    <w:p w14:paraId="1B8C6D6D">
      <w:pPr>
        <w:numPr>
          <w:ilvl w:val="0"/>
          <w:numId w:val="22"/>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乙方需遵守甲方、监理及总承包单位的相关安全规程制度，否则按相关制度进行处罚。</w:t>
      </w:r>
    </w:p>
    <w:p w14:paraId="7DD6EB8E">
      <w:pPr>
        <w:numPr>
          <w:ilvl w:val="0"/>
          <w:numId w:val="22"/>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乙方在施工中要服从甲方及监理人员的统一指挥，做好防尘防噪措施，各项措施和管理达到洛阳市文明建设的有关规定。现场施工实行工完场清制度，垃圾及时清运出场。</w:t>
      </w:r>
    </w:p>
    <w:p w14:paraId="2C15391B">
      <w:pPr>
        <w:numPr>
          <w:ilvl w:val="0"/>
          <w:numId w:val="22"/>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乙方应保证施工现场的卫生标准、噪声标准等指标满足国家、地方的有关规定。施工中因乙方违反规定造成的损失和发生的费用（若主管部门罚款）均由乙方承担。</w:t>
      </w:r>
    </w:p>
    <w:p w14:paraId="5FEED715">
      <w:pPr>
        <w:numPr>
          <w:ilvl w:val="0"/>
          <w:numId w:val="22"/>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施工过程中如发生扰民或民扰，由乙方与甲方协调解决，费用乙方承担。</w:t>
      </w:r>
    </w:p>
    <w:p w14:paraId="5000BBEA">
      <w:pPr>
        <w:numPr>
          <w:ilvl w:val="0"/>
          <w:numId w:val="22"/>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安全文明施工标准应符合《浩德地产安全文明措施标准化手册2022版》的相关要求。</w:t>
      </w:r>
    </w:p>
    <w:p w14:paraId="4A73A053">
      <w:pPr>
        <w:numPr>
          <w:ilvl w:val="0"/>
          <w:numId w:val="22"/>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现场安全文明施工、进度及质量等未尽事宜参照《</w:t>
      </w:r>
      <w:r>
        <w:rPr>
          <w:rFonts w:hint="eastAsia" w:asciiTheme="minorEastAsia" w:hAnsiTheme="minorEastAsia" w:eastAsiaTheme="minorEastAsia" w:cstheme="minorEastAsia"/>
          <w:color w:val="auto"/>
          <w:szCs w:val="24"/>
          <w:highlight w:val="none"/>
          <w:lang w:eastAsia="zh-CN"/>
        </w:rPr>
        <w:t>开元壹号</w:t>
      </w:r>
      <w:r>
        <w:rPr>
          <w:rFonts w:hint="eastAsia" w:asciiTheme="minorEastAsia" w:hAnsiTheme="minorEastAsia" w:eastAsiaTheme="minorEastAsia" w:cstheme="minorEastAsia"/>
          <w:color w:val="auto"/>
          <w:szCs w:val="24"/>
          <w:highlight w:val="none"/>
        </w:rPr>
        <w:t>项目现场管理制度》执行。</w:t>
      </w:r>
    </w:p>
    <w:p w14:paraId="2D397B05">
      <w:pPr>
        <w:keepNext w:val="0"/>
        <w:keepLines w:val="0"/>
        <w:numPr>
          <w:ilvl w:val="0"/>
          <w:numId w:val="2"/>
        </w:numPr>
        <w:spacing w:line="360" w:lineRule="auto"/>
        <w:ind w:left="-420" w:firstLine="420"/>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验收及移交</w:t>
      </w:r>
    </w:p>
    <w:p w14:paraId="5F82F3A6">
      <w:pPr>
        <w:numPr>
          <w:ilvl w:val="0"/>
          <w:numId w:val="23"/>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工程验收：按照国家标准设计要求装饰装修工程质量标准和甲方的要求进行验收。如工程质量达不到约定条件，乙方应按甲方和监理的要求返工、修改，并承担因此导致返工、修改的费用及逾期完工的违约责任。</w:t>
      </w:r>
    </w:p>
    <w:p w14:paraId="1A105135">
      <w:pPr>
        <w:numPr>
          <w:ilvl w:val="0"/>
          <w:numId w:val="24"/>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甲方</w:t>
      </w:r>
      <w:r>
        <w:rPr>
          <w:rFonts w:hint="eastAsia" w:asciiTheme="minorEastAsia" w:hAnsiTheme="minorEastAsia" w:eastAsiaTheme="minorEastAsia" w:cstheme="minorEastAsia"/>
          <w:color w:val="auto"/>
          <w:szCs w:val="24"/>
          <w:highlight w:val="none"/>
          <w:lang w:val="en-US" w:eastAsia="zh-CN"/>
        </w:rPr>
        <w:t>有权</w:t>
      </w:r>
      <w:r>
        <w:rPr>
          <w:rFonts w:hint="eastAsia" w:asciiTheme="minorEastAsia" w:hAnsiTheme="minorEastAsia" w:eastAsiaTheme="minorEastAsia" w:cstheme="minorEastAsia"/>
          <w:color w:val="auto"/>
          <w:szCs w:val="24"/>
          <w:highlight w:val="none"/>
        </w:rPr>
        <w:t>委托任何设计单位、政府有关质量监督部门或其他单位对施工质量进行检查及对工程质量进行监督，乙方应予积极配合。</w:t>
      </w:r>
    </w:p>
    <w:p w14:paraId="73128ED0">
      <w:pPr>
        <w:numPr>
          <w:ilvl w:val="0"/>
          <w:numId w:val="24"/>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甲方有权随时对本合同范围内产品的生产过程及到场产品进行检查，乙方应予以积极配合，如甲方认定产品的用料、工艺及产品质量不合格，乙方应立即按照合同质量要求重新生产，且工期不予顺延。</w:t>
      </w:r>
    </w:p>
    <w:p w14:paraId="04A8A66B">
      <w:pPr>
        <w:numPr>
          <w:ilvl w:val="0"/>
          <w:numId w:val="24"/>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本工程的质量监督验收单位为：甲方、监理方。</w:t>
      </w:r>
    </w:p>
    <w:p w14:paraId="18E3499A">
      <w:pPr>
        <w:numPr>
          <w:ilvl w:val="0"/>
          <w:numId w:val="24"/>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工程验收必须以合同约定的质量要求、材料品牌、规格、型号、施工图纸及有关变更的书面文件、国家颁布的施工及验收规范和质量检验标准为依据。乙方施工有防火要求的门窗必须满足施工图设计要求，乙方要负责消防验收通过。</w:t>
      </w:r>
    </w:p>
    <w:p w14:paraId="6F0E8286">
      <w:pPr>
        <w:numPr>
          <w:ilvl w:val="0"/>
          <w:numId w:val="24"/>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隐蔽工程由乙方书面通知甲方、监理，由甲方 、监理相关工程技术人员到现场检查验收，经验收合格后并履行隐蔽工程签证手续，乙方可将该部位隐蔽。未经甲方监理验收私自进行隐蔽，甲方有权要求进行破坏性检查，同时乙方承担2000元/次的违约。</w:t>
      </w:r>
    </w:p>
    <w:p w14:paraId="19399762">
      <w:pPr>
        <w:numPr>
          <w:ilvl w:val="0"/>
          <w:numId w:val="24"/>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工程竣工后，乙方通过自检、自查，并进行调试、开通、试运行正常后，认为具备条件时，乙方应以书面的方式向甲方、监理方提出验收申请，甲方自收到申请之日起5个工作日内给出正式回复，并在回复之日起5个工作日内组织相关人员验收，并提出验收意见，甲方认为不具备验收条件的除外。</w:t>
      </w:r>
    </w:p>
    <w:p w14:paraId="61C79AE2">
      <w:pPr>
        <w:numPr>
          <w:ilvl w:val="0"/>
          <w:numId w:val="24"/>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验收中如发现不合格需返工或修补的部分，乙方应及时进行整改并在规定期限内完成。由此发生的费用及产生的逾期完工责任由乙方承担；</w:t>
      </w:r>
    </w:p>
    <w:p w14:paraId="38D54C5F">
      <w:pPr>
        <w:numPr>
          <w:ilvl w:val="0"/>
          <w:numId w:val="24"/>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竣工工程验收以国家规定的施工验收规范质量检验标准和甲方的要求为依据，在进行竣工验收时，乙方应向甲方提供增减工程变更的有关手续和中间交工验收纪录、隐蔽验收工程纪录、所有材料及设备合格证书产地证明等有关材料、所有安装工程的竣工图纸；</w:t>
      </w:r>
    </w:p>
    <w:p w14:paraId="10DC6AD5">
      <w:pPr>
        <w:numPr>
          <w:ilvl w:val="0"/>
          <w:numId w:val="24"/>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工程验收合格后5个工作日内，乙方负责按工程竣工资料归档要求，提交满足相关建筑工程质量监督部门对技术资料的要求的竣工资料，把有关资料送交甲方。</w:t>
      </w:r>
    </w:p>
    <w:p w14:paraId="756E8111">
      <w:pPr>
        <w:numPr>
          <w:ilvl w:val="0"/>
          <w:numId w:val="24"/>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乙方负责办理向甲方和监理公司验收手续及负担有关费用，验收合格后，乙方应向甲方提供工程验收合格证书。对于验收中存在的施工问题乙方应无条件进行整改，涉及不同标段相连结的施工问题，乙方应主动进行协调并解决问题。</w:t>
      </w:r>
    </w:p>
    <w:p w14:paraId="17CB49B6">
      <w:pPr>
        <w:numPr>
          <w:ilvl w:val="0"/>
          <w:numId w:val="24"/>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办理竣工验收、合格证、检测费用等由乙方自行承担。</w:t>
      </w:r>
    </w:p>
    <w:p w14:paraId="33FC47F7">
      <w:pPr>
        <w:numPr>
          <w:ilvl w:val="0"/>
          <w:numId w:val="23"/>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工程的移交：</w:t>
      </w:r>
    </w:p>
    <w:p w14:paraId="3F2E8EB7">
      <w:pPr>
        <w:numPr>
          <w:ilvl w:val="0"/>
          <w:numId w:val="25"/>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交房前精装修所有范围内（含精装甲分包、甲供材）所有安保责任均由乙方承担，出现物品丢失，由乙方按照购买同种类及同品质产品的重购价进行赔偿。</w:t>
      </w:r>
    </w:p>
    <w:p w14:paraId="4412F177">
      <w:pPr>
        <w:numPr>
          <w:ilvl w:val="0"/>
          <w:numId w:val="25"/>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本工程竣工验收合格之日起3日内由双方负责人共同洽谈交接事宜并办理移交手续。工程自移交第二日起，全部由甲方负责管理。</w:t>
      </w:r>
    </w:p>
    <w:p w14:paraId="0AA9ABAA">
      <w:pPr>
        <w:numPr>
          <w:ilvl w:val="0"/>
          <w:numId w:val="25"/>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乙方应在竣工验收合格之日起2日内撤出全部施工人员、机械设备和剩余材料，并将所有承包及管理范围内的工程清理干净，如乙方不能及时拆除或清理，甲方有权另派人拆除并清理，由此所发生的全部费用由乙方承担，甲方有权从应付未付款项中扣除。乙方遗留的物品视为乙方放弃所有权，甲方有权自行处置。</w:t>
      </w:r>
    </w:p>
    <w:p w14:paraId="24CB189C">
      <w:pPr>
        <w:numPr>
          <w:ilvl w:val="0"/>
          <w:numId w:val="25"/>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工程在未移交甲方之前，乙方承担维护及管理责任；如甲方提前使用，因使用损坏发生的修理费用由甲方承担。</w:t>
      </w:r>
    </w:p>
    <w:p w14:paraId="6D5EBED9">
      <w:pPr>
        <w:numPr>
          <w:ilvl w:val="0"/>
          <w:numId w:val="25"/>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工程竣工并达到合同验收要求后，乙方不得因自身的经济纠纷或其他任何原因（含甲方延期付款等）而拒绝交付工程；如乙方拒绝移交工程的，自应当移交工程之日起，乙方每日需向甲方按照合同总</w:t>
      </w:r>
      <w:r>
        <w:rPr>
          <w:rFonts w:hint="eastAsia" w:asciiTheme="minorEastAsia" w:hAnsiTheme="minorEastAsia" w:eastAsiaTheme="minorEastAsia" w:cstheme="minorEastAsia"/>
          <w:color w:val="auto"/>
          <w:szCs w:val="24"/>
          <w:highlight w:val="none"/>
          <w:lang w:val="en-US" w:eastAsia="zh-CN"/>
        </w:rPr>
        <w:t>金额</w:t>
      </w:r>
      <w:r>
        <w:rPr>
          <w:rFonts w:hint="eastAsia" w:asciiTheme="minorEastAsia" w:hAnsiTheme="minorEastAsia" w:eastAsiaTheme="minorEastAsia" w:cstheme="minorEastAsia"/>
          <w:color w:val="auto"/>
          <w:szCs w:val="24"/>
          <w:highlight w:val="none"/>
        </w:rPr>
        <w:t>0.5‰承担违约责任，甲方有权从应付未付款项中扣除，应付未付款项不足以抵扣的，乙方应当补足。</w:t>
      </w:r>
    </w:p>
    <w:p w14:paraId="5270A281">
      <w:pPr>
        <w:numPr>
          <w:ilvl w:val="0"/>
          <w:numId w:val="2"/>
        </w:numPr>
        <w:wordWrap/>
        <w:topLinePunct w:val="0"/>
        <w:autoSpaceDE/>
        <w:spacing w:line="360" w:lineRule="auto"/>
        <w:ind w:left="-420" w:firstLine="420"/>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Cs w:val="24"/>
          <w:highlight w:val="none"/>
        </w:rPr>
        <w:t>工程变更、签证</w:t>
      </w:r>
    </w:p>
    <w:p w14:paraId="5D2FED69">
      <w:pPr>
        <w:numPr>
          <w:ilvl w:val="0"/>
          <w:numId w:val="26"/>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乙方应严格按照经甲方审核签认的施工图纸施工，不得随意变更；若确需变更，应按程序报甲方书面同意后，方可变更施工，否则造成的一切后果及责任均由乙方负责。</w:t>
      </w:r>
    </w:p>
    <w:p w14:paraId="018AE1CA">
      <w:pPr>
        <w:numPr>
          <w:ilvl w:val="0"/>
          <w:numId w:val="26"/>
        </w:numPr>
        <w:spacing w:line="360" w:lineRule="auto"/>
        <w:ind w:left="665" w:hanging="425" w:firstLineChars="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Cs w:val="24"/>
          <w:highlight w:val="none"/>
        </w:rPr>
        <w:t>施工过程中，若甲方需要增减项目或变更项目应提前以书面形式通知乙方，乙方承诺满足甲方的需求</w:t>
      </w:r>
      <w:r>
        <w:rPr>
          <w:rFonts w:hint="eastAsia" w:asciiTheme="minorEastAsia" w:hAnsiTheme="minorEastAsia" w:eastAsiaTheme="minorEastAsia" w:cstheme="minorEastAsia"/>
          <w:color w:val="auto"/>
          <w:kern w:val="0"/>
          <w:szCs w:val="20"/>
          <w:highlight w:val="none"/>
        </w:rPr>
        <w:t>，并不因此要求赔偿/补偿。</w:t>
      </w:r>
    </w:p>
    <w:p w14:paraId="4DCB1977">
      <w:pPr>
        <w:numPr>
          <w:ilvl w:val="0"/>
          <w:numId w:val="26"/>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变更、签证的计价原则：本合同执行期间，若因甲方设计原因引起的设计变更，由甲方出具设计变更单。因设计变更引起部分分项工程子目的增加，该项子目的综合单价在合同中（即后附价格清单）有相同子目的执行相同子目的单价，合同中后附表中有相近子目的按相近子目执行；若合同中后附表无适用或类似于变更、签证工程综合单价的，则由甲方乙方共同认价后按照认价计入结算；若在施工过程中未由甲方认价的，结算时按照甲方认为可行的单价计入结算，乙方不得有任何异议。</w:t>
      </w:r>
    </w:p>
    <w:p w14:paraId="7D0DE244">
      <w:pPr>
        <w:numPr>
          <w:ilvl w:val="0"/>
          <w:numId w:val="26"/>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设计变更与现场签证必须进行一单一算、一月一清。为了保证甲方成本管理部、项目工程部及乙方三方资料的完整性和一致性，每月5日之前，应按“一月一清”的原则，对上月所有甲方发出的设计变更单和收到的工程签证单进行核对和清理，并签字确认。对于乙方在结算时提出的、月结月清中未登记的设计变更和现场签证，甲方有权不接收、不计算、不结算和不支付费用。</w:t>
      </w:r>
    </w:p>
    <w:p w14:paraId="20443CD0">
      <w:pPr>
        <w:numPr>
          <w:ilvl w:val="0"/>
          <w:numId w:val="2"/>
        </w:numPr>
        <w:wordWrap/>
        <w:topLinePunct w:val="0"/>
        <w:autoSpaceDE/>
        <w:spacing w:line="360" w:lineRule="auto"/>
        <w:ind w:left="-420" w:firstLine="420"/>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Cs w:val="24"/>
          <w:highlight w:val="none"/>
        </w:rPr>
        <w:t>结算方式</w:t>
      </w:r>
    </w:p>
    <w:p w14:paraId="10CB9486">
      <w:pPr>
        <w:numPr>
          <w:ilvl w:val="0"/>
          <w:numId w:val="27"/>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结算依据：甲方审核签认的施工设计方案、甲方认可的变更签证、施工合同、补充协议、招标、投标文件等。</w:t>
      </w:r>
    </w:p>
    <w:p w14:paraId="21B8F9E2">
      <w:pPr>
        <w:numPr>
          <w:ilvl w:val="0"/>
          <w:numId w:val="27"/>
        </w:numPr>
        <w:spacing w:line="360" w:lineRule="auto"/>
        <w:ind w:left="665" w:hanging="425" w:firstLineChars="0"/>
        <w:rPr>
          <w:rFonts w:hint="eastAsia" w:asciiTheme="minorEastAsia" w:hAnsiTheme="minorEastAsia" w:eastAsiaTheme="minorEastAsia" w:cstheme="minorEastAsia"/>
          <w:color w:val="auto"/>
          <w:szCs w:val="24"/>
          <w:highlight w:val="none"/>
          <w:lang w:val="en-US" w:eastAsia="zh-CN"/>
        </w:rPr>
      </w:pPr>
      <w:r>
        <w:rPr>
          <w:rFonts w:hint="eastAsia" w:asciiTheme="minorEastAsia" w:hAnsiTheme="minorEastAsia" w:eastAsiaTheme="minorEastAsia" w:cstheme="minorEastAsia"/>
          <w:color w:val="auto"/>
          <w:szCs w:val="24"/>
          <w:highlight w:val="none"/>
          <w:lang w:val="en-US" w:eastAsia="zh-CN"/>
        </w:rPr>
        <w:t>结算采用第</w:t>
      </w:r>
      <w:r>
        <w:rPr>
          <w:rFonts w:hint="eastAsia" w:asciiTheme="minorEastAsia" w:hAnsiTheme="minorEastAsia" w:eastAsiaTheme="minorEastAsia" w:cstheme="minorEastAsia"/>
          <w:color w:val="auto"/>
          <w:szCs w:val="24"/>
          <w:highlight w:val="none"/>
          <w:u w:val="single"/>
          <w:lang w:val="en-US" w:eastAsia="zh-CN"/>
        </w:rPr>
        <w:t xml:space="preserve"> （2） </w:t>
      </w:r>
      <w:r>
        <w:rPr>
          <w:rFonts w:hint="eastAsia" w:asciiTheme="minorEastAsia" w:hAnsiTheme="minorEastAsia" w:eastAsiaTheme="minorEastAsia" w:cstheme="minorEastAsia"/>
          <w:color w:val="auto"/>
          <w:szCs w:val="24"/>
          <w:highlight w:val="none"/>
          <w:lang w:val="en-US" w:eastAsia="zh-CN"/>
        </w:rPr>
        <w:t>方式：</w:t>
      </w:r>
    </w:p>
    <w:p w14:paraId="76D98772">
      <w:pPr>
        <w:numPr>
          <w:ilvl w:val="0"/>
          <w:numId w:val="28"/>
        </w:numPr>
        <w:spacing w:line="360" w:lineRule="auto"/>
        <w:ind w:left="905" w:hanging="425" w:firstLineChars="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结算价款＝固定总价合同±变更、签证造价－其他应扣费用（含违约金）。</w:t>
      </w:r>
    </w:p>
    <w:p w14:paraId="129A7CCB">
      <w:pPr>
        <w:numPr>
          <w:ilvl w:val="0"/>
          <w:numId w:val="28"/>
        </w:numPr>
        <w:spacing w:line="360" w:lineRule="auto"/>
        <w:ind w:left="905" w:hanging="425" w:firstLineChars="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结算价款=固定综合单价*双方核算认可的工程量</w:t>
      </w:r>
      <w:r>
        <w:rPr>
          <w:rFonts w:hint="eastAsia" w:asciiTheme="minorEastAsia" w:hAnsiTheme="minorEastAsia" w:eastAsiaTheme="minorEastAsia" w:cstheme="minorEastAsia"/>
          <w:color w:val="auto"/>
          <w:highlight w:val="none"/>
        </w:rPr>
        <w:t>±变更、签证造价－其他应扣费用（含违约金）</w:t>
      </w:r>
      <w:r>
        <w:rPr>
          <w:rFonts w:hint="eastAsia" w:asciiTheme="minorEastAsia" w:hAnsiTheme="minorEastAsia" w:eastAsiaTheme="minorEastAsia" w:cstheme="minorEastAsia"/>
          <w:color w:val="auto"/>
          <w:highlight w:val="none"/>
          <w:lang w:eastAsia="zh-CN"/>
        </w:rPr>
        <w:t>。</w:t>
      </w:r>
    </w:p>
    <w:p w14:paraId="54C1223D">
      <w:pPr>
        <w:numPr>
          <w:ilvl w:val="0"/>
          <w:numId w:val="27"/>
        </w:numPr>
        <w:spacing w:line="360" w:lineRule="auto"/>
        <w:ind w:left="665" w:hanging="425" w:firstLineChars="0"/>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 w:val="24"/>
          <w:szCs w:val="24"/>
          <w:highlight w:val="none"/>
        </w:rPr>
        <w:t>若变更签证有附表中产品等形式之外的形式与后附工程量清单项目相同或相近的，则采用其相同或相近的单价；如后附工程量清单项目中没有相同或相近的，则由甲方认价后按照认价计入结算，并在结算时执行，结算后并入结算总价；否则按照甲方单方认定价格执行，计入结算总价</w:t>
      </w:r>
    </w:p>
    <w:p w14:paraId="42BDE132">
      <w:pPr>
        <w:numPr>
          <w:ilvl w:val="0"/>
          <w:numId w:val="27"/>
        </w:numPr>
        <w:snapToGrid/>
        <w:spacing w:line="360" w:lineRule="auto"/>
        <w:ind w:left="665" w:hanging="425" w:firstLineChars="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工程全部完工，经项目所在地具有管辖权政府职能部门验收合格且出具合格验收意见文件后30日内乙方提交装订成册完整的工程竣工结算资料两套，逾期提交或提交资料不合格，由此产生未能及时结算的责任由乙方承担。若乙方在上述时间内不提交结算资料，甲方有权单独进行结算，乙方应接受甲方结算结果；若提交资料不完整（遗漏或后补资料）视为放弃；放弃部分甲方只计算变更减少部分，不再计算变更增加部分，乙方不得提出异议，由此产生的未能及时结算的责任由乙方自己承担。甲方成本部门收到乙方提交合格的结算资料后90个工作日内审查完毕并通知乙方，乙方接到结算审查通知后10个工作日内确认或提出异议，逾期视为已认可甲方审查意见</w:t>
      </w:r>
      <w:r>
        <w:rPr>
          <w:rFonts w:hint="eastAsia" w:asciiTheme="minorEastAsia" w:hAnsiTheme="minorEastAsia" w:eastAsiaTheme="minorEastAsia" w:cstheme="minorEastAsia"/>
          <w:color w:val="auto"/>
          <w:sz w:val="24"/>
          <w:szCs w:val="24"/>
          <w:highlight w:val="none"/>
          <w:lang w:eastAsia="zh-CN"/>
        </w:rPr>
        <w:t>，最终结算金额以审计结果为准</w:t>
      </w:r>
      <w:r>
        <w:rPr>
          <w:rFonts w:hint="eastAsia" w:asciiTheme="minorEastAsia" w:hAnsiTheme="minorEastAsia" w:eastAsiaTheme="minorEastAsia" w:cstheme="minorEastAsia"/>
          <w:color w:val="auto"/>
          <w:sz w:val="24"/>
          <w:szCs w:val="24"/>
          <w:highlight w:val="none"/>
        </w:rPr>
        <w:t>。</w:t>
      </w:r>
    </w:p>
    <w:p w14:paraId="3D062040">
      <w:pPr>
        <w:numPr>
          <w:ilvl w:val="0"/>
          <w:numId w:val="27"/>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乙方报送结算书应诚实准确，若最终审减额（报送金额—结算金额）超过结算金额的5%，则需要乙方向甲方支付超出5%部分的费用的3%作为违约金，且违约金在结算金额中一次性扣除。</w:t>
      </w:r>
    </w:p>
    <w:p w14:paraId="2783BE85">
      <w:pPr>
        <w:numPr>
          <w:ilvl w:val="0"/>
          <w:numId w:val="27"/>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办理竣工验收、合格证、检测费用等由乙方自行承担。</w:t>
      </w:r>
    </w:p>
    <w:p w14:paraId="47B297B0">
      <w:pPr>
        <w:numPr>
          <w:ilvl w:val="0"/>
          <w:numId w:val="27"/>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若甲方需在本合同约定的承包范围以外委托乙方完成其他工作，应以正式书面形式将具体工作范围、价款、完成时间、付款方式等主要内容通知乙方。若无正式书面委托，甲方不予结算。</w:t>
      </w:r>
    </w:p>
    <w:p w14:paraId="0E10C5FE">
      <w:pPr>
        <w:keepNext w:val="0"/>
        <w:keepLines w:val="0"/>
        <w:numPr>
          <w:ilvl w:val="0"/>
          <w:numId w:val="2"/>
        </w:numPr>
        <w:spacing w:line="360" w:lineRule="auto"/>
        <w:ind w:left="-420" w:firstLine="420"/>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质保期</w:t>
      </w:r>
    </w:p>
    <w:p w14:paraId="7585DECC">
      <w:pPr>
        <w:numPr>
          <w:ilvl w:val="0"/>
          <w:numId w:val="29"/>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本工程的质保期为</w:t>
      </w:r>
      <w:r>
        <w:rPr>
          <w:rFonts w:hint="eastAsia" w:asciiTheme="minorEastAsia" w:hAnsiTheme="minorEastAsia" w:eastAsiaTheme="minorEastAsia" w:cstheme="minorEastAsia"/>
          <w:color w:val="auto"/>
          <w:szCs w:val="24"/>
          <w:highlight w:val="none"/>
          <w:lang w:eastAsia="zh-CN"/>
        </w:rPr>
        <w:t>两</w:t>
      </w:r>
      <w:r>
        <w:rPr>
          <w:rFonts w:hint="eastAsia" w:asciiTheme="minorEastAsia" w:hAnsiTheme="minorEastAsia" w:eastAsiaTheme="minorEastAsia" w:cstheme="minorEastAsia"/>
          <w:color w:val="auto"/>
          <w:szCs w:val="24"/>
          <w:highlight w:val="none"/>
        </w:rPr>
        <w:t>年，自工程全部施工完成，经甲方、监理及相关部门验收合格之日起开始计算。</w:t>
      </w:r>
    </w:p>
    <w:p w14:paraId="14D13A29">
      <w:pPr>
        <w:numPr>
          <w:ilvl w:val="0"/>
          <w:numId w:val="29"/>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质保期内若有施工质量问题、用量问题等，乙方必须在接到通知后的 24 个小时内派员维修并在24 小时内完成修复，因质量问题引起的损坏，乙方免收一切费用；对于质保范围外的维修，乙方承诺仅向甲方收取更换的材料、部件的成本费。若乙方在收到通知后不及时派员维修，甲方、物业管理公司可另请人员修理，费用在质保金中扣除，如质保金不足以支付的，甲方有权向乙方追偿。因质量问题给甲方或第三方造成损失的，乙方承担全部赔偿责任。</w:t>
      </w:r>
    </w:p>
    <w:p w14:paraId="7F496D0B">
      <w:pPr>
        <w:numPr>
          <w:ilvl w:val="0"/>
          <w:numId w:val="2"/>
        </w:numPr>
        <w:wordWrap/>
        <w:overflowPunct/>
        <w:topLinePunct w:val="0"/>
        <w:autoSpaceDE/>
        <w:spacing w:line="360" w:lineRule="auto"/>
        <w:ind w:left="-420" w:firstLine="420" w:firstLineChars="0"/>
        <w:outlineLvl w:val="0"/>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履约保证金</w:t>
      </w:r>
    </w:p>
    <w:p w14:paraId="6A539EC7">
      <w:pPr>
        <w:numPr>
          <w:ilvl w:val="0"/>
          <w:numId w:val="30"/>
        </w:numPr>
        <w:spacing w:before="156" w:beforeLines="50" w:after="156" w:afterLines="50" w:line="360" w:lineRule="auto"/>
        <w:ind w:left="665" w:hanging="425" w:firstLineChars="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rPr>
        <w:t>采用现金形式缴纳投标保证金的，在中标后自动转为履约保证金</w:t>
      </w:r>
      <w:r>
        <w:rPr>
          <w:rFonts w:hint="eastAsia" w:asciiTheme="minorEastAsia" w:hAnsiTheme="minorEastAsia" w:eastAsiaTheme="minorEastAsia" w:cstheme="minorEastAsia"/>
          <w:color w:val="auto"/>
          <w:sz w:val="24"/>
          <w:szCs w:val="24"/>
          <w:highlight w:val="none"/>
          <w:lang w:eastAsia="zh-CN"/>
        </w:rPr>
        <w:t>。</w:t>
      </w:r>
    </w:p>
    <w:p w14:paraId="6884A7D6">
      <w:pPr>
        <w:numPr>
          <w:ilvl w:val="0"/>
          <w:numId w:val="30"/>
        </w:numPr>
        <w:spacing w:before="156" w:beforeLines="50" w:after="156" w:afterLines="50" w:line="360" w:lineRule="auto"/>
        <w:ind w:left="665" w:hanging="425" w:firstLineChars="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采用银行保函形式的，在合同签订后20日历天内完成合同</w:t>
      </w:r>
      <w:r>
        <w:rPr>
          <w:rFonts w:hint="eastAsia" w:asciiTheme="minorEastAsia" w:hAnsiTheme="minorEastAsia" w:eastAsiaTheme="minorEastAsia" w:cstheme="minorEastAsia"/>
          <w:color w:val="auto"/>
          <w:sz w:val="24"/>
          <w:szCs w:val="24"/>
          <w:highlight w:val="none"/>
          <w:lang w:val="en-US" w:eastAsia="zh-CN"/>
        </w:rPr>
        <w:t>总</w:t>
      </w:r>
      <w:r>
        <w:rPr>
          <w:rFonts w:hint="eastAsia" w:asciiTheme="minorEastAsia" w:hAnsiTheme="minorEastAsia" w:eastAsiaTheme="minorEastAsia" w:cstheme="minorEastAsia"/>
          <w:color w:val="auto"/>
          <w:sz w:val="24"/>
          <w:szCs w:val="24"/>
          <w:highlight w:val="none"/>
        </w:rPr>
        <w:t>金额的0.5%现金履约保证金的缴纳或出具合同</w:t>
      </w:r>
      <w:r>
        <w:rPr>
          <w:rFonts w:hint="eastAsia" w:asciiTheme="minorEastAsia" w:hAnsiTheme="minorEastAsia" w:eastAsiaTheme="minorEastAsia" w:cstheme="minorEastAsia"/>
          <w:color w:val="auto"/>
          <w:sz w:val="24"/>
          <w:szCs w:val="24"/>
          <w:highlight w:val="none"/>
          <w:lang w:val="en-US" w:eastAsia="zh-CN"/>
        </w:rPr>
        <w:t>总</w:t>
      </w:r>
      <w:r>
        <w:rPr>
          <w:rFonts w:hint="eastAsia" w:asciiTheme="minorEastAsia" w:hAnsiTheme="minorEastAsia" w:eastAsiaTheme="minorEastAsia" w:cstheme="minorEastAsia"/>
          <w:color w:val="auto"/>
          <w:sz w:val="24"/>
          <w:szCs w:val="24"/>
          <w:highlight w:val="none"/>
        </w:rPr>
        <w:t>金额的1%的银行履约保函。逾期未现金缴纳或者未开具保函的，在第一次付款时按合同</w:t>
      </w:r>
      <w:r>
        <w:rPr>
          <w:rFonts w:hint="eastAsia" w:asciiTheme="minorEastAsia" w:hAnsiTheme="minorEastAsia" w:eastAsiaTheme="minorEastAsia" w:cstheme="minorEastAsia"/>
          <w:color w:val="auto"/>
          <w:sz w:val="24"/>
          <w:szCs w:val="24"/>
          <w:highlight w:val="none"/>
          <w:lang w:val="en-US" w:eastAsia="zh-CN"/>
        </w:rPr>
        <w:t>总</w:t>
      </w:r>
      <w:r>
        <w:rPr>
          <w:rFonts w:hint="eastAsia" w:asciiTheme="minorEastAsia" w:hAnsiTheme="minorEastAsia" w:eastAsiaTheme="minorEastAsia" w:cstheme="minorEastAsia"/>
          <w:color w:val="auto"/>
          <w:sz w:val="24"/>
          <w:szCs w:val="24"/>
          <w:highlight w:val="none"/>
        </w:rPr>
        <w:t>金额1%进行工程款扣除作为履约保证金。</w:t>
      </w:r>
    </w:p>
    <w:p w14:paraId="70B4DE72">
      <w:pPr>
        <w:numPr>
          <w:ilvl w:val="0"/>
          <w:numId w:val="30"/>
        </w:numPr>
        <w:wordWrap w:val="0"/>
        <w:overflowPunct w:val="0"/>
        <w:topLinePunct/>
        <w:autoSpaceDE w:val="0"/>
        <w:spacing w:before="156" w:beforeLines="50" w:after="156" w:afterLines="50" w:line="360" w:lineRule="auto"/>
        <w:ind w:left="665" w:hanging="425" w:firstLineChars="0"/>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color w:val="auto"/>
          <w:sz w:val="24"/>
          <w:szCs w:val="24"/>
          <w:highlight w:val="none"/>
        </w:rPr>
        <w:t>履约保证金的期限自合同签订之日起至施工完成且验收合格。</w:t>
      </w:r>
    </w:p>
    <w:p w14:paraId="72226095">
      <w:pPr>
        <w:numPr>
          <w:ilvl w:val="0"/>
          <w:numId w:val="30"/>
        </w:numPr>
        <w:overflowPunct w:val="0"/>
        <w:spacing w:line="360" w:lineRule="auto"/>
        <w:ind w:left="665" w:hanging="425" w:firstLineChars="0"/>
        <w:outlineLvl w:val="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现金保证金</w:t>
      </w:r>
      <w:r>
        <w:rPr>
          <w:rFonts w:hint="eastAsia" w:asciiTheme="minorEastAsia" w:hAnsiTheme="minorEastAsia" w:eastAsiaTheme="minorEastAsia" w:cstheme="minorEastAsia"/>
          <w:color w:val="auto"/>
          <w:sz w:val="24"/>
          <w:szCs w:val="24"/>
          <w:highlight w:val="none"/>
          <w:lang w:val="en-US" w:eastAsia="zh-CN"/>
        </w:rPr>
        <w:t>在</w:t>
      </w:r>
      <w:r>
        <w:rPr>
          <w:rFonts w:hint="eastAsia" w:asciiTheme="minorEastAsia" w:hAnsiTheme="minorEastAsia" w:eastAsiaTheme="minorEastAsia" w:cstheme="minorEastAsia"/>
          <w:color w:val="auto"/>
          <w:sz w:val="24"/>
          <w:szCs w:val="24"/>
          <w:highlight w:val="none"/>
        </w:rPr>
        <w:t>全部工程施工完成经甲方、监理及相关部门验收合格后7日内</w:t>
      </w:r>
      <w:r>
        <w:rPr>
          <w:rFonts w:hint="eastAsia" w:asciiTheme="minorEastAsia" w:hAnsiTheme="minorEastAsia" w:eastAsiaTheme="minorEastAsia" w:cstheme="minorEastAsia"/>
          <w:color w:val="auto"/>
          <w:sz w:val="24"/>
          <w:szCs w:val="24"/>
          <w:highlight w:val="none"/>
          <w:lang w:eastAsia="zh-CN"/>
        </w:rPr>
        <w:t>由工程申请</w:t>
      </w:r>
      <w:r>
        <w:rPr>
          <w:rFonts w:hint="eastAsia" w:asciiTheme="minorEastAsia" w:hAnsiTheme="minorEastAsia" w:eastAsiaTheme="minorEastAsia" w:cstheme="minorEastAsia"/>
          <w:color w:val="auto"/>
          <w:sz w:val="24"/>
          <w:szCs w:val="24"/>
          <w:highlight w:val="none"/>
        </w:rPr>
        <w:t>无息退还剩余履约保证金（若有）。</w:t>
      </w:r>
    </w:p>
    <w:p w14:paraId="4D679C2C">
      <w:pPr>
        <w:numPr>
          <w:ilvl w:val="0"/>
          <w:numId w:val="30"/>
        </w:numPr>
        <w:spacing w:line="360" w:lineRule="auto"/>
        <w:ind w:left="665" w:hanging="425"/>
        <w:rPr>
          <w:rFonts w:hint="eastAsia"/>
          <w:color w:val="auto"/>
          <w:highlight w:val="none"/>
        </w:rPr>
      </w:pPr>
      <w:r>
        <w:rPr>
          <w:rFonts w:hint="eastAsia" w:asciiTheme="minorEastAsia" w:hAnsiTheme="minorEastAsia" w:eastAsiaTheme="minorEastAsia" w:cstheme="minorEastAsia"/>
          <w:color w:val="auto"/>
          <w:sz w:val="24"/>
          <w:szCs w:val="24"/>
          <w:highlight w:val="none"/>
        </w:rPr>
        <w:t xml:space="preserve">凡在工期、工程质量、安全文明施工等要求中，任何一项要求没有达到本合同约定，甲方有权按比例或全额扣除乙方履约保证金，乙方应7日内予以补足，否则，甲方有权在应付款项中暂时扣除用于补足履约保证金。 </w:t>
      </w:r>
    </w:p>
    <w:p w14:paraId="2212C29D">
      <w:pPr>
        <w:numPr>
          <w:ilvl w:val="0"/>
          <w:numId w:val="2"/>
        </w:numPr>
        <w:wordWrap w:val="0"/>
        <w:topLinePunct/>
        <w:autoSpaceDE w:val="0"/>
        <w:spacing w:line="360" w:lineRule="auto"/>
        <w:ind w:left="-420" w:firstLine="420"/>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Cs w:val="24"/>
          <w:highlight w:val="none"/>
        </w:rPr>
        <w:t>双方责任与义务</w:t>
      </w:r>
    </w:p>
    <w:p w14:paraId="389808FA">
      <w:pPr>
        <w:numPr>
          <w:ilvl w:val="0"/>
          <w:numId w:val="31"/>
        </w:numPr>
        <w:spacing w:line="360" w:lineRule="auto"/>
        <w:ind w:left="66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甲方的责任与义务</w:t>
      </w:r>
    </w:p>
    <w:p w14:paraId="248B0CC7">
      <w:pPr>
        <w:numPr>
          <w:ilvl w:val="0"/>
          <w:numId w:val="32"/>
        </w:numPr>
        <w:spacing w:line="360" w:lineRule="auto"/>
        <w:ind w:left="905" w:hanging="425" w:firstLineChars="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Cs w:val="24"/>
          <w:highlight w:val="none"/>
        </w:rPr>
        <w:t>遵守法律、法规和规章，甲方应在其实施本合同的全部工作中遵守与本合同有关的法律、法规和规章，并应承担由于其</w:t>
      </w:r>
      <w:r>
        <w:rPr>
          <w:rFonts w:hint="eastAsia" w:asciiTheme="minorEastAsia" w:hAnsiTheme="minorEastAsia" w:eastAsiaTheme="minorEastAsia" w:cstheme="minorEastAsia"/>
          <w:color w:val="auto"/>
          <w:highlight w:val="none"/>
        </w:rPr>
        <w:t>自身违反上述法律、法规和规章的责任。</w:t>
      </w:r>
    </w:p>
    <w:p w14:paraId="7C44F415">
      <w:pPr>
        <w:numPr>
          <w:ilvl w:val="0"/>
          <w:numId w:val="32"/>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甲方委派</w:t>
      </w:r>
      <w:r>
        <w:rPr>
          <w:rFonts w:hint="eastAsia" w:asciiTheme="minorEastAsia" w:hAnsiTheme="minorEastAsia" w:eastAsiaTheme="minorEastAsia" w:cstheme="minorEastAsia"/>
          <w:color w:val="auto"/>
          <w:kern w:val="2"/>
          <w:sz w:val="24"/>
          <w:szCs w:val="24"/>
          <w:highlight w:val="none"/>
          <w:u w:val="single"/>
          <w:lang w:val="en-US" w:eastAsia="zh-CN"/>
        </w:rPr>
        <w:t xml:space="preserve">李中伟 </w:t>
      </w:r>
      <w:r>
        <w:rPr>
          <w:rFonts w:hint="eastAsia" w:asciiTheme="minorEastAsia" w:hAnsiTheme="minorEastAsia" w:eastAsiaTheme="minorEastAsia" w:cstheme="minorEastAsia"/>
          <w:color w:val="auto"/>
          <w:kern w:val="2"/>
          <w:sz w:val="24"/>
          <w:szCs w:val="24"/>
          <w:highlight w:val="none"/>
          <w:u w:val="none"/>
        </w:rPr>
        <w:t>，</w:t>
      </w:r>
      <w:r>
        <w:rPr>
          <w:rFonts w:hint="eastAsia" w:asciiTheme="minorEastAsia" w:hAnsiTheme="minorEastAsia" w:eastAsiaTheme="minorEastAsia" w:cstheme="minorEastAsia"/>
          <w:color w:val="auto"/>
          <w:kern w:val="2"/>
          <w:sz w:val="24"/>
          <w:szCs w:val="24"/>
          <w:highlight w:val="none"/>
        </w:rPr>
        <w:t>电话：</w:t>
      </w:r>
      <w:r>
        <w:rPr>
          <w:rFonts w:hint="eastAsia" w:asciiTheme="minorEastAsia" w:hAnsiTheme="minorEastAsia" w:eastAsiaTheme="minorEastAsia" w:cstheme="minorEastAsia"/>
          <w:color w:val="auto"/>
          <w:kern w:val="2"/>
          <w:sz w:val="24"/>
          <w:szCs w:val="24"/>
          <w:highlight w:val="none"/>
          <w:u w:val="single"/>
          <w:lang w:val="en-US" w:eastAsia="zh-CN"/>
        </w:rPr>
        <w:t xml:space="preserve">15137930543 </w:t>
      </w:r>
      <w:r>
        <w:rPr>
          <w:rFonts w:hint="eastAsia" w:asciiTheme="minorEastAsia" w:hAnsiTheme="minorEastAsia" w:eastAsiaTheme="minorEastAsia" w:cstheme="minorEastAsia"/>
          <w:color w:val="auto"/>
          <w:kern w:val="2"/>
          <w:sz w:val="24"/>
          <w:szCs w:val="24"/>
          <w:highlight w:val="none"/>
          <w:u w:val="none"/>
          <w:lang w:val="en-US" w:eastAsia="zh-CN"/>
        </w:rPr>
        <w:t>，</w:t>
      </w:r>
      <w:r>
        <w:rPr>
          <w:rFonts w:hint="eastAsia" w:asciiTheme="minorEastAsia" w:hAnsiTheme="minorEastAsia" w:eastAsiaTheme="minorEastAsia" w:cstheme="minorEastAsia"/>
          <w:color w:val="auto"/>
          <w:sz w:val="24"/>
          <w:szCs w:val="24"/>
          <w:highlight w:val="none"/>
          <w:u w:val="none"/>
          <w:lang w:val="en-US" w:eastAsia="zh-CN"/>
        </w:rPr>
        <w:t>为现场代表，</w:t>
      </w:r>
      <w:r>
        <w:rPr>
          <w:rFonts w:hint="eastAsia" w:asciiTheme="minorEastAsia" w:hAnsiTheme="minorEastAsia" w:eastAsiaTheme="minorEastAsia" w:cstheme="minorEastAsia"/>
          <w:color w:val="auto"/>
          <w:szCs w:val="24"/>
          <w:highlight w:val="none"/>
        </w:rPr>
        <w:t>监督、检查产品、工程的质量，协调工作中发生的有关事宜，并参与产品、工程的初验、验收和签证工作。如现场代表变更则需及时通知乙方。</w:t>
      </w:r>
    </w:p>
    <w:p w14:paraId="528E65A5">
      <w:pPr>
        <w:numPr>
          <w:ilvl w:val="0"/>
          <w:numId w:val="32"/>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甲方应提供乙方所需工程建筑图、说明书、建筑平面图、变更图及有关技术文件等作为乙方产品设计和施工的有效依据。</w:t>
      </w:r>
    </w:p>
    <w:p w14:paraId="67124F12">
      <w:pPr>
        <w:numPr>
          <w:ilvl w:val="0"/>
          <w:numId w:val="32"/>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甲方协调乙方与土建单位施工配合问题，并督促工程进度。</w:t>
      </w:r>
    </w:p>
    <w:p w14:paraId="56D10B32">
      <w:pPr>
        <w:numPr>
          <w:ilvl w:val="0"/>
          <w:numId w:val="32"/>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签订合同时，甲方向乙方提供建筑施工图、变更通知及相关材料1套。</w:t>
      </w:r>
    </w:p>
    <w:p w14:paraId="4D609CD8">
      <w:pPr>
        <w:numPr>
          <w:ilvl w:val="0"/>
          <w:numId w:val="32"/>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甲方应及时按合同要求给乙方拨付工程款、组织工程竣工验收并按合同规定办理竣工结算。</w:t>
      </w:r>
    </w:p>
    <w:p w14:paraId="04482CE1">
      <w:pPr>
        <w:numPr>
          <w:ilvl w:val="0"/>
          <w:numId w:val="32"/>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进场材料及施工成品、半成品达不到标准要求的，甲方有权责令乙方调换。</w:t>
      </w:r>
    </w:p>
    <w:p w14:paraId="326573D8">
      <w:pPr>
        <w:numPr>
          <w:ilvl w:val="0"/>
          <w:numId w:val="32"/>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为乙方协调水源、电源接驳点。</w:t>
      </w:r>
    </w:p>
    <w:p w14:paraId="1AFFAB99">
      <w:pPr>
        <w:numPr>
          <w:ilvl w:val="0"/>
          <w:numId w:val="31"/>
        </w:numPr>
        <w:spacing w:line="360" w:lineRule="auto"/>
        <w:ind w:left="665" w:hanging="425" w:firstLineChars="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乙方责任与义务</w:t>
      </w:r>
    </w:p>
    <w:p w14:paraId="0E53CD3F">
      <w:pPr>
        <w:numPr>
          <w:ilvl w:val="0"/>
          <w:numId w:val="33"/>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遵守法律、法规和规章，乙方应在其负责的各项工作中遵守与本合同工程有关的法律、法规和规章，并保证甲方免于承担由于乙方违反上述法律、法规和规章的任何责任。</w:t>
      </w:r>
    </w:p>
    <w:p w14:paraId="17903BC4">
      <w:pPr>
        <w:numPr>
          <w:ilvl w:val="0"/>
          <w:numId w:val="33"/>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乙方委派</w:t>
      </w:r>
      <w:r>
        <w:rPr>
          <w:rFonts w:hint="eastAsia" w:asciiTheme="minorEastAsia" w:hAnsiTheme="minorEastAsia" w:eastAsiaTheme="minorEastAsia" w:cstheme="minorEastAsia"/>
          <w:color w:val="auto"/>
          <w:szCs w:val="24"/>
          <w:highlight w:val="none"/>
          <w:u w:val="single"/>
          <w:lang w:eastAsia="zh-CN"/>
        </w:rPr>
        <w:t xml:space="preserve"> </w:t>
      </w:r>
      <w:r>
        <w:rPr>
          <w:rFonts w:hint="eastAsia" w:asciiTheme="minorEastAsia" w:hAnsiTheme="minorEastAsia" w:eastAsiaTheme="minorEastAsia" w:cstheme="minorEastAsia"/>
          <w:color w:val="auto"/>
          <w:szCs w:val="24"/>
          <w:highlight w:val="none"/>
          <w:u w:val="single"/>
          <w:lang w:val="en-US" w:eastAsia="zh-CN"/>
        </w:rPr>
        <w:t xml:space="preserve">杨新兴 </w:t>
      </w:r>
      <w:r>
        <w:rPr>
          <w:rFonts w:hint="eastAsia" w:asciiTheme="minorEastAsia" w:hAnsiTheme="minorEastAsia" w:eastAsiaTheme="minorEastAsia" w:cstheme="minorEastAsia"/>
          <w:color w:val="auto"/>
          <w:szCs w:val="24"/>
          <w:highlight w:val="none"/>
        </w:rPr>
        <w:t>为现场代表，电话</w:t>
      </w:r>
      <w:r>
        <w:rPr>
          <w:rFonts w:hint="eastAsia" w:asciiTheme="minorEastAsia" w:hAnsiTheme="minorEastAsia" w:eastAsiaTheme="minorEastAsia" w:cstheme="minorEastAsia"/>
          <w:color w:val="auto"/>
          <w:szCs w:val="24"/>
          <w:highlight w:val="none"/>
          <w:u w:val="none"/>
          <w:lang w:eastAsia="zh-CN"/>
        </w:rPr>
        <w:t>：</w:t>
      </w:r>
      <w:r>
        <w:rPr>
          <w:rFonts w:hint="eastAsia" w:asciiTheme="minorEastAsia" w:hAnsiTheme="minorEastAsia" w:eastAsiaTheme="minorEastAsia" w:cstheme="minorEastAsia"/>
          <w:color w:val="auto"/>
          <w:szCs w:val="24"/>
          <w:highlight w:val="none"/>
          <w:u w:val="single"/>
          <w:lang w:eastAsia="zh-CN"/>
        </w:rPr>
        <w:t xml:space="preserve"> </w:t>
      </w:r>
      <w:r>
        <w:rPr>
          <w:rFonts w:hint="eastAsia" w:asciiTheme="minorEastAsia" w:hAnsiTheme="minorEastAsia" w:eastAsiaTheme="minorEastAsia" w:cstheme="minorEastAsia"/>
          <w:color w:val="auto"/>
          <w:szCs w:val="24"/>
          <w:highlight w:val="none"/>
          <w:u w:val="single"/>
          <w:lang w:val="en-US" w:eastAsia="zh-CN"/>
        </w:rPr>
        <w:t xml:space="preserve">18567026829 </w:t>
      </w:r>
      <w:r>
        <w:rPr>
          <w:rFonts w:hint="eastAsia" w:asciiTheme="minorEastAsia" w:hAnsiTheme="minorEastAsia" w:eastAsiaTheme="minorEastAsia" w:cstheme="minorEastAsia"/>
          <w:color w:val="auto"/>
          <w:szCs w:val="24"/>
          <w:highlight w:val="none"/>
        </w:rPr>
        <w:t>，并须持有与工程项目相适应的资格证书，负责施工期间的施工质量、安全问题，协调工作中发生的有关事宜。如现场代表变更则需经甲方同意。</w:t>
      </w:r>
    </w:p>
    <w:p w14:paraId="65EB19E0">
      <w:pPr>
        <w:numPr>
          <w:ilvl w:val="0"/>
          <w:numId w:val="33"/>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乙方应服从甲方、监理单位、总承包单位的管理，密切配合总承包单位施工，遵守工地的有关规定；严格实行工序开工前向监理报验制度。</w:t>
      </w:r>
    </w:p>
    <w:p w14:paraId="0F03907D">
      <w:pPr>
        <w:numPr>
          <w:ilvl w:val="0"/>
          <w:numId w:val="33"/>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乙方需无条件配合其它二次单位（软装、智能化等）做好预留预埋工作。</w:t>
      </w:r>
    </w:p>
    <w:p w14:paraId="4A4A61F7">
      <w:pPr>
        <w:numPr>
          <w:ilvl w:val="0"/>
          <w:numId w:val="33"/>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乙方不得将该工程转包或分包，否则甲方不支付乙方所发生的任何费用。</w:t>
      </w:r>
    </w:p>
    <w:p w14:paraId="4C9A91CC">
      <w:pPr>
        <w:numPr>
          <w:ilvl w:val="0"/>
          <w:numId w:val="33"/>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按照施工安全规范的要求，采取相应的安全施工防护措施，对验收合格前的安全负全责，发生安全事故与甲方及总承包单位无关，一切责任由乙方承担，甲方因此承担责任的，乙方应负责赔偿；做到文明施工，工完料清、场清；乙方做好半成品保护工作。</w:t>
      </w:r>
    </w:p>
    <w:p w14:paraId="7ABD05D9">
      <w:pPr>
        <w:numPr>
          <w:ilvl w:val="0"/>
          <w:numId w:val="33"/>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做好各项质量自检记录，参加竣工验收，编制工程结算。</w:t>
      </w:r>
    </w:p>
    <w:p w14:paraId="24AEEC60">
      <w:pPr>
        <w:numPr>
          <w:ilvl w:val="0"/>
          <w:numId w:val="33"/>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遵守国家或地方政府及有关部门对施工现场管理规定；服从甲方的有关指令，积极配合甲方进度安排。</w:t>
      </w:r>
    </w:p>
    <w:p w14:paraId="05B312DD">
      <w:pPr>
        <w:numPr>
          <w:ilvl w:val="0"/>
          <w:numId w:val="33"/>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依据规范要求，负责组织工程验收及检测，验收及检测费由乙方自理。</w:t>
      </w:r>
    </w:p>
    <w:p w14:paraId="7C1D101C">
      <w:pPr>
        <w:numPr>
          <w:ilvl w:val="0"/>
          <w:numId w:val="33"/>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根据施工验收规范及甲方要求，及时向甲方和总承包单位提供该分项技术资料。</w:t>
      </w:r>
    </w:p>
    <w:p w14:paraId="5D0B9DB9">
      <w:pPr>
        <w:numPr>
          <w:ilvl w:val="0"/>
          <w:numId w:val="33"/>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甲方告知水源电源接驳点，但是具体接驳工作及产生的水电费由乙方自行承担。乙方在施工中用水、用电耗直接向总承包单位缴纳（具体的计量计价方式由乙方和总承包单位自行协商确定）。</w:t>
      </w:r>
    </w:p>
    <w:p w14:paraId="2E550BFF">
      <w:pPr>
        <w:numPr>
          <w:ilvl w:val="0"/>
          <w:numId w:val="33"/>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周边关系由乙方进行协调，包括协调的责任及相关费用。</w:t>
      </w:r>
    </w:p>
    <w:p w14:paraId="1AA54CCD">
      <w:pPr>
        <w:numPr>
          <w:ilvl w:val="0"/>
          <w:numId w:val="33"/>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乙方负责电梯门洞及电梯控制箱周边的封堵。</w:t>
      </w:r>
    </w:p>
    <w:p w14:paraId="144A5286">
      <w:pPr>
        <w:numPr>
          <w:ilvl w:val="0"/>
          <w:numId w:val="33"/>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乙方负责完工后异味去除、保洁、垃圾清理等收尾工作。</w:t>
      </w:r>
    </w:p>
    <w:p w14:paraId="287DB165">
      <w:pPr>
        <w:numPr>
          <w:ilvl w:val="0"/>
          <w:numId w:val="33"/>
        </w:numPr>
        <w:spacing w:line="360" w:lineRule="auto"/>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乙方承诺本项目不因其他项目的合作（付款）影响本项目的施工，否则自愿</w:t>
      </w:r>
      <w:r>
        <w:rPr>
          <w:rFonts w:hint="eastAsia" w:asciiTheme="minorEastAsia" w:hAnsiTheme="minorEastAsia" w:eastAsiaTheme="minorEastAsia" w:cstheme="minorEastAsia"/>
          <w:color w:val="auto"/>
          <w:szCs w:val="24"/>
          <w:highlight w:val="none"/>
          <w:lang w:val="en-US" w:eastAsia="zh-CN"/>
        </w:rPr>
        <w:t>向甲方支付</w:t>
      </w:r>
      <w:r>
        <w:rPr>
          <w:rFonts w:hint="eastAsia" w:asciiTheme="minorEastAsia" w:hAnsiTheme="minorEastAsia" w:eastAsiaTheme="minorEastAsia" w:cstheme="minorEastAsia"/>
          <w:color w:val="auto"/>
          <w:szCs w:val="24"/>
          <w:highlight w:val="none"/>
        </w:rPr>
        <w:t>10万元违约金。</w:t>
      </w:r>
    </w:p>
    <w:p w14:paraId="27B56E2F">
      <w:pPr>
        <w:numPr>
          <w:ilvl w:val="0"/>
          <w:numId w:val="2"/>
        </w:numPr>
        <w:wordWrap w:val="0"/>
        <w:topLinePunct/>
        <w:autoSpaceDE w:val="0"/>
        <w:spacing w:line="360" w:lineRule="auto"/>
        <w:ind w:left="-420" w:firstLine="420"/>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Cs w:val="24"/>
          <w:highlight w:val="none"/>
        </w:rPr>
        <w:t>违约责任</w:t>
      </w:r>
    </w:p>
    <w:p w14:paraId="6A7A5B32">
      <w:pPr>
        <w:numPr>
          <w:ilvl w:val="0"/>
          <w:numId w:val="34"/>
        </w:numPr>
        <w:spacing w:line="360" w:lineRule="auto"/>
        <w:ind w:left="665" w:hanging="425" w:firstLineChars="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除不可抗力外，甲乙双方应严格遵守本合同的条款，否则，违约方须承担违约责任。</w:t>
      </w:r>
    </w:p>
    <w:p w14:paraId="3BC8CDC3">
      <w:pPr>
        <w:numPr>
          <w:ilvl w:val="0"/>
          <w:numId w:val="34"/>
        </w:numPr>
        <w:spacing w:line="360" w:lineRule="auto"/>
        <w:ind w:left="665" w:hanging="425" w:firstLineChars="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乙方逾期进场、完工的或单独楼栋、总体工程未能按本合同约定工期进场、完工的，视为乙方违约，每逾期一天，按2000元/天向甲方支付违约金，同时因施工逾期引起的相关损失由乙方承担。</w:t>
      </w:r>
    </w:p>
    <w:p w14:paraId="01F044F5">
      <w:pPr>
        <w:numPr>
          <w:ilvl w:val="0"/>
          <w:numId w:val="34"/>
        </w:numPr>
        <w:spacing w:line="360" w:lineRule="auto"/>
        <w:ind w:left="665" w:hanging="425" w:firstLineChars="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乙方存在其他任何逾期违约行为但未达到甲方行使单方解除条件的，每逾期一日，按2000元/日向甲方支付违约金，本合同另有约定时除外。</w:t>
      </w:r>
    </w:p>
    <w:p w14:paraId="2B26AA49">
      <w:pPr>
        <w:numPr>
          <w:ilvl w:val="0"/>
          <w:numId w:val="34"/>
        </w:numPr>
        <w:spacing w:line="360" w:lineRule="auto"/>
        <w:ind w:left="665" w:hanging="425" w:firstLineChars="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乙方存在其他违约行为但未达到甲方行使单方解除条件的，每存在一项/次违约行为，乙方应按2000元/次（项）向甲方支付违约金</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lang w:val="en-US" w:eastAsia="zh-CN"/>
        </w:rPr>
        <w:t>本合同另有约定的除外</w:t>
      </w:r>
      <w:r>
        <w:rPr>
          <w:rFonts w:hint="eastAsia" w:asciiTheme="minorEastAsia" w:hAnsiTheme="minorEastAsia" w:eastAsiaTheme="minorEastAsia" w:cstheme="minorEastAsia"/>
          <w:color w:val="auto"/>
          <w:highlight w:val="none"/>
        </w:rPr>
        <w:t>。</w:t>
      </w:r>
    </w:p>
    <w:p w14:paraId="6F095D60">
      <w:pPr>
        <w:numPr>
          <w:ilvl w:val="0"/>
          <w:numId w:val="34"/>
        </w:numPr>
        <w:spacing w:line="360" w:lineRule="auto"/>
        <w:ind w:left="665" w:hanging="425" w:firstLineChars="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乙方提供产品的品牌、规格、型号等与本合同约定不符的，视为乙方违约，甲方有权拒绝验收，乙方应在5日内无偿更换。</w:t>
      </w:r>
    </w:p>
    <w:p w14:paraId="32C77064">
      <w:pPr>
        <w:numPr>
          <w:ilvl w:val="0"/>
          <w:numId w:val="34"/>
        </w:numPr>
        <w:spacing w:line="360" w:lineRule="auto"/>
        <w:ind w:left="665" w:hanging="425" w:firstLineChars="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乙方提供的产品质量、施工的工程质量、质保期服务质量未能达到本合同约定的质量要求和验收标准的，或进度上不符合甲方要求的，视为乙方违约，甲方有权拒绝验收；乙方应在甲方同意的期限内进行更换、维修、整改，因此造成逾期的，按逾期条款承担违约责任。</w:t>
      </w:r>
    </w:p>
    <w:p w14:paraId="32519D3A">
      <w:pPr>
        <w:numPr>
          <w:ilvl w:val="0"/>
          <w:numId w:val="34"/>
        </w:numPr>
        <w:spacing w:line="360" w:lineRule="auto"/>
        <w:ind w:left="665" w:hanging="425" w:firstLineChars="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乙方违约导致甲方解除合同的，乙方所有人员必须在3日内撤离施工现场，甲方已支付的预付款（如有）需在3日内退还至甲方，由此造成的所有损失均由乙方负责。</w:t>
      </w:r>
    </w:p>
    <w:p w14:paraId="62BC0890">
      <w:pPr>
        <w:numPr>
          <w:ilvl w:val="0"/>
          <w:numId w:val="34"/>
        </w:numPr>
        <w:spacing w:line="360" w:lineRule="auto"/>
        <w:ind w:left="665" w:hanging="425" w:firstLineChars="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乙方应向甲方支付的违约金等，甲方有权直接在甲方应付未付款中扣除，违约金不足以弥补甲方损失的，甲方可继续向乙方追偿。</w:t>
      </w:r>
    </w:p>
    <w:p w14:paraId="50D735DC">
      <w:pPr>
        <w:numPr>
          <w:ilvl w:val="0"/>
          <w:numId w:val="34"/>
        </w:numPr>
        <w:spacing w:line="360" w:lineRule="auto"/>
        <w:ind w:left="665" w:hanging="425" w:firstLineChars="0"/>
        <w:rPr>
          <w:rFonts w:hint="eastAsia"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合同约定应由乙方完成的工作内容（包括但不限于：承包范围内防火门施工工程、图纸会审纪要、设计变更、现场签证等），如乙方拒绝施工或不能按合同要求的工期或质量标准完成施工，甲方可安排第三方实施，并按照另行委托造价的1.3倍从乙方下一次的付款节点中扣除，且影响工期的责任由乙方负责。</w:t>
      </w:r>
    </w:p>
    <w:p w14:paraId="69D2D830">
      <w:pPr>
        <w:numPr>
          <w:ilvl w:val="0"/>
          <w:numId w:val="2"/>
        </w:numPr>
        <w:wordWrap w:val="0"/>
        <w:topLinePunct/>
        <w:spacing w:line="360" w:lineRule="auto"/>
        <w:ind w:left="-420" w:firstLine="420"/>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Cs w:val="24"/>
          <w:highlight w:val="none"/>
        </w:rPr>
        <w:t>不可抗力</w:t>
      </w:r>
    </w:p>
    <w:p w14:paraId="3C57C57C">
      <w:pPr>
        <w:numPr>
          <w:ilvl w:val="0"/>
          <w:numId w:val="35"/>
        </w:numPr>
        <w:wordWrap w:val="0"/>
        <w:topLinePunct/>
        <w:autoSpaceDE w:val="0"/>
        <w:spacing w:line="360" w:lineRule="auto"/>
        <w:ind w:left="665" w:hanging="425" w:firstLineChars="0"/>
        <w:rPr>
          <w:rFonts w:hint="eastAsia"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不可抗力指因战争、动乱、瘟疫、空中飞行物坠落或其他非双方责任造成的爆炸、火灾以及9级以上的台风、7级及7级以上的地震等。（以当地行业主管部门的公告为准 ）。</w:t>
      </w:r>
    </w:p>
    <w:p w14:paraId="2401ECC7">
      <w:pPr>
        <w:numPr>
          <w:ilvl w:val="0"/>
          <w:numId w:val="35"/>
        </w:numPr>
        <w:wordWrap w:val="0"/>
        <w:topLinePunct/>
        <w:autoSpaceDE w:val="0"/>
        <w:spacing w:line="360" w:lineRule="auto"/>
        <w:ind w:left="665" w:hanging="425" w:firstLineChars="0"/>
        <w:rPr>
          <w:rFonts w:hint="eastAsia"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不可抗力发生后，乙方应迅速采取措施，尽力减少损失，并在24小时内向甲方通报受害情况，在事件发生后10日内向甲方报告损失情况和清理、修复的费用；因乙方未及时采取补救措施或采取不当措施造成的扩大损失由乙方承担。</w:t>
      </w:r>
    </w:p>
    <w:p w14:paraId="79CAF201">
      <w:pPr>
        <w:numPr>
          <w:ilvl w:val="0"/>
          <w:numId w:val="35"/>
        </w:numPr>
        <w:wordWrap w:val="0"/>
        <w:topLinePunct/>
        <w:autoSpaceDE w:val="0"/>
        <w:spacing w:line="360" w:lineRule="auto"/>
        <w:ind w:left="665" w:hanging="425" w:firstLineChars="0"/>
        <w:rPr>
          <w:rFonts w:hint="eastAsia"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费用承担：</w:t>
      </w:r>
    </w:p>
    <w:p w14:paraId="4ECD9C06">
      <w:pPr>
        <w:pStyle w:val="17"/>
        <w:numPr>
          <w:ilvl w:val="0"/>
          <w:numId w:val="36"/>
        </w:numPr>
        <w:wordWrap w:val="0"/>
        <w:topLinePunct/>
        <w:autoSpaceDE w:val="0"/>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人员伤亡由所属单位负责，并承担相应费用；</w:t>
      </w:r>
    </w:p>
    <w:p w14:paraId="3D86488F">
      <w:pPr>
        <w:pStyle w:val="17"/>
        <w:numPr>
          <w:ilvl w:val="0"/>
          <w:numId w:val="36"/>
        </w:numPr>
        <w:wordWrap w:val="0"/>
        <w:topLinePunct/>
        <w:autoSpaceDE w:val="0"/>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造成乙方工程设备、机械的损失等损失由乙方承担；</w:t>
      </w:r>
    </w:p>
    <w:p w14:paraId="47AF24D1">
      <w:pPr>
        <w:pStyle w:val="17"/>
        <w:numPr>
          <w:ilvl w:val="0"/>
          <w:numId w:val="36"/>
        </w:numPr>
        <w:wordWrap w:val="0"/>
        <w:topLinePunct/>
        <w:autoSpaceDE w:val="0"/>
        <w:ind w:left="905" w:hanging="425" w:firstLineChars="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所需清理修复工作的责任与费用的承担，双方另行商定。</w:t>
      </w:r>
    </w:p>
    <w:p w14:paraId="7A114C94">
      <w:pPr>
        <w:numPr>
          <w:ilvl w:val="0"/>
          <w:numId w:val="2"/>
        </w:numPr>
        <w:wordWrap w:val="0"/>
        <w:topLinePunct/>
        <w:autoSpaceDE w:val="0"/>
        <w:spacing w:line="360" w:lineRule="auto"/>
        <w:ind w:left="-420" w:firstLine="420"/>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Cs w:val="24"/>
          <w:highlight w:val="none"/>
        </w:rPr>
        <w:t>送达条款</w:t>
      </w:r>
    </w:p>
    <w:p w14:paraId="4FD2F846">
      <w:pPr>
        <w:numPr>
          <w:ilvl w:val="0"/>
          <w:numId w:val="37"/>
        </w:numPr>
        <w:wordWrap/>
        <w:topLinePunct w:val="0"/>
        <w:autoSpaceDE/>
        <w:spacing w:line="360" w:lineRule="auto"/>
        <w:ind w:left="665" w:hanging="425" w:firstLineChars="0"/>
        <w:rPr>
          <w:rFonts w:hint="eastAsia"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甲乙双方明确送达信息如下：</w:t>
      </w:r>
    </w:p>
    <w:p w14:paraId="3153D974">
      <w:pPr>
        <w:tabs>
          <w:tab w:val="left" w:pos="1276"/>
        </w:tabs>
        <w:wordWrap w:val="0"/>
        <w:topLinePunct/>
        <w:autoSpaceDE w:val="0"/>
        <w:spacing w:line="360" w:lineRule="auto"/>
        <w:ind w:left="480" w:left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送达地址：</w:t>
      </w:r>
      <w:r>
        <w:rPr>
          <w:rFonts w:hint="eastAsia" w:asciiTheme="minorEastAsia" w:hAnsiTheme="minorEastAsia" w:eastAsiaTheme="minorEastAsia" w:cstheme="minorEastAsia"/>
          <w:color w:val="auto"/>
          <w:szCs w:val="24"/>
          <w:highlight w:val="none"/>
          <w:u w:val="single"/>
        </w:rPr>
        <w:t xml:space="preserve">洛阳市洛龙区关林西路8号中浩德控股集团有限公司1楼 </w:t>
      </w:r>
      <w:r>
        <w:rPr>
          <w:rFonts w:hint="eastAsia" w:asciiTheme="minorEastAsia" w:hAnsiTheme="minorEastAsia" w:eastAsiaTheme="minorEastAsia" w:cstheme="minorEastAsia"/>
          <w:color w:val="auto"/>
          <w:szCs w:val="24"/>
          <w:highlight w:val="none"/>
        </w:rPr>
        <w:t>。           联系人：</w:t>
      </w:r>
      <w:r>
        <w:rPr>
          <w:rFonts w:hint="eastAsia" w:asciiTheme="minorEastAsia" w:hAnsiTheme="minorEastAsia" w:eastAsiaTheme="minorEastAsia" w:cstheme="minorEastAsia"/>
          <w:color w:val="auto"/>
          <w:szCs w:val="24"/>
          <w:highlight w:val="none"/>
          <w:u w:val="single"/>
        </w:rPr>
        <w:t>成本管理部</w:t>
      </w:r>
      <w:r>
        <w:rPr>
          <w:rFonts w:hint="eastAsia" w:asciiTheme="minorEastAsia" w:hAnsiTheme="minorEastAsia" w:eastAsiaTheme="minorEastAsia" w:cstheme="minorEastAsia"/>
          <w:color w:val="auto"/>
          <w:szCs w:val="24"/>
          <w:highlight w:val="none"/>
        </w:rPr>
        <w:t>；联系固话：</w:t>
      </w:r>
      <w:r>
        <w:rPr>
          <w:rFonts w:hint="eastAsia" w:asciiTheme="minorEastAsia" w:hAnsiTheme="minorEastAsia" w:eastAsiaTheme="minorEastAsia" w:cstheme="minorEastAsia"/>
          <w:color w:val="auto"/>
          <w:szCs w:val="24"/>
          <w:highlight w:val="none"/>
          <w:u w:val="single"/>
        </w:rPr>
        <w:t>0379-60667770</w:t>
      </w:r>
      <w:r>
        <w:rPr>
          <w:rFonts w:hint="eastAsia" w:asciiTheme="minorEastAsia" w:hAnsiTheme="minorEastAsia" w:eastAsiaTheme="minorEastAsia" w:cstheme="minorEastAsia"/>
          <w:color w:val="auto"/>
          <w:szCs w:val="24"/>
          <w:highlight w:val="none"/>
        </w:rPr>
        <w:t>；联系手机 ：</w:t>
      </w:r>
      <w:r>
        <w:rPr>
          <w:rFonts w:hint="eastAsia" w:asciiTheme="minorEastAsia" w:hAnsiTheme="minorEastAsia" w:eastAsiaTheme="minorEastAsia" w:cstheme="minorEastAsia"/>
          <w:color w:val="auto"/>
          <w:szCs w:val="24"/>
          <w:highlight w:val="none"/>
          <w:u w:val="single"/>
        </w:rPr>
        <w:t xml:space="preserve">   /   </w:t>
      </w:r>
      <w:r>
        <w:rPr>
          <w:rFonts w:hint="eastAsia" w:asciiTheme="minorEastAsia" w:hAnsiTheme="minorEastAsia" w:eastAsiaTheme="minorEastAsia" w:cstheme="minorEastAsia"/>
          <w:color w:val="auto"/>
          <w:szCs w:val="24"/>
          <w:highlight w:val="none"/>
        </w:rPr>
        <w:t xml:space="preserve">。      </w:t>
      </w:r>
    </w:p>
    <w:p w14:paraId="1F35502B">
      <w:pPr>
        <w:numPr>
          <w:ilvl w:val="0"/>
          <w:numId w:val="37"/>
        </w:numPr>
        <w:wordWrap/>
        <w:topLinePunct w:val="0"/>
        <w:autoSpaceDE/>
        <w:spacing w:line="360" w:lineRule="auto"/>
        <w:ind w:left="665" w:hanging="425" w:firstLineChars="0"/>
        <w:rPr>
          <w:rFonts w:hint="eastAsia"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乙方确认的送达信息为：</w:t>
      </w:r>
    </w:p>
    <w:p w14:paraId="08A074A7">
      <w:pPr>
        <w:spacing w:line="360" w:lineRule="auto"/>
        <w:ind w:firstLine="468" w:firstLineChars="195"/>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送达地址：开封市龙亭区博物馆北路CBD总商会大厦(博物馆北路)11楼1118</w:t>
      </w:r>
      <w:r>
        <w:rPr>
          <w:rFonts w:hint="eastAsia" w:asciiTheme="minorEastAsia" w:hAnsiTheme="minorEastAsia" w:eastAsiaTheme="minorEastAsia" w:cstheme="minorEastAsia"/>
          <w:color w:val="auto"/>
          <w:szCs w:val="24"/>
          <w:highlight w:val="none"/>
          <w:lang w:eastAsia="zh-CN"/>
        </w:rPr>
        <w:t>。</w:t>
      </w:r>
      <w:r>
        <w:rPr>
          <w:rFonts w:hint="eastAsia" w:asciiTheme="minorEastAsia" w:hAnsiTheme="minorEastAsia" w:eastAsiaTheme="minorEastAsia" w:cstheme="minorEastAsia"/>
          <w:color w:val="auto"/>
          <w:szCs w:val="24"/>
          <w:highlight w:val="none"/>
          <w:lang w:val="en-US" w:eastAsia="zh-CN"/>
        </w:rPr>
        <w:t xml:space="preserve">                           </w:t>
      </w:r>
      <w:r>
        <w:rPr>
          <w:rFonts w:hint="eastAsia" w:asciiTheme="minorEastAsia" w:hAnsiTheme="minorEastAsia" w:eastAsiaTheme="minorEastAsia" w:cstheme="minorEastAsia"/>
          <w:color w:val="auto"/>
          <w:szCs w:val="24"/>
          <w:highlight w:val="none"/>
        </w:rPr>
        <w:t>。</w:t>
      </w:r>
    </w:p>
    <w:p w14:paraId="03B2908D">
      <w:pPr>
        <w:pStyle w:val="17"/>
        <w:wordWrap w:val="0"/>
        <w:topLinePunct/>
        <w:autoSpaceDE w:val="0"/>
        <w:ind w:left="480" w:left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xml:space="preserve">联系人： </w:t>
      </w:r>
      <w:r>
        <w:rPr>
          <w:rFonts w:hint="eastAsia" w:asciiTheme="minorEastAsia" w:hAnsiTheme="minorEastAsia" w:eastAsiaTheme="minorEastAsia" w:cstheme="minorEastAsia"/>
          <w:color w:val="auto"/>
          <w:szCs w:val="24"/>
          <w:highlight w:val="none"/>
          <w:u w:val="single"/>
        </w:rPr>
        <w:t xml:space="preserve">李艳敏 </w:t>
      </w:r>
      <w:r>
        <w:rPr>
          <w:rFonts w:hint="eastAsia" w:asciiTheme="minorEastAsia" w:hAnsiTheme="minorEastAsia" w:eastAsiaTheme="minorEastAsia" w:cstheme="minorEastAsia"/>
          <w:color w:val="auto"/>
          <w:szCs w:val="24"/>
          <w:highlight w:val="none"/>
        </w:rPr>
        <w:t>；联系固话：</w:t>
      </w:r>
      <w:r>
        <w:rPr>
          <w:rFonts w:hint="eastAsia" w:asciiTheme="minorEastAsia" w:hAnsiTheme="minorEastAsia" w:eastAsiaTheme="minorEastAsia" w:cstheme="minorEastAsia"/>
          <w:color w:val="auto"/>
          <w:szCs w:val="24"/>
          <w:highlight w:val="none"/>
          <w:u w:val="single"/>
        </w:rPr>
        <w:t xml:space="preserve"> </w:t>
      </w:r>
      <w:r>
        <w:rPr>
          <w:rFonts w:hint="eastAsia" w:asciiTheme="minorEastAsia" w:hAnsiTheme="minorEastAsia" w:eastAsiaTheme="minorEastAsia" w:cstheme="minorEastAsia"/>
          <w:color w:val="auto"/>
          <w:szCs w:val="24"/>
          <w:highlight w:val="none"/>
          <w:u w:val="single"/>
          <w:lang w:val="en-US" w:eastAsia="zh-CN"/>
        </w:rPr>
        <w:t>0371-23816638</w:t>
      </w:r>
      <w:r>
        <w:rPr>
          <w:rFonts w:hint="eastAsia" w:asciiTheme="minorEastAsia" w:hAnsiTheme="minorEastAsia" w:eastAsiaTheme="minorEastAsia" w:cstheme="minorEastAsia"/>
          <w:color w:val="auto"/>
          <w:szCs w:val="24"/>
          <w:highlight w:val="none"/>
        </w:rPr>
        <w:t>；联系手机 ：</w:t>
      </w:r>
      <w:r>
        <w:rPr>
          <w:rFonts w:hint="eastAsia" w:asciiTheme="minorEastAsia" w:hAnsiTheme="minorEastAsia" w:eastAsiaTheme="minorEastAsia" w:cstheme="minorEastAsia"/>
          <w:color w:val="auto"/>
          <w:szCs w:val="24"/>
          <w:highlight w:val="none"/>
          <w:u w:val="single"/>
        </w:rPr>
        <w:t>15093698634</w:t>
      </w:r>
      <w:r>
        <w:rPr>
          <w:rFonts w:hint="eastAsia" w:asciiTheme="minorEastAsia" w:hAnsiTheme="minorEastAsia" w:eastAsiaTheme="minorEastAsia" w:cstheme="minorEastAsia"/>
          <w:color w:val="auto"/>
          <w:szCs w:val="24"/>
          <w:highlight w:val="none"/>
        </w:rPr>
        <w:t xml:space="preserve">。   </w:t>
      </w:r>
    </w:p>
    <w:p w14:paraId="6CD92995">
      <w:pPr>
        <w:numPr>
          <w:ilvl w:val="0"/>
          <w:numId w:val="37"/>
        </w:numPr>
        <w:spacing w:line="360" w:lineRule="auto"/>
        <w:ind w:left="665" w:hanging="425" w:firstLineChars="0"/>
        <w:rPr>
          <w:rFonts w:hint="eastAsia"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双方在此共同确认，上述送达信息将作为双方在合同项下邮寄往来通知、函件等任何文件资料及法院送达法律文书的唯一有效送达地址及联系信息。任何一方变更送达信息，应当提前10日书面通知对方，否则视为未变更。任何一方按照上述送达信息向对方邮寄任何文件资料，自邮件发出后的第3日视为已经有效送达对方并产生相应的法律后果，不论该邮件是否已经由对方实际签收。</w:t>
      </w:r>
    </w:p>
    <w:p w14:paraId="1352B60D">
      <w:pPr>
        <w:numPr>
          <w:ilvl w:val="0"/>
          <w:numId w:val="2"/>
        </w:numPr>
        <w:wordWrap w:val="0"/>
        <w:topLinePunct/>
        <w:autoSpaceDE w:val="0"/>
        <w:spacing w:line="360" w:lineRule="auto"/>
        <w:ind w:left="-420" w:firstLine="420"/>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Cs w:val="24"/>
          <w:highlight w:val="none"/>
        </w:rPr>
        <w:t>合同解约条款</w:t>
      </w:r>
    </w:p>
    <w:p w14:paraId="325BC194">
      <w:pPr>
        <w:numPr>
          <w:ilvl w:val="0"/>
          <w:numId w:val="38"/>
        </w:numPr>
        <w:spacing w:line="360" w:lineRule="auto"/>
        <w:ind w:left="665" w:hanging="425" w:firstLineChars="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乙方存在如下任一情况的，甲方有权要求乙方按照合同总</w:t>
      </w:r>
      <w:r>
        <w:rPr>
          <w:rFonts w:hint="eastAsia" w:asciiTheme="minorEastAsia" w:hAnsiTheme="minorEastAsia" w:eastAsiaTheme="minorEastAsia" w:cstheme="minorEastAsia"/>
          <w:color w:val="auto"/>
          <w:highlight w:val="none"/>
          <w:lang w:val="en-US" w:eastAsia="zh-CN"/>
        </w:rPr>
        <w:t>金额</w:t>
      </w:r>
      <w:r>
        <w:rPr>
          <w:rFonts w:hint="eastAsia" w:asciiTheme="minorEastAsia" w:hAnsiTheme="minorEastAsia" w:eastAsiaTheme="minorEastAsia" w:cstheme="minorEastAsia"/>
          <w:color w:val="auto"/>
          <w:highlight w:val="none"/>
        </w:rPr>
        <w:t>的20%支付违约金（本合同另有约定时除外），且有权解除本合同，解除通知到达乙方之日生效，该违约金不足以弥补甲方损失，乙方还应继续承担赔偿责任。</w:t>
      </w:r>
    </w:p>
    <w:p w14:paraId="48E0FD73">
      <w:pPr>
        <w:numPr>
          <w:ilvl w:val="0"/>
          <w:numId w:val="39"/>
        </w:numPr>
        <w:tabs>
          <w:tab w:val="left" w:pos="900"/>
        </w:tabs>
        <w:spacing w:line="360" w:lineRule="auto"/>
        <w:ind w:left="905" w:hanging="425" w:firstLineChars="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本工程不能通过验收的；</w:t>
      </w:r>
    </w:p>
    <w:p w14:paraId="169F9846">
      <w:pPr>
        <w:numPr>
          <w:ilvl w:val="0"/>
          <w:numId w:val="39"/>
        </w:numPr>
        <w:tabs>
          <w:tab w:val="left" w:pos="900"/>
        </w:tabs>
        <w:spacing w:line="360" w:lineRule="auto"/>
        <w:ind w:left="905" w:hanging="425" w:firstLineChars="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乙方未能按时进场施工的，在甲方发出书面通知后的5日内仍未进场施工的；</w:t>
      </w:r>
    </w:p>
    <w:p w14:paraId="4DA23BAE">
      <w:pPr>
        <w:numPr>
          <w:ilvl w:val="0"/>
          <w:numId w:val="39"/>
        </w:numPr>
        <w:tabs>
          <w:tab w:val="left" w:pos="900"/>
        </w:tabs>
        <w:spacing w:line="360" w:lineRule="auto"/>
        <w:ind w:left="905" w:hanging="425" w:firstLineChars="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乙方在施工过程中非因不可抗力或甲方原因造成连续停工</w:t>
      </w:r>
      <w:r>
        <w:rPr>
          <w:rFonts w:hint="eastAsia" w:asciiTheme="minorEastAsia" w:hAnsiTheme="minorEastAsia" w:eastAsiaTheme="minorEastAsia" w:cstheme="minorEastAsia"/>
          <w:color w:val="auto"/>
          <w:highlight w:val="none"/>
          <w:lang w:val="en-US" w:eastAsia="zh-CN"/>
        </w:rPr>
        <w:t>5</w:t>
      </w:r>
      <w:r>
        <w:rPr>
          <w:rFonts w:hint="eastAsia" w:asciiTheme="minorEastAsia" w:hAnsiTheme="minorEastAsia" w:eastAsiaTheme="minorEastAsia" w:cstheme="minorEastAsia"/>
          <w:color w:val="auto"/>
          <w:highlight w:val="none"/>
        </w:rPr>
        <w:t>日以上或累计达7日的；</w:t>
      </w:r>
    </w:p>
    <w:p w14:paraId="4C04668A">
      <w:pPr>
        <w:numPr>
          <w:ilvl w:val="0"/>
          <w:numId w:val="39"/>
        </w:numPr>
        <w:tabs>
          <w:tab w:val="left" w:pos="900"/>
        </w:tabs>
        <w:spacing w:line="360" w:lineRule="auto"/>
        <w:ind w:left="905" w:hanging="425" w:firstLineChars="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乙方逾期竣工、向甲方提交竣工结算书及完整的竣工结算资料、核对工程价款或其他逾期行为达7日及以上的；</w:t>
      </w:r>
    </w:p>
    <w:p w14:paraId="268E09B1">
      <w:pPr>
        <w:numPr>
          <w:ilvl w:val="0"/>
          <w:numId w:val="39"/>
        </w:numPr>
        <w:tabs>
          <w:tab w:val="left" w:pos="900"/>
        </w:tabs>
        <w:spacing w:line="360" w:lineRule="auto"/>
        <w:ind w:left="905" w:hanging="425" w:firstLineChars="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乙方人员在施工区内出现打架斗殴行为至警察出警、立案、相关行为人收到行政处罚或刑事处罚的；</w:t>
      </w:r>
    </w:p>
    <w:p w14:paraId="18D19A49">
      <w:pPr>
        <w:numPr>
          <w:ilvl w:val="0"/>
          <w:numId w:val="39"/>
        </w:numPr>
        <w:tabs>
          <w:tab w:val="left" w:pos="900"/>
        </w:tabs>
        <w:spacing w:line="360" w:lineRule="auto"/>
        <w:ind w:left="905" w:hanging="425" w:firstLineChars="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乙方擅自把工程分包或转包给其他任何单位的；</w:t>
      </w:r>
    </w:p>
    <w:p w14:paraId="2C1CDCE5">
      <w:pPr>
        <w:numPr>
          <w:ilvl w:val="0"/>
          <w:numId w:val="39"/>
        </w:numPr>
        <w:tabs>
          <w:tab w:val="left" w:pos="900"/>
        </w:tabs>
        <w:spacing w:line="360" w:lineRule="auto"/>
        <w:ind w:left="905" w:hanging="425" w:firstLineChars="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乙方与甲方工作人员串通、虚构事实或使用其他方式虚报工程量的；</w:t>
      </w:r>
    </w:p>
    <w:p w14:paraId="23DB3AF4">
      <w:pPr>
        <w:numPr>
          <w:ilvl w:val="0"/>
          <w:numId w:val="39"/>
        </w:numPr>
        <w:tabs>
          <w:tab w:val="left" w:pos="900"/>
        </w:tabs>
        <w:spacing w:line="360" w:lineRule="auto"/>
        <w:ind w:left="905" w:hanging="425" w:firstLineChars="0"/>
        <w:rPr>
          <w:rFonts w:hint="eastAsia"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甲方或监理方对同一施工问题连续下发三次整改通知书后乙方无作为或整改问题未在整改通知书要求的期限内解决；</w:t>
      </w:r>
    </w:p>
    <w:p w14:paraId="4183B79B">
      <w:pPr>
        <w:numPr>
          <w:ilvl w:val="0"/>
          <w:numId w:val="39"/>
        </w:numPr>
        <w:tabs>
          <w:tab w:val="left" w:pos="900"/>
        </w:tabs>
        <w:spacing w:line="360" w:lineRule="auto"/>
        <w:ind w:left="905" w:hanging="425" w:firstLineChars="0"/>
        <w:rPr>
          <w:rFonts w:hint="eastAsia"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乙方购置不符合合同约定的品牌、厂家、产地、材质、工艺、规格、型号等标准的产品或者假冒伪劣产品用于本工程；</w:t>
      </w:r>
    </w:p>
    <w:p w14:paraId="62717573">
      <w:pPr>
        <w:numPr>
          <w:ilvl w:val="0"/>
          <w:numId w:val="39"/>
        </w:numPr>
        <w:tabs>
          <w:tab w:val="left" w:pos="900"/>
        </w:tabs>
        <w:spacing w:line="360" w:lineRule="auto"/>
        <w:ind w:left="905" w:hanging="425" w:firstLineChars="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乙方存在其他违约行为，经甲方书面通知之日</w:t>
      </w:r>
      <w:r>
        <w:rPr>
          <w:rFonts w:hint="eastAsia" w:asciiTheme="minorEastAsia" w:hAnsiTheme="minorEastAsia" w:eastAsiaTheme="minorEastAsia" w:cstheme="minorEastAsia"/>
          <w:color w:val="auto"/>
          <w:highlight w:val="none"/>
          <w:lang w:val="en-US" w:eastAsia="zh-CN"/>
        </w:rPr>
        <w:t>5</w:t>
      </w:r>
      <w:r>
        <w:rPr>
          <w:rFonts w:hint="eastAsia" w:asciiTheme="minorEastAsia" w:hAnsiTheme="minorEastAsia" w:eastAsiaTheme="minorEastAsia" w:cstheme="minorEastAsia"/>
          <w:color w:val="auto"/>
          <w:highlight w:val="none"/>
        </w:rPr>
        <w:t>日内仍未纠正的。</w:t>
      </w:r>
    </w:p>
    <w:p w14:paraId="3AA57B0D">
      <w:pPr>
        <w:numPr>
          <w:ilvl w:val="0"/>
          <w:numId w:val="38"/>
        </w:numPr>
        <w:spacing w:line="360" w:lineRule="auto"/>
        <w:ind w:left="665" w:hanging="425" w:firstLineChars="0"/>
        <w:rPr>
          <w:rFonts w:hint="eastAsia"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合同解除后，对于乙方已完工部分且质量合格的按照实际工程量给予结算70%；对于不合格部分责令整改，整改合格后给予结算工程70%。若乙方拒绝整改或无作为，甲方对不合格工程量不予支付费用，并由乙方承担由此产生的拆改、整修等费用，乙方应按甲方要求的日期清理现场撤离。如果乙方不主动拆改、整修，甲方可自行整改，相关的费用从未付工程款中直接扣除，不足部分甲方另行向乙方追偿。</w:t>
      </w:r>
    </w:p>
    <w:p w14:paraId="48C2BD1E">
      <w:pPr>
        <w:numPr>
          <w:ilvl w:val="0"/>
          <w:numId w:val="38"/>
        </w:numPr>
        <w:spacing w:line="360" w:lineRule="auto"/>
        <w:ind w:left="665" w:hanging="425" w:firstLineChars="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Cs w:val="0"/>
          <w:color w:val="auto"/>
          <w:szCs w:val="22"/>
          <w:highlight w:val="none"/>
        </w:rPr>
        <w:t>如合同解约甲方有权委托其他公司进行施工。</w:t>
      </w:r>
    </w:p>
    <w:p w14:paraId="297ADF17">
      <w:pPr>
        <w:numPr>
          <w:ilvl w:val="0"/>
          <w:numId w:val="2"/>
        </w:numPr>
        <w:wordWrap w:val="0"/>
        <w:topLinePunct/>
        <w:autoSpaceDE w:val="0"/>
        <w:spacing w:line="360" w:lineRule="auto"/>
        <w:ind w:left="-420" w:firstLine="420"/>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Cs w:val="24"/>
          <w:highlight w:val="none"/>
        </w:rPr>
        <w:t>争议的解决</w:t>
      </w:r>
    </w:p>
    <w:p w14:paraId="3006855F">
      <w:pPr>
        <w:wordWrap w:val="0"/>
        <w:topLinePunct/>
        <w:autoSpaceDE w:val="0"/>
        <w:spacing w:line="360" w:lineRule="auto"/>
        <w:ind w:firstLine="512" w:firstLineChars="200"/>
        <w:rPr>
          <w:rFonts w:hint="eastAsia" w:asciiTheme="minorEastAsia" w:hAnsiTheme="minorEastAsia" w:eastAsiaTheme="minorEastAsia" w:cstheme="minorEastAsia"/>
          <w:b/>
          <w:color w:val="auto"/>
          <w:szCs w:val="24"/>
          <w:highlight w:val="none"/>
        </w:rPr>
      </w:pPr>
      <w:r>
        <w:rPr>
          <w:rFonts w:hint="eastAsia" w:asciiTheme="minorEastAsia" w:hAnsiTheme="minorEastAsia" w:eastAsiaTheme="minorEastAsia" w:cstheme="minorEastAsia"/>
          <w:color w:val="auto"/>
          <w:spacing w:val="8"/>
          <w:szCs w:val="24"/>
          <w:highlight w:val="none"/>
        </w:rPr>
        <w:t>本合同履行过程中发生争议或纠纷的，由当事人双方协商解决。协商不成时，双方同意向合同签约地人民法院提起诉讼。</w:t>
      </w:r>
    </w:p>
    <w:p w14:paraId="68CF23AB">
      <w:pPr>
        <w:numPr>
          <w:ilvl w:val="0"/>
          <w:numId w:val="2"/>
        </w:numPr>
        <w:wordWrap w:val="0"/>
        <w:topLinePunct/>
        <w:autoSpaceDE w:val="0"/>
        <w:spacing w:line="360" w:lineRule="auto"/>
        <w:ind w:left="-420" w:firstLine="420"/>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Cs w:val="24"/>
          <w:highlight w:val="none"/>
        </w:rPr>
        <w:t>其他</w:t>
      </w:r>
    </w:p>
    <w:p w14:paraId="756CA958">
      <w:pPr>
        <w:numPr>
          <w:ilvl w:val="0"/>
          <w:numId w:val="40"/>
        </w:numPr>
        <w:wordWrap/>
        <w:topLinePunct w:val="0"/>
        <w:autoSpaceDE/>
        <w:spacing w:line="360" w:lineRule="auto"/>
        <w:ind w:left="665" w:hanging="425" w:firstLineChars="0"/>
        <w:rPr>
          <w:rFonts w:hint="eastAsia" w:asciiTheme="minorEastAsia" w:hAnsiTheme="minorEastAsia" w:eastAsiaTheme="minorEastAsia" w:cstheme="minorEastAsia"/>
          <w:color w:val="auto"/>
          <w:spacing w:val="0"/>
          <w:szCs w:val="22"/>
          <w:highlight w:val="none"/>
        </w:rPr>
      </w:pPr>
      <w:r>
        <w:rPr>
          <w:rFonts w:hint="eastAsia" w:asciiTheme="minorEastAsia" w:hAnsiTheme="minorEastAsia" w:eastAsiaTheme="minorEastAsia" w:cstheme="minorEastAsia"/>
          <w:color w:val="auto"/>
          <w:spacing w:val="0"/>
          <w:szCs w:val="22"/>
          <w:highlight w:val="none"/>
        </w:rPr>
        <w:t>本合同未尽事宜双方协商解决或另签补充协议，补充协议与本合同具有同等法律效力。</w:t>
      </w:r>
    </w:p>
    <w:p w14:paraId="0245CBF9">
      <w:pPr>
        <w:numPr>
          <w:ilvl w:val="0"/>
          <w:numId w:val="40"/>
        </w:numPr>
        <w:wordWrap/>
        <w:topLinePunct w:val="0"/>
        <w:autoSpaceDE/>
        <w:spacing w:line="360" w:lineRule="auto"/>
        <w:ind w:left="665" w:hanging="425" w:firstLineChars="0"/>
        <w:rPr>
          <w:rFonts w:hint="eastAsia" w:asciiTheme="minorEastAsia" w:hAnsiTheme="minorEastAsia" w:eastAsiaTheme="minorEastAsia" w:cstheme="minorEastAsia"/>
          <w:color w:val="auto"/>
          <w:spacing w:val="0"/>
          <w:szCs w:val="22"/>
          <w:highlight w:val="none"/>
        </w:rPr>
      </w:pPr>
      <w:r>
        <w:rPr>
          <w:rFonts w:hint="eastAsia" w:asciiTheme="minorEastAsia" w:hAnsiTheme="minorEastAsia" w:eastAsiaTheme="minorEastAsia" w:cstheme="minorEastAsia"/>
          <w:color w:val="auto"/>
          <w:spacing w:val="0"/>
          <w:szCs w:val="22"/>
          <w:highlight w:val="none"/>
        </w:rPr>
        <w:t>本合同一式柒份，甲方伍份，乙方贰份，均具有同等法律效力。</w:t>
      </w:r>
    </w:p>
    <w:p w14:paraId="6EDBF893">
      <w:pPr>
        <w:numPr>
          <w:ilvl w:val="0"/>
          <w:numId w:val="40"/>
        </w:numPr>
        <w:wordWrap/>
        <w:topLinePunct w:val="0"/>
        <w:autoSpaceDE/>
        <w:spacing w:line="360" w:lineRule="auto"/>
        <w:ind w:left="665" w:hanging="425" w:firstLineChars="0"/>
        <w:rPr>
          <w:rFonts w:hint="eastAsia" w:asciiTheme="minorEastAsia" w:hAnsiTheme="minorEastAsia" w:eastAsiaTheme="minorEastAsia" w:cstheme="minorEastAsia"/>
          <w:color w:val="auto"/>
          <w:spacing w:val="0"/>
          <w:szCs w:val="22"/>
          <w:highlight w:val="none"/>
        </w:rPr>
      </w:pPr>
      <w:r>
        <w:rPr>
          <w:rFonts w:hint="eastAsia" w:asciiTheme="minorEastAsia" w:hAnsiTheme="minorEastAsia" w:eastAsiaTheme="minorEastAsia" w:cstheme="minorEastAsia"/>
          <w:color w:val="auto"/>
          <w:spacing w:val="0"/>
          <w:szCs w:val="22"/>
          <w:highlight w:val="none"/>
        </w:rPr>
        <w:t>本合同及其补充协议自双方盖章之日起生效。</w:t>
      </w:r>
    </w:p>
    <w:p w14:paraId="6C128435">
      <w:pPr>
        <w:numPr>
          <w:ilvl w:val="0"/>
          <w:numId w:val="40"/>
        </w:numPr>
        <w:wordWrap w:val="0"/>
        <w:topLinePunct/>
        <w:autoSpaceDE w:val="0"/>
        <w:spacing w:line="360" w:lineRule="auto"/>
        <w:ind w:left="665" w:hanging="425" w:firstLineChars="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0"/>
          <w:szCs w:val="22"/>
          <w:highlight w:val="none"/>
        </w:rPr>
        <w:t>合同签订地点：洛阳市洛龙区</w:t>
      </w:r>
      <w:r>
        <w:rPr>
          <w:rFonts w:hint="eastAsia" w:asciiTheme="minorEastAsia" w:hAnsiTheme="minorEastAsia" w:eastAsiaTheme="minorEastAsia" w:cstheme="minorEastAsia"/>
          <w:color w:val="auto"/>
          <w:spacing w:val="8"/>
          <w:szCs w:val="24"/>
          <w:highlight w:val="none"/>
        </w:rPr>
        <w:t xml:space="preserve">。 </w:t>
      </w:r>
    </w:p>
    <w:p w14:paraId="3977608B">
      <w:pPr>
        <w:numPr>
          <w:ilvl w:val="0"/>
          <w:numId w:val="2"/>
        </w:numPr>
        <w:wordWrap w:val="0"/>
        <w:topLinePunct/>
        <w:autoSpaceDE w:val="0"/>
        <w:spacing w:line="360" w:lineRule="auto"/>
        <w:ind w:left="-420" w:firstLine="482" w:firstLineChars="200"/>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Cs w:val="24"/>
          <w:highlight w:val="none"/>
        </w:rPr>
        <w:t>合同附件</w:t>
      </w:r>
    </w:p>
    <w:p w14:paraId="44BD20B6">
      <w:pPr>
        <w:numPr>
          <w:ilvl w:val="0"/>
          <w:numId w:val="41"/>
        </w:numPr>
        <w:spacing w:line="360" w:lineRule="auto"/>
        <w:ind w:left="665" w:hanging="425" w:firstLineChars="0"/>
        <w:rPr>
          <w:rFonts w:hint="eastAsia" w:asciiTheme="minorEastAsia" w:hAnsiTheme="minorEastAsia" w:eastAsiaTheme="minorEastAsia" w:cstheme="minorEastAsia"/>
          <w:color w:val="auto"/>
          <w:spacing w:val="0"/>
          <w:szCs w:val="22"/>
          <w:highlight w:val="none"/>
        </w:rPr>
      </w:pPr>
      <w:r>
        <w:rPr>
          <w:rFonts w:hint="eastAsia" w:asciiTheme="minorEastAsia" w:hAnsiTheme="minorEastAsia" w:eastAsiaTheme="minorEastAsia" w:cstheme="minorEastAsia"/>
          <w:color w:val="auto"/>
          <w:spacing w:val="0"/>
          <w:szCs w:val="22"/>
          <w:highlight w:val="none"/>
        </w:rPr>
        <w:t>合同附件一《廉政合作协议》</w:t>
      </w:r>
    </w:p>
    <w:p w14:paraId="6E2FAA91">
      <w:pPr>
        <w:numPr>
          <w:ilvl w:val="0"/>
          <w:numId w:val="41"/>
        </w:numPr>
        <w:spacing w:line="360" w:lineRule="auto"/>
        <w:ind w:left="665" w:hanging="425" w:firstLineChars="0"/>
        <w:rPr>
          <w:rFonts w:hint="eastAsia" w:asciiTheme="minorEastAsia" w:hAnsiTheme="minorEastAsia" w:eastAsiaTheme="minorEastAsia" w:cstheme="minorEastAsia"/>
          <w:color w:val="auto"/>
          <w:spacing w:val="0"/>
          <w:szCs w:val="22"/>
          <w:highlight w:val="none"/>
        </w:rPr>
      </w:pPr>
      <w:r>
        <w:rPr>
          <w:rFonts w:hint="eastAsia" w:asciiTheme="minorEastAsia" w:hAnsiTheme="minorEastAsia" w:eastAsiaTheme="minorEastAsia" w:cstheme="minorEastAsia"/>
          <w:color w:val="auto"/>
          <w:spacing w:val="0"/>
          <w:szCs w:val="22"/>
          <w:highlight w:val="none"/>
        </w:rPr>
        <w:t>合同附件二《乙方派驻本工程人员名单表》</w:t>
      </w:r>
    </w:p>
    <w:p w14:paraId="2F1576F0">
      <w:pPr>
        <w:numPr>
          <w:ilvl w:val="0"/>
          <w:numId w:val="41"/>
        </w:numPr>
        <w:spacing w:line="360" w:lineRule="auto"/>
        <w:ind w:left="665" w:hanging="425" w:firstLineChars="0"/>
        <w:rPr>
          <w:rFonts w:hint="eastAsia" w:asciiTheme="minorEastAsia" w:hAnsiTheme="minorEastAsia" w:eastAsiaTheme="minorEastAsia" w:cstheme="minorEastAsia"/>
          <w:color w:val="auto"/>
          <w:spacing w:val="0"/>
          <w:szCs w:val="22"/>
          <w:highlight w:val="none"/>
        </w:rPr>
      </w:pPr>
      <w:r>
        <w:rPr>
          <w:rFonts w:hint="eastAsia" w:asciiTheme="minorEastAsia" w:hAnsiTheme="minorEastAsia" w:eastAsiaTheme="minorEastAsia" w:cstheme="minorEastAsia"/>
          <w:color w:val="auto"/>
          <w:spacing w:val="0"/>
          <w:szCs w:val="22"/>
          <w:highlight w:val="none"/>
        </w:rPr>
        <w:t>合同附件三《材料品牌表》</w:t>
      </w:r>
    </w:p>
    <w:p w14:paraId="7DF7B2F7">
      <w:pPr>
        <w:numPr>
          <w:ilvl w:val="0"/>
          <w:numId w:val="41"/>
        </w:numPr>
        <w:spacing w:line="360" w:lineRule="auto"/>
        <w:ind w:left="665" w:hanging="425" w:firstLineChars="0"/>
        <w:rPr>
          <w:rFonts w:hint="eastAsia" w:asciiTheme="minorEastAsia" w:hAnsiTheme="minorEastAsia" w:eastAsiaTheme="minorEastAsia" w:cstheme="minorEastAsia"/>
          <w:color w:val="auto"/>
          <w:spacing w:val="0"/>
          <w:szCs w:val="22"/>
          <w:highlight w:val="none"/>
        </w:rPr>
      </w:pPr>
      <w:r>
        <w:rPr>
          <w:rFonts w:hint="eastAsia" w:asciiTheme="minorEastAsia" w:hAnsiTheme="minorEastAsia" w:eastAsiaTheme="minorEastAsia" w:cstheme="minorEastAsia"/>
          <w:color w:val="auto"/>
          <w:spacing w:val="0"/>
          <w:szCs w:val="22"/>
          <w:highlight w:val="none"/>
        </w:rPr>
        <w:t>合同附件四《装修工程外观验收标准》</w:t>
      </w:r>
    </w:p>
    <w:p w14:paraId="0D0BDD3A">
      <w:pPr>
        <w:numPr>
          <w:ilvl w:val="0"/>
          <w:numId w:val="41"/>
        </w:numPr>
        <w:spacing w:line="360" w:lineRule="auto"/>
        <w:ind w:left="665" w:hanging="425" w:firstLineChars="0"/>
        <w:rPr>
          <w:rFonts w:hint="eastAsia" w:asciiTheme="minorEastAsia" w:hAnsiTheme="minorEastAsia" w:eastAsiaTheme="minorEastAsia" w:cstheme="minorEastAsia"/>
          <w:color w:val="auto"/>
          <w:spacing w:val="0"/>
          <w:szCs w:val="22"/>
          <w:highlight w:val="none"/>
        </w:rPr>
      </w:pPr>
      <w:r>
        <w:rPr>
          <w:rFonts w:hint="eastAsia" w:asciiTheme="minorEastAsia" w:hAnsiTheme="minorEastAsia" w:eastAsiaTheme="minorEastAsia" w:cstheme="minorEastAsia"/>
          <w:color w:val="auto"/>
          <w:spacing w:val="0"/>
          <w:szCs w:val="22"/>
          <w:highlight w:val="none"/>
        </w:rPr>
        <w:t>合同附件五《工程完工清洁移交标准》</w:t>
      </w:r>
    </w:p>
    <w:p w14:paraId="748BEA22">
      <w:pPr>
        <w:numPr>
          <w:ilvl w:val="0"/>
          <w:numId w:val="41"/>
        </w:numPr>
        <w:spacing w:line="360" w:lineRule="auto"/>
        <w:ind w:left="665" w:hanging="425" w:firstLineChars="0"/>
        <w:rPr>
          <w:rFonts w:hint="eastAsia" w:asciiTheme="minorEastAsia" w:hAnsiTheme="minorEastAsia" w:eastAsiaTheme="minorEastAsia" w:cstheme="minorEastAsia"/>
          <w:color w:val="auto"/>
          <w:spacing w:val="0"/>
          <w:szCs w:val="22"/>
          <w:highlight w:val="none"/>
        </w:rPr>
      </w:pPr>
      <w:r>
        <w:rPr>
          <w:rFonts w:hint="eastAsia" w:asciiTheme="minorEastAsia" w:hAnsiTheme="minorEastAsia" w:eastAsiaTheme="minorEastAsia" w:cstheme="minorEastAsia"/>
          <w:color w:val="auto"/>
          <w:spacing w:val="0"/>
          <w:szCs w:val="22"/>
          <w:highlight w:val="none"/>
        </w:rPr>
        <w:t>合同附件六《成品保护标准》</w:t>
      </w:r>
    </w:p>
    <w:p w14:paraId="4BA3FBC1">
      <w:pPr>
        <w:numPr>
          <w:ilvl w:val="0"/>
          <w:numId w:val="41"/>
        </w:numPr>
        <w:overflowPunct/>
        <w:spacing w:line="360" w:lineRule="auto"/>
        <w:ind w:left="665" w:hanging="425" w:firstLineChars="0"/>
        <w:rPr>
          <w:rFonts w:hint="eastAsia" w:asciiTheme="minorEastAsia" w:hAnsiTheme="minorEastAsia" w:eastAsiaTheme="minorEastAsia" w:cstheme="minorEastAsia"/>
          <w:color w:val="auto"/>
          <w:spacing w:val="0"/>
          <w:szCs w:val="22"/>
          <w:highlight w:val="none"/>
          <w:lang w:val="en-US" w:eastAsia="zh-CN"/>
        </w:rPr>
      </w:pPr>
      <w:r>
        <w:rPr>
          <w:rFonts w:hint="eastAsia" w:asciiTheme="minorEastAsia" w:hAnsiTheme="minorEastAsia" w:eastAsiaTheme="minorEastAsia" w:cstheme="minorEastAsia"/>
          <w:color w:val="auto"/>
          <w:spacing w:val="0"/>
          <w:szCs w:val="22"/>
          <w:highlight w:val="none"/>
        </w:rPr>
        <w:t>合同附件七</w:t>
      </w:r>
      <w:r>
        <w:rPr>
          <w:rFonts w:hint="eastAsia" w:asciiTheme="minorEastAsia" w:hAnsiTheme="minorEastAsia" w:eastAsiaTheme="minorEastAsia" w:cstheme="minorEastAsia"/>
          <w:color w:val="auto"/>
          <w:spacing w:val="0"/>
          <w:szCs w:val="22"/>
          <w:highlight w:val="none"/>
          <w:lang w:eastAsia="zh-CN"/>
        </w:rPr>
        <w:t>《</w:t>
      </w:r>
      <w:r>
        <w:rPr>
          <w:rFonts w:hint="eastAsia" w:asciiTheme="minorEastAsia" w:hAnsiTheme="minorEastAsia" w:eastAsiaTheme="minorEastAsia" w:cstheme="minorEastAsia"/>
          <w:color w:val="auto"/>
          <w:spacing w:val="0"/>
          <w:szCs w:val="22"/>
          <w:highlight w:val="none"/>
          <w:lang w:val="en-US" w:eastAsia="zh-CN"/>
        </w:rPr>
        <w:t>招标答疑及回复</w:t>
      </w:r>
      <w:r>
        <w:rPr>
          <w:rFonts w:hint="eastAsia" w:asciiTheme="minorEastAsia" w:hAnsiTheme="minorEastAsia" w:eastAsiaTheme="minorEastAsia" w:cstheme="minorEastAsia"/>
          <w:color w:val="auto"/>
          <w:spacing w:val="0"/>
          <w:szCs w:val="22"/>
          <w:highlight w:val="none"/>
          <w:lang w:eastAsia="zh-CN"/>
        </w:rPr>
        <w:t>》</w:t>
      </w:r>
    </w:p>
    <w:p w14:paraId="06D2CAD5">
      <w:pPr>
        <w:numPr>
          <w:ilvl w:val="0"/>
          <w:numId w:val="41"/>
        </w:numPr>
        <w:overflowPunct/>
        <w:spacing w:line="360" w:lineRule="auto"/>
        <w:ind w:left="665" w:hanging="425" w:firstLineChars="0"/>
        <w:rPr>
          <w:rFonts w:hint="eastAsia" w:asciiTheme="minorEastAsia" w:hAnsiTheme="minorEastAsia" w:eastAsiaTheme="minorEastAsia" w:cstheme="minorEastAsia"/>
          <w:color w:val="auto"/>
          <w:spacing w:val="0"/>
          <w:szCs w:val="22"/>
          <w:highlight w:val="none"/>
        </w:rPr>
      </w:pPr>
      <w:r>
        <w:rPr>
          <w:rFonts w:hint="eastAsia" w:asciiTheme="minorEastAsia" w:hAnsiTheme="minorEastAsia" w:eastAsiaTheme="minorEastAsia" w:cstheme="minorEastAsia"/>
          <w:color w:val="auto"/>
          <w:spacing w:val="0"/>
          <w:szCs w:val="22"/>
          <w:highlight w:val="none"/>
        </w:rPr>
        <w:t>合同附件</w:t>
      </w:r>
      <w:r>
        <w:rPr>
          <w:rFonts w:hint="eastAsia" w:asciiTheme="minorEastAsia" w:hAnsiTheme="minorEastAsia" w:eastAsiaTheme="minorEastAsia" w:cstheme="minorEastAsia"/>
          <w:color w:val="auto"/>
          <w:spacing w:val="0"/>
          <w:szCs w:val="22"/>
          <w:highlight w:val="none"/>
          <w:lang w:eastAsia="zh-CN"/>
        </w:rPr>
        <w:t>八</w:t>
      </w:r>
      <w:r>
        <w:rPr>
          <w:rFonts w:hint="eastAsia" w:asciiTheme="minorEastAsia" w:hAnsiTheme="minorEastAsia" w:eastAsiaTheme="minorEastAsia" w:cstheme="minorEastAsia"/>
          <w:color w:val="auto"/>
          <w:spacing w:val="0"/>
          <w:szCs w:val="22"/>
          <w:highlight w:val="none"/>
        </w:rPr>
        <w:t>《价格清单》（单独打印后附装订）</w:t>
      </w:r>
    </w:p>
    <w:p w14:paraId="7E788DDA">
      <w:pPr>
        <w:spacing w:line="360" w:lineRule="auto"/>
        <w:rPr>
          <w:rFonts w:hint="eastAsia" w:asciiTheme="minorEastAsia" w:hAnsiTheme="minorEastAsia" w:eastAsiaTheme="minorEastAsia" w:cstheme="minorEastAsia"/>
          <w:bCs/>
          <w:color w:val="auto"/>
          <w:szCs w:val="24"/>
          <w:highlight w:val="none"/>
        </w:rPr>
      </w:pPr>
      <w:r>
        <w:rPr>
          <w:rFonts w:hint="eastAsia" w:asciiTheme="minorEastAsia" w:hAnsiTheme="minorEastAsia" w:eastAsiaTheme="minorEastAsia" w:cstheme="minorEastAsia"/>
          <w:color w:val="auto"/>
          <w:szCs w:val="28"/>
          <w:highlight w:val="none"/>
        </w:rPr>
        <w:t>（以下无正文）</w:t>
      </w:r>
    </w:p>
    <w:p w14:paraId="2590F8C6">
      <w:pPr>
        <w:spacing w:line="360" w:lineRule="auto"/>
        <w:ind w:firstLine="480"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bCs/>
          <w:color w:val="auto"/>
          <w:szCs w:val="24"/>
          <w:highlight w:val="none"/>
        </w:rPr>
        <w:t>甲方：（盖章）</w:t>
      </w:r>
      <w:r>
        <w:rPr>
          <w:rFonts w:hint="eastAsia" w:asciiTheme="minorEastAsia" w:hAnsiTheme="minorEastAsia" w:eastAsiaTheme="minorEastAsia" w:cstheme="minorEastAsia"/>
          <w:color w:val="auto"/>
          <w:spacing w:val="8"/>
          <w:szCs w:val="24"/>
          <w:highlight w:val="none"/>
        </w:rPr>
        <w:t xml:space="preserve">                     </w:t>
      </w:r>
      <w:r>
        <w:rPr>
          <w:rFonts w:hint="eastAsia" w:asciiTheme="minorEastAsia" w:hAnsiTheme="minorEastAsia" w:eastAsiaTheme="minorEastAsia" w:cstheme="minorEastAsia"/>
          <w:bCs/>
          <w:color w:val="auto"/>
          <w:szCs w:val="24"/>
          <w:highlight w:val="none"/>
        </w:rPr>
        <w:t>乙方：（盖章）</w:t>
      </w:r>
    </w:p>
    <w:p w14:paraId="76AA9FD3">
      <w:pPr>
        <w:spacing w:line="360" w:lineRule="auto"/>
        <w:ind w:firstLine="512"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rPr>
        <w:t xml:space="preserve">法定代表人：          </w:t>
      </w:r>
      <w:r>
        <w:rPr>
          <w:rFonts w:hint="eastAsia" w:asciiTheme="minorEastAsia" w:hAnsiTheme="minorEastAsia" w:eastAsiaTheme="minorEastAsia" w:cstheme="minorEastAsia"/>
          <w:color w:val="auto"/>
          <w:spacing w:val="8"/>
          <w:szCs w:val="24"/>
          <w:highlight w:val="none"/>
          <w:lang w:val="en-US" w:eastAsia="zh-CN"/>
        </w:rPr>
        <w:t xml:space="preserve">           </w:t>
      </w:r>
      <w:r>
        <w:rPr>
          <w:rFonts w:hint="eastAsia" w:asciiTheme="minorEastAsia" w:hAnsiTheme="minorEastAsia" w:eastAsiaTheme="minorEastAsia" w:cstheme="minorEastAsia"/>
          <w:color w:val="auto"/>
          <w:spacing w:val="8"/>
          <w:szCs w:val="24"/>
          <w:highlight w:val="none"/>
        </w:rPr>
        <w:t xml:space="preserve"> 法定代表人：</w:t>
      </w:r>
    </w:p>
    <w:p w14:paraId="515E2837">
      <w:pPr>
        <w:spacing w:line="360" w:lineRule="auto"/>
        <w:ind w:firstLine="512"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rPr>
        <w:t>委托代理人：                      委托代理人：</w:t>
      </w:r>
    </w:p>
    <w:p w14:paraId="1CBE7D32">
      <w:pPr>
        <w:spacing w:line="360" w:lineRule="auto"/>
        <w:ind w:firstLine="512"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rPr>
        <w:t>纳税人识别号：</w:t>
      </w:r>
      <w:r>
        <w:rPr>
          <w:rFonts w:hint="eastAsia" w:ascii="宋体" w:hAnsi="宋体" w:eastAsia="宋体" w:cs="宋体"/>
          <w:b w:val="0"/>
          <w:bCs w:val="0"/>
          <w:color w:val="auto"/>
          <w:kern w:val="2"/>
          <w:position w:val="0"/>
          <w:sz w:val="24"/>
          <w:szCs w:val="24"/>
          <w:highlight w:val="none"/>
          <w:u w:val="single"/>
        </w:rPr>
        <w:t>914103005542480325</w:t>
      </w:r>
      <w:r>
        <w:rPr>
          <w:rFonts w:hint="eastAsia" w:asciiTheme="minorEastAsia" w:hAnsiTheme="minorEastAsia" w:eastAsiaTheme="minorEastAsia" w:cstheme="minorEastAsia"/>
          <w:color w:val="auto"/>
          <w:spacing w:val="8"/>
          <w:szCs w:val="24"/>
          <w:highlight w:val="none"/>
        </w:rPr>
        <w:t xml:space="preserve"> </w:t>
      </w:r>
      <w:r>
        <w:rPr>
          <w:rFonts w:hint="eastAsia" w:asciiTheme="minorEastAsia" w:hAnsiTheme="minorEastAsia" w:eastAsiaTheme="minorEastAsia" w:cstheme="minorEastAsia"/>
          <w:color w:val="auto"/>
          <w:spacing w:val="8"/>
          <w:szCs w:val="24"/>
          <w:highlight w:val="none"/>
          <w:lang w:val="en-US" w:eastAsia="zh-CN"/>
        </w:rPr>
        <w:t xml:space="preserve">   </w:t>
      </w:r>
      <w:r>
        <w:rPr>
          <w:rFonts w:hint="eastAsia" w:asciiTheme="minorEastAsia" w:hAnsiTheme="minorEastAsia" w:eastAsiaTheme="minorEastAsia" w:cstheme="minorEastAsia"/>
          <w:color w:val="auto"/>
          <w:spacing w:val="8"/>
          <w:szCs w:val="24"/>
          <w:highlight w:val="none"/>
        </w:rPr>
        <w:t>纳税人识别号：</w:t>
      </w:r>
      <w:r>
        <w:rPr>
          <w:rFonts w:hint="eastAsia" w:ascii="宋体" w:hAnsi="宋体" w:eastAsia="宋体" w:cs="宋体"/>
          <w:sz w:val="24"/>
          <w:szCs w:val="24"/>
        </w:rPr>
        <w:t>91410200070087789P</w:t>
      </w:r>
    </w:p>
    <w:p w14:paraId="4F117191">
      <w:pPr>
        <w:spacing w:line="360" w:lineRule="auto"/>
        <w:ind w:left="6286" w:leftChars="166" w:hanging="5888" w:hangingChars="23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rPr>
        <w:t xml:space="preserve">开户行：      </w:t>
      </w:r>
      <w:r>
        <w:rPr>
          <w:rFonts w:hint="eastAsia" w:asciiTheme="minorEastAsia" w:hAnsiTheme="minorEastAsia" w:eastAsiaTheme="minorEastAsia" w:cstheme="minorEastAsia"/>
          <w:color w:val="auto"/>
          <w:spacing w:val="8"/>
          <w:szCs w:val="24"/>
          <w:highlight w:val="none"/>
          <w:lang w:val="en-US" w:eastAsia="zh-CN"/>
        </w:rPr>
        <w:t xml:space="preserve">                    </w:t>
      </w:r>
      <w:r>
        <w:rPr>
          <w:rFonts w:hint="eastAsia" w:asciiTheme="minorEastAsia" w:hAnsiTheme="minorEastAsia" w:eastAsiaTheme="minorEastAsia" w:cstheme="minorEastAsia"/>
          <w:color w:val="auto"/>
          <w:spacing w:val="8"/>
          <w:szCs w:val="24"/>
          <w:highlight w:val="none"/>
        </w:rPr>
        <w:t>开户行：</w:t>
      </w:r>
      <w:r>
        <w:rPr>
          <w:rFonts w:hint="eastAsia" w:ascii="宋体" w:hAnsi="宋体" w:eastAsia="宋体" w:cs="宋体"/>
          <w:sz w:val="24"/>
          <w:szCs w:val="24"/>
        </w:rPr>
        <w:t>中国银行股份有限公司开封分行</w:t>
      </w:r>
      <w:r>
        <w:rPr>
          <w:rFonts w:hint="eastAsia" w:ascii="宋体" w:hAnsi="宋体" w:cs="宋体"/>
          <w:sz w:val="24"/>
          <w:szCs w:val="24"/>
          <w:lang w:val="en-US" w:eastAsia="zh-CN"/>
        </w:rPr>
        <w:t xml:space="preserve">  </w:t>
      </w:r>
      <w:r>
        <w:rPr>
          <w:rFonts w:hint="eastAsia" w:ascii="宋体" w:hAnsi="宋体" w:eastAsia="宋体" w:cs="宋体"/>
          <w:sz w:val="24"/>
          <w:szCs w:val="24"/>
        </w:rPr>
        <w:t>金明支行</w:t>
      </w:r>
      <w:r>
        <w:rPr>
          <w:rFonts w:hint="eastAsia" w:asciiTheme="minorEastAsia" w:hAnsiTheme="minorEastAsia" w:eastAsiaTheme="minorEastAsia" w:cstheme="minorEastAsia"/>
          <w:color w:val="auto"/>
          <w:spacing w:val="8"/>
          <w:szCs w:val="24"/>
          <w:highlight w:val="none"/>
        </w:rPr>
        <w:t xml:space="preserve">                     </w:t>
      </w:r>
    </w:p>
    <w:p w14:paraId="0823D598">
      <w:pPr>
        <w:spacing w:line="360" w:lineRule="auto"/>
        <w:ind w:firstLine="512" w:firstLineChars="200"/>
        <w:rPr>
          <w:rFonts w:hint="eastAsia" w:asciiTheme="minorEastAsia" w:hAnsiTheme="minorEastAsia" w:eastAsiaTheme="minorEastAsia" w:cstheme="minorEastAsia"/>
          <w:color w:val="auto"/>
          <w:spacing w:val="8"/>
          <w:szCs w:val="24"/>
          <w:highlight w:val="none"/>
        </w:rPr>
      </w:pPr>
      <w:r>
        <w:rPr>
          <w:rFonts w:hint="eastAsia" w:asciiTheme="minorEastAsia" w:hAnsiTheme="minorEastAsia" w:eastAsiaTheme="minorEastAsia" w:cstheme="minorEastAsia"/>
          <w:color w:val="auto"/>
          <w:spacing w:val="8"/>
          <w:szCs w:val="24"/>
          <w:highlight w:val="none"/>
        </w:rPr>
        <w:t xml:space="preserve">账号：           </w:t>
      </w:r>
      <w:r>
        <w:rPr>
          <w:rFonts w:hint="eastAsia" w:asciiTheme="minorEastAsia" w:hAnsiTheme="minorEastAsia" w:eastAsiaTheme="minorEastAsia" w:cstheme="minorEastAsia"/>
          <w:color w:val="auto"/>
          <w:spacing w:val="8"/>
          <w:szCs w:val="24"/>
          <w:highlight w:val="none"/>
          <w:lang w:val="en-US" w:eastAsia="zh-CN"/>
        </w:rPr>
        <w:t xml:space="preserve">                 </w:t>
      </w:r>
      <w:r>
        <w:rPr>
          <w:rFonts w:hint="eastAsia" w:asciiTheme="minorEastAsia" w:hAnsiTheme="minorEastAsia" w:eastAsiaTheme="minorEastAsia" w:cstheme="minorEastAsia"/>
          <w:color w:val="auto"/>
          <w:spacing w:val="8"/>
          <w:szCs w:val="24"/>
          <w:highlight w:val="none"/>
        </w:rPr>
        <w:t xml:space="preserve">账号： </w:t>
      </w:r>
      <w:r>
        <w:rPr>
          <w:rFonts w:hint="eastAsia" w:ascii="宋体" w:hAnsi="宋体" w:eastAsia="宋体" w:cs="宋体"/>
          <w:sz w:val="24"/>
          <w:szCs w:val="24"/>
        </w:rPr>
        <w:t>253321800615</w:t>
      </w:r>
    </w:p>
    <w:p w14:paraId="16ADB34B">
      <w:pPr>
        <w:wordWrap/>
        <w:topLinePunct w:val="0"/>
        <w:autoSpaceDE/>
        <w:spacing w:line="360" w:lineRule="auto"/>
        <w:ind w:firstLine="480" w:firstLineChars="200"/>
        <w:rPr>
          <w:rFonts w:hint="eastAsia" w:asciiTheme="minorEastAsia" w:hAnsiTheme="minorEastAsia" w:eastAsiaTheme="minorEastAsia" w:cstheme="minorEastAsia"/>
          <w:b/>
          <w:color w:val="auto"/>
          <w:szCs w:val="24"/>
          <w:highlight w:val="none"/>
        </w:rPr>
      </w:pPr>
      <w:r>
        <w:rPr>
          <w:rFonts w:hint="eastAsia" w:asciiTheme="minorEastAsia" w:hAnsiTheme="minorEastAsia" w:eastAsiaTheme="minorEastAsia" w:cstheme="minorEastAsia"/>
          <w:bCs/>
          <w:color w:val="auto"/>
          <w:szCs w:val="24"/>
          <w:highlight w:val="none"/>
        </w:rPr>
        <w:t>签订日期</w:t>
      </w:r>
      <w:r>
        <w:rPr>
          <w:rFonts w:hint="eastAsia" w:asciiTheme="minorEastAsia" w:hAnsiTheme="minorEastAsia" w:eastAsiaTheme="minorEastAsia" w:cstheme="minorEastAsia"/>
          <w:bCs/>
          <w:color w:val="auto"/>
          <w:szCs w:val="24"/>
          <w:highlight w:val="none"/>
          <w:lang w:eastAsia="zh-CN"/>
        </w:rPr>
        <w:t>：</w:t>
      </w:r>
      <w:r>
        <w:rPr>
          <w:rFonts w:hint="eastAsia" w:asciiTheme="minorEastAsia" w:hAnsiTheme="minorEastAsia" w:eastAsiaTheme="minorEastAsia" w:cstheme="minorEastAsia"/>
          <w:bCs/>
          <w:color w:val="auto"/>
          <w:szCs w:val="24"/>
          <w:highlight w:val="none"/>
          <w:lang w:val="en-US" w:eastAsia="zh-CN"/>
        </w:rPr>
        <w:t>2025</w:t>
      </w:r>
      <w:r>
        <w:rPr>
          <w:rFonts w:hint="eastAsia" w:asciiTheme="minorEastAsia" w:hAnsiTheme="minorEastAsia" w:eastAsiaTheme="minorEastAsia" w:cstheme="minorEastAsia"/>
          <w:bCs/>
          <w:color w:val="auto"/>
          <w:szCs w:val="24"/>
          <w:highlight w:val="none"/>
        </w:rPr>
        <w:t>年</w:t>
      </w:r>
      <w:r>
        <w:rPr>
          <w:rFonts w:hint="eastAsia" w:asciiTheme="minorEastAsia" w:hAnsiTheme="minorEastAsia" w:eastAsiaTheme="minorEastAsia" w:cstheme="minorEastAsia"/>
          <w:bCs/>
          <w:color w:val="auto"/>
          <w:szCs w:val="24"/>
          <w:highlight w:val="none"/>
          <w:u w:val="single"/>
          <w:lang w:val="en-US" w:eastAsia="zh-CN"/>
        </w:rPr>
        <w:t>9</w:t>
      </w:r>
      <w:r>
        <w:rPr>
          <w:rFonts w:hint="eastAsia" w:asciiTheme="minorEastAsia" w:hAnsiTheme="minorEastAsia" w:eastAsiaTheme="minorEastAsia" w:cstheme="minorEastAsia"/>
          <w:bCs/>
          <w:color w:val="auto"/>
          <w:szCs w:val="24"/>
          <w:highlight w:val="none"/>
        </w:rPr>
        <w:t>月</w:t>
      </w:r>
      <w:r>
        <w:rPr>
          <w:rFonts w:hint="eastAsia" w:asciiTheme="minorEastAsia" w:hAnsiTheme="minorEastAsia" w:eastAsiaTheme="minorEastAsia" w:cstheme="minorEastAsia"/>
          <w:bCs/>
          <w:color w:val="auto"/>
          <w:szCs w:val="24"/>
          <w:highlight w:val="none"/>
          <w:u w:val="single"/>
          <w:lang w:val="en-US" w:eastAsia="zh-CN"/>
        </w:rPr>
        <w:t xml:space="preserve">  </w:t>
      </w:r>
      <w:r>
        <w:rPr>
          <w:rFonts w:hint="eastAsia" w:asciiTheme="minorEastAsia" w:hAnsiTheme="minorEastAsia" w:eastAsiaTheme="minorEastAsia" w:cstheme="minorEastAsia"/>
          <w:bCs/>
          <w:color w:val="auto"/>
          <w:szCs w:val="24"/>
          <w:highlight w:val="none"/>
        </w:rPr>
        <w:t>日             签订日期：</w:t>
      </w:r>
      <w:r>
        <w:rPr>
          <w:rFonts w:hint="eastAsia" w:asciiTheme="minorEastAsia" w:hAnsiTheme="minorEastAsia" w:eastAsiaTheme="minorEastAsia" w:cstheme="minorEastAsia"/>
          <w:bCs/>
          <w:color w:val="auto"/>
          <w:szCs w:val="24"/>
          <w:highlight w:val="none"/>
          <w:lang w:val="en-US" w:eastAsia="zh-CN"/>
        </w:rPr>
        <w:t>2025</w:t>
      </w:r>
      <w:r>
        <w:rPr>
          <w:rFonts w:hint="eastAsia" w:asciiTheme="minorEastAsia" w:hAnsiTheme="minorEastAsia" w:eastAsiaTheme="minorEastAsia" w:cstheme="minorEastAsia"/>
          <w:bCs/>
          <w:color w:val="auto"/>
          <w:szCs w:val="24"/>
          <w:highlight w:val="none"/>
        </w:rPr>
        <w:t>年</w:t>
      </w:r>
      <w:r>
        <w:rPr>
          <w:rFonts w:hint="eastAsia" w:asciiTheme="minorEastAsia" w:hAnsiTheme="minorEastAsia" w:eastAsiaTheme="minorEastAsia" w:cstheme="minorEastAsia"/>
          <w:bCs/>
          <w:color w:val="auto"/>
          <w:szCs w:val="24"/>
          <w:highlight w:val="none"/>
          <w:u w:val="single"/>
          <w:lang w:val="en-US" w:eastAsia="zh-CN"/>
        </w:rPr>
        <w:t>9</w:t>
      </w:r>
      <w:r>
        <w:rPr>
          <w:rFonts w:hint="eastAsia" w:asciiTheme="minorEastAsia" w:hAnsiTheme="minorEastAsia" w:eastAsiaTheme="minorEastAsia" w:cstheme="minorEastAsia"/>
          <w:bCs/>
          <w:color w:val="auto"/>
          <w:szCs w:val="24"/>
          <w:highlight w:val="none"/>
        </w:rPr>
        <w:t>月</w:t>
      </w:r>
      <w:r>
        <w:rPr>
          <w:rFonts w:hint="eastAsia" w:asciiTheme="minorEastAsia" w:hAnsiTheme="minorEastAsia" w:eastAsiaTheme="minorEastAsia" w:cstheme="minorEastAsia"/>
          <w:bCs/>
          <w:color w:val="auto"/>
          <w:szCs w:val="24"/>
          <w:highlight w:val="none"/>
          <w:u w:val="single"/>
          <w:lang w:val="en-US" w:eastAsia="zh-CN"/>
        </w:rPr>
        <w:t xml:space="preserve">   </w:t>
      </w:r>
      <w:r>
        <w:rPr>
          <w:rFonts w:hint="eastAsia" w:asciiTheme="minorEastAsia" w:hAnsiTheme="minorEastAsia" w:eastAsiaTheme="minorEastAsia" w:cstheme="minorEastAsia"/>
          <w:bCs/>
          <w:color w:val="auto"/>
          <w:szCs w:val="24"/>
          <w:highlight w:val="none"/>
        </w:rPr>
        <w:t>日</w:t>
      </w:r>
    </w:p>
    <w:p w14:paraId="2E19AC47">
      <w:pPr>
        <w:spacing w:line="360" w:lineRule="auto"/>
        <w:rPr>
          <w:rFonts w:hint="eastAsia" w:asciiTheme="minorEastAsia" w:hAnsiTheme="minorEastAsia" w:eastAsiaTheme="minorEastAsia" w:cstheme="minorEastAsia"/>
          <w:b/>
          <w:color w:val="auto"/>
          <w:szCs w:val="24"/>
          <w:highlight w:val="none"/>
        </w:rPr>
      </w:pPr>
    </w:p>
    <w:p w14:paraId="488BFBAD">
      <w:pPr>
        <w:spacing w:line="360" w:lineRule="auto"/>
        <w:rPr>
          <w:rFonts w:hint="eastAsia" w:asciiTheme="minorEastAsia" w:hAnsiTheme="minorEastAsia" w:eastAsiaTheme="minorEastAsia" w:cstheme="minorEastAsia"/>
          <w:color w:val="auto"/>
          <w:highlight w:val="none"/>
        </w:rPr>
      </w:pPr>
    </w:p>
    <w:p w14:paraId="459A6A57">
      <w:pPr>
        <w:spacing w:line="360" w:lineRule="auto"/>
        <w:rPr>
          <w:rFonts w:hint="eastAsia" w:asciiTheme="minorEastAsia" w:hAnsiTheme="minorEastAsia" w:eastAsiaTheme="minorEastAsia" w:cstheme="minorEastAsia"/>
          <w:color w:val="auto"/>
          <w:highlight w:val="none"/>
        </w:rPr>
      </w:pPr>
    </w:p>
    <w:p w14:paraId="73BD6A99">
      <w:pPr>
        <w:spacing w:line="360" w:lineRule="auto"/>
        <w:rPr>
          <w:rFonts w:hint="eastAsia" w:asciiTheme="minorEastAsia" w:hAnsiTheme="minorEastAsia" w:eastAsiaTheme="minorEastAsia" w:cstheme="minorEastAsia"/>
          <w:color w:val="auto"/>
          <w:highlight w:val="none"/>
        </w:rPr>
      </w:pPr>
    </w:p>
    <w:p w14:paraId="25EA645D">
      <w:pPr>
        <w:spacing w:line="360" w:lineRule="auto"/>
        <w:rPr>
          <w:rFonts w:hint="eastAsia" w:asciiTheme="minorEastAsia" w:hAnsiTheme="minorEastAsia" w:eastAsiaTheme="minorEastAsia" w:cstheme="minorEastAsia"/>
          <w:color w:val="auto"/>
          <w:highlight w:val="none"/>
        </w:rPr>
      </w:pPr>
    </w:p>
    <w:p w14:paraId="13D4EE0F">
      <w:pPr>
        <w:spacing w:line="360" w:lineRule="auto"/>
        <w:rPr>
          <w:rFonts w:hint="eastAsia" w:asciiTheme="minorEastAsia" w:hAnsiTheme="minorEastAsia" w:eastAsiaTheme="minorEastAsia" w:cstheme="minorEastAsia"/>
          <w:color w:val="auto"/>
          <w:highlight w:val="none"/>
        </w:rPr>
      </w:pPr>
    </w:p>
    <w:p w14:paraId="1DB950B7">
      <w:pPr>
        <w:spacing w:line="360" w:lineRule="auto"/>
        <w:rPr>
          <w:rFonts w:hint="eastAsia" w:asciiTheme="minorEastAsia" w:hAnsiTheme="minorEastAsia" w:eastAsiaTheme="minorEastAsia" w:cstheme="minorEastAsia"/>
          <w:color w:val="auto"/>
          <w:highlight w:val="none"/>
        </w:rPr>
      </w:pPr>
    </w:p>
    <w:p w14:paraId="173A2496">
      <w:pPr>
        <w:spacing w:line="360" w:lineRule="auto"/>
        <w:rPr>
          <w:rFonts w:hint="eastAsia" w:asciiTheme="minorEastAsia" w:hAnsiTheme="minorEastAsia" w:eastAsiaTheme="minorEastAsia" w:cstheme="minorEastAsia"/>
          <w:color w:val="auto"/>
          <w:highlight w:val="none"/>
        </w:rPr>
      </w:pPr>
    </w:p>
    <w:p w14:paraId="7E4CA7A8">
      <w:pPr>
        <w:spacing w:line="360" w:lineRule="auto"/>
        <w:rPr>
          <w:rFonts w:hint="eastAsia" w:asciiTheme="minorEastAsia" w:hAnsiTheme="minorEastAsia" w:eastAsiaTheme="minorEastAsia" w:cstheme="minorEastAsia"/>
          <w:color w:val="auto"/>
          <w:highlight w:val="none"/>
        </w:rPr>
      </w:pPr>
    </w:p>
    <w:p w14:paraId="64424187">
      <w:pPr>
        <w:spacing w:line="360" w:lineRule="auto"/>
        <w:rPr>
          <w:rFonts w:hint="eastAsia" w:asciiTheme="minorEastAsia" w:hAnsiTheme="minorEastAsia" w:eastAsiaTheme="minorEastAsia" w:cstheme="minorEastAsia"/>
          <w:color w:val="auto"/>
          <w:highlight w:val="none"/>
        </w:rPr>
      </w:pPr>
    </w:p>
    <w:p w14:paraId="1A49DFED">
      <w:pPr>
        <w:spacing w:line="360" w:lineRule="auto"/>
        <w:rPr>
          <w:rFonts w:hint="eastAsia" w:asciiTheme="minorEastAsia" w:hAnsiTheme="minorEastAsia" w:eastAsiaTheme="minorEastAsia" w:cstheme="minorEastAsia"/>
          <w:color w:val="auto"/>
          <w:highlight w:val="none"/>
        </w:rPr>
      </w:pPr>
    </w:p>
    <w:p w14:paraId="61A2E108">
      <w:pPr>
        <w:spacing w:line="360" w:lineRule="auto"/>
        <w:rPr>
          <w:rFonts w:hint="eastAsia" w:asciiTheme="minorEastAsia" w:hAnsiTheme="minorEastAsia" w:eastAsiaTheme="minorEastAsia" w:cstheme="minorEastAsia"/>
          <w:color w:val="auto"/>
          <w:highlight w:val="none"/>
        </w:rPr>
      </w:pPr>
    </w:p>
    <w:p w14:paraId="790C8B97">
      <w:pPr>
        <w:spacing w:line="360" w:lineRule="auto"/>
        <w:rPr>
          <w:rFonts w:hint="eastAsia" w:asciiTheme="minorEastAsia" w:hAnsiTheme="minorEastAsia" w:eastAsiaTheme="minorEastAsia" w:cstheme="minorEastAsia"/>
          <w:color w:val="auto"/>
          <w:highlight w:val="none"/>
        </w:rPr>
      </w:pPr>
    </w:p>
    <w:p w14:paraId="37088383">
      <w:pPr>
        <w:spacing w:line="360" w:lineRule="auto"/>
        <w:rPr>
          <w:rFonts w:hint="eastAsia" w:asciiTheme="minorEastAsia" w:hAnsiTheme="minorEastAsia" w:eastAsiaTheme="minorEastAsia" w:cstheme="minorEastAsia"/>
          <w:color w:val="auto"/>
          <w:highlight w:val="none"/>
        </w:rPr>
      </w:pPr>
    </w:p>
    <w:p w14:paraId="75D728F1">
      <w:pPr>
        <w:spacing w:line="360" w:lineRule="auto"/>
        <w:rPr>
          <w:rFonts w:hint="eastAsia" w:asciiTheme="minorEastAsia" w:hAnsiTheme="minorEastAsia" w:eastAsiaTheme="minorEastAsia" w:cstheme="minorEastAsia"/>
          <w:color w:val="auto"/>
          <w:highlight w:val="none"/>
        </w:rPr>
      </w:pPr>
    </w:p>
    <w:p w14:paraId="3A320FD1">
      <w:pPr>
        <w:spacing w:line="360" w:lineRule="auto"/>
        <w:rPr>
          <w:rFonts w:hint="eastAsia" w:asciiTheme="minorEastAsia" w:hAnsiTheme="minorEastAsia" w:eastAsiaTheme="minorEastAsia" w:cstheme="minorEastAsia"/>
          <w:color w:val="auto"/>
          <w:highlight w:val="none"/>
        </w:rPr>
      </w:pPr>
    </w:p>
    <w:p w14:paraId="36CADDA4">
      <w:pPr>
        <w:spacing w:line="360" w:lineRule="auto"/>
        <w:rPr>
          <w:rFonts w:hint="eastAsia" w:asciiTheme="minorEastAsia" w:hAnsiTheme="minorEastAsia" w:eastAsiaTheme="minorEastAsia" w:cstheme="minorEastAsia"/>
          <w:color w:val="auto"/>
          <w:highlight w:val="none"/>
        </w:rPr>
      </w:pPr>
    </w:p>
    <w:p w14:paraId="4C1A2392">
      <w:pPr>
        <w:tabs>
          <w:tab w:val="left" w:pos="4465"/>
        </w:tabs>
        <w:spacing w:line="360" w:lineRule="auto"/>
        <w:rPr>
          <w:rFonts w:hint="eastAsia" w:asciiTheme="minorEastAsia" w:hAnsiTheme="minorEastAsia" w:eastAsiaTheme="minorEastAsia" w:cstheme="minorEastAsia"/>
          <w:b/>
          <w:color w:val="auto"/>
          <w:szCs w:val="24"/>
          <w:highlight w:val="none"/>
        </w:rPr>
      </w:pPr>
      <w:r>
        <w:rPr>
          <w:rFonts w:hint="eastAsia" w:asciiTheme="minorEastAsia" w:hAnsiTheme="minorEastAsia" w:eastAsiaTheme="minorEastAsia" w:cstheme="minorEastAsia"/>
          <w:b/>
          <w:color w:val="auto"/>
          <w:szCs w:val="24"/>
          <w:highlight w:val="none"/>
        </w:rPr>
        <w:t>附件一、廉政合作协议</w:t>
      </w:r>
    </w:p>
    <w:p w14:paraId="3E7BCFFC">
      <w:pPr>
        <w:spacing w:line="360" w:lineRule="auto"/>
        <w:ind w:firstLine="292" w:firstLineChars="91"/>
        <w:jc w:val="center"/>
        <w:rPr>
          <w:rFonts w:hint="eastAsia" w:asciiTheme="minorEastAsia" w:hAnsiTheme="minorEastAsia" w:eastAsiaTheme="minorEastAsia" w:cstheme="minorEastAsia"/>
          <w:b/>
          <w:bCs/>
          <w:color w:val="auto"/>
          <w:sz w:val="32"/>
          <w:szCs w:val="32"/>
          <w:highlight w:val="none"/>
          <w:lang w:val="zh-CN"/>
        </w:rPr>
      </w:pPr>
      <w:r>
        <w:rPr>
          <w:rFonts w:hint="eastAsia" w:asciiTheme="minorEastAsia" w:hAnsiTheme="minorEastAsia" w:eastAsiaTheme="minorEastAsia" w:cstheme="minorEastAsia"/>
          <w:b/>
          <w:bCs/>
          <w:color w:val="auto"/>
          <w:sz w:val="32"/>
          <w:szCs w:val="32"/>
          <w:highlight w:val="none"/>
          <w:lang w:val="zh-CN"/>
        </w:rPr>
        <w:t>廉政合作协议</w:t>
      </w:r>
    </w:p>
    <w:p w14:paraId="46C4F27D">
      <w:pPr>
        <w:spacing w:line="360" w:lineRule="auto"/>
        <w:rPr>
          <w:rFonts w:hint="eastAsia" w:asciiTheme="minorEastAsia" w:hAnsiTheme="minorEastAsia" w:eastAsiaTheme="minorEastAsia" w:cstheme="minorEastAsia"/>
          <w:color w:val="auto"/>
          <w:spacing w:val="8"/>
          <w:szCs w:val="24"/>
          <w:highlight w:val="none"/>
          <w:u w:val="single"/>
          <w:lang w:val="en-US" w:eastAsia="zh-CN"/>
        </w:rPr>
      </w:pPr>
      <w:r>
        <w:rPr>
          <w:rFonts w:hint="eastAsia" w:asciiTheme="minorEastAsia" w:hAnsiTheme="minorEastAsia" w:eastAsiaTheme="minorEastAsia" w:cstheme="minorEastAsia"/>
          <w:b/>
          <w:color w:val="auto"/>
          <w:szCs w:val="24"/>
          <w:highlight w:val="none"/>
        </w:rPr>
        <w:t>甲方：</w:t>
      </w:r>
      <w:r>
        <w:rPr>
          <w:rFonts w:hint="eastAsia" w:asciiTheme="minorEastAsia" w:hAnsiTheme="minorEastAsia" w:eastAsiaTheme="minorEastAsia" w:cstheme="minorEastAsia"/>
          <w:color w:val="auto"/>
          <w:spacing w:val="8"/>
          <w:szCs w:val="24"/>
          <w:highlight w:val="none"/>
          <w:u w:val="single"/>
          <w:lang w:val="en-US" w:eastAsia="zh-CN"/>
        </w:rPr>
        <w:t>洛阳浩德鑫置地有限公司</w:t>
      </w:r>
    </w:p>
    <w:p w14:paraId="54FA4A01">
      <w:pPr>
        <w:spacing w:line="360" w:lineRule="auto"/>
        <w:rPr>
          <w:rFonts w:hint="default" w:asciiTheme="minorEastAsia" w:hAnsiTheme="minorEastAsia" w:eastAsiaTheme="minorEastAsia" w:cstheme="minorEastAsia"/>
          <w:color w:val="auto"/>
          <w:spacing w:val="8"/>
          <w:szCs w:val="24"/>
          <w:highlight w:val="none"/>
          <w:u w:val="single"/>
          <w:lang w:val="en-US" w:eastAsia="zh-CN"/>
        </w:rPr>
      </w:pPr>
      <w:r>
        <w:rPr>
          <w:rFonts w:hint="eastAsia" w:asciiTheme="minorEastAsia" w:hAnsiTheme="minorEastAsia" w:eastAsiaTheme="minorEastAsia" w:cstheme="minorEastAsia"/>
          <w:b/>
          <w:color w:val="auto"/>
          <w:szCs w:val="24"/>
          <w:highlight w:val="none"/>
        </w:rPr>
        <w:t>乙方：</w:t>
      </w:r>
      <w:r>
        <w:rPr>
          <w:rFonts w:hint="eastAsia" w:asciiTheme="minorEastAsia" w:hAnsiTheme="minorEastAsia" w:eastAsiaTheme="minorEastAsia" w:cstheme="minorEastAsia"/>
          <w:b w:val="0"/>
          <w:bCs/>
          <w:color w:val="auto"/>
          <w:highlight w:val="none"/>
          <w:u w:val="single"/>
          <w:lang w:val="en-US" w:eastAsia="zh-CN"/>
        </w:rPr>
        <w:t>河南洪海实业有限公司</w:t>
      </w:r>
      <w:r>
        <w:rPr>
          <w:rFonts w:hint="eastAsia" w:asciiTheme="minorEastAsia" w:hAnsiTheme="minorEastAsia" w:eastAsiaTheme="minorEastAsia" w:cstheme="minorEastAsia"/>
          <w:color w:val="auto"/>
          <w:spacing w:val="8"/>
          <w:szCs w:val="24"/>
          <w:highlight w:val="none"/>
          <w:u w:val="single"/>
          <w:lang w:val="en-US" w:eastAsia="zh-CN"/>
        </w:rPr>
        <w:t xml:space="preserve"> </w:t>
      </w:r>
    </w:p>
    <w:p w14:paraId="3AECAC90">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为加强工程项目建设期间的廉政管理，确保项目高效优质按期竣工，甲、乙双方经协商签订本协议并作为双方共同遵守的廉政行为准则。</w:t>
      </w:r>
    </w:p>
    <w:p w14:paraId="09ED4677">
      <w:pPr>
        <w:spacing w:line="360" w:lineRule="auto"/>
        <w:ind w:firstLine="482" w:firstLineChars="200"/>
        <w:rPr>
          <w:rFonts w:hint="eastAsia" w:asciiTheme="minorEastAsia" w:hAnsiTheme="minorEastAsia" w:eastAsiaTheme="minorEastAsia" w:cstheme="minorEastAsia"/>
          <w:b/>
          <w:color w:val="auto"/>
          <w:szCs w:val="28"/>
          <w:highlight w:val="none"/>
        </w:rPr>
      </w:pPr>
      <w:r>
        <w:rPr>
          <w:rFonts w:hint="eastAsia" w:asciiTheme="minorEastAsia" w:hAnsiTheme="minorEastAsia" w:eastAsiaTheme="minorEastAsia" w:cstheme="minorEastAsia"/>
          <w:b/>
          <w:color w:val="auto"/>
          <w:szCs w:val="28"/>
          <w:highlight w:val="none"/>
        </w:rPr>
        <w:t>一．甲方责任</w:t>
      </w:r>
    </w:p>
    <w:p w14:paraId="022F757E">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1．甲方有责任向乙方介绍本单位有关廉政管理的各项制度和规定。</w:t>
      </w:r>
    </w:p>
    <w:p w14:paraId="6E5333AD">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2．甲方有责任对本单位项目管理人员进行廉政教育。</w:t>
      </w:r>
    </w:p>
    <w:p w14:paraId="651A0F65">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3．甲方人员应严格遵守本单位有关廉政管理的规定，不得接受乙方的宴请，不得接受任何形式的实物、现金或礼券。</w:t>
      </w:r>
    </w:p>
    <w:p w14:paraId="74F0CC1A">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4．甲方在项目建设期间发现甲方人员任何形式的索贿受贿行为，均应及时采取措施予以制止，并及时通报乙方单位领导。</w:t>
      </w:r>
    </w:p>
    <w:p w14:paraId="529CB0EC">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5．甲方人员如违反廉政管理制度及本协议规定，甲方应视情节轻重、影响大小给予处罚。</w:t>
      </w:r>
    </w:p>
    <w:p w14:paraId="6730B011">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6．对于乙方举报甲方人员违反廉政规定的情况，甲方应及时进行调查，根据调查情况进行处理。</w:t>
      </w:r>
    </w:p>
    <w:p w14:paraId="33A54D99">
      <w:pPr>
        <w:spacing w:line="360" w:lineRule="auto"/>
        <w:ind w:firstLine="482" w:firstLineChars="200"/>
        <w:rPr>
          <w:rFonts w:hint="eastAsia" w:asciiTheme="minorEastAsia" w:hAnsiTheme="minorEastAsia" w:eastAsiaTheme="minorEastAsia" w:cstheme="minorEastAsia"/>
          <w:b/>
          <w:color w:val="auto"/>
          <w:szCs w:val="28"/>
          <w:highlight w:val="none"/>
        </w:rPr>
      </w:pPr>
      <w:r>
        <w:rPr>
          <w:rFonts w:hint="eastAsia" w:asciiTheme="minorEastAsia" w:hAnsiTheme="minorEastAsia" w:eastAsiaTheme="minorEastAsia" w:cstheme="minorEastAsia"/>
          <w:b/>
          <w:color w:val="auto"/>
          <w:szCs w:val="28"/>
          <w:highlight w:val="none"/>
        </w:rPr>
        <w:t>二．乙方责任</w:t>
      </w:r>
    </w:p>
    <w:p w14:paraId="5136A3DF">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1．乙方应保证乙方有关人员了解甲方有关廉政管理的各项制度及本协议的规定，并遵照执行。</w:t>
      </w:r>
    </w:p>
    <w:p w14:paraId="18A043F7">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2．乙方不得宴请甲方人员，不得以任何形式赠送实物、现金或礼券。</w:t>
      </w:r>
    </w:p>
    <w:p w14:paraId="2A308E5F">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3．乙方在项目建设期间发现乙方人员任何向甲方人员行贿行为，均应及时采取措施予以制止，并及时通报甲方单位领导。</w:t>
      </w:r>
    </w:p>
    <w:p w14:paraId="36735E38">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4．乙方有责任接受甲方对乙方在项目建设期间廉政管理执行情况的监督。</w:t>
      </w:r>
    </w:p>
    <w:p w14:paraId="7F628056">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5．乙方单位人员有义务就甲方人员任何形式的索贿或受贿行为及时向甲方单位领导举报；如乙方向甲方人员行贿，或甲方人员向乙方索贿，乙方满足其要求且未向甲方举报的，一经查实，除追回由此给甲方造成的损失外，甲方可要求乙方支付5-100万元的违约金。</w:t>
      </w:r>
    </w:p>
    <w:p w14:paraId="21186219">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6．如因乙方或其人员在项目建设期间贿赂甲方人员，被检察机关立案查处的，甲方有权终止合同履行或解除合同，由此给甲方造成的损失，均由乙方负责赔偿。</w:t>
      </w:r>
    </w:p>
    <w:p w14:paraId="6C62D224">
      <w:pPr>
        <w:spacing w:line="360" w:lineRule="auto"/>
        <w:ind w:firstLine="482" w:firstLineChars="200"/>
        <w:rPr>
          <w:rFonts w:hint="eastAsia" w:asciiTheme="minorEastAsia" w:hAnsiTheme="minorEastAsia" w:eastAsiaTheme="minorEastAsia" w:cstheme="minorEastAsia"/>
          <w:b/>
          <w:color w:val="auto"/>
          <w:szCs w:val="28"/>
          <w:highlight w:val="none"/>
        </w:rPr>
      </w:pPr>
      <w:r>
        <w:rPr>
          <w:rFonts w:hint="eastAsia" w:asciiTheme="minorEastAsia" w:hAnsiTheme="minorEastAsia" w:eastAsiaTheme="minorEastAsia" w:cstheme="minorEastAsia"/>
          <w:b/>
          <w:color w:val="auto"/>
          <w:szCs w:val="28"/>
          <w:highlight w:val="none"/>
        </w:rPr>
        <w:t xml:space="preserve"> 三、为维护甲乙双方的合法利益，营造良好的商务环境，甲方建立多种举报渠道（如下）。甲方风控部人员将恪守职业道德，严格履行保密义务！</w:t>
      </w:r>
    </w:p>
    <w:p w14:paraId="2BD2C5B1">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（1）微信小程序举报（扫描右侧二维码进入程序，举报信息直达集团董事长）；</w:t>
      </w:r>
    </w:p>
    <w:p w14:paraId="21C9E1E7">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drawing>
          <wp:anchor distT="0" distB="0" distL="114300" distR="114300" simplePos="0" relativeHeight="251660288" behindDoc="0" locked="0" layoutInCell="1" allowOverlap="1">
            <wp:simplePos x="0" y="0"/>
            <wp:positionH relativeFrom="column">
              <wp:posOffset>4453255</wp:posOffset>
            </wp:positionH>
            <wp:positionV relativeFrom="paragraph">
              <wp:posOffset>221615</wp:posOffset>
            </wp:positionV>
            <wp:extent cx="935990" cy="935990"/>
            <wp:effectExtent l="0" t="0" r="8890" b="8890"/>
            <wp:wrapNone/>
            <wp:docPr id="1" name="图片 2" descr="说明: 32dc313b898daf07a491037a11ba2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说明: 32dc313b898daf07a491037a11ba2c8"/>
                    <pic:cNvPicPr>
                      <a:picLocks noChangeAspect="1"/>
                    </pic:cNvPicPr>
                  </pic:nvPicPr>
                  <pic:blipFill>
                    <a:blip r:embed="rId6"/>
                    <a:stretch>
                      <a:fillRect/>
                    </a:stretch>
                  </pic:blipFill>
                  <pic:spPr>
                    <a:xfrm>
                      <a:off x="0" y="0"/>
                      <a:ext cx="935990" cy="935990"/>
                    </a:xfrm>
                    <a:prstGeom prst="rect">
                      <a:avLst/>
                    </a:prstGeom>
                    <a:noFill/>
                    <a:ln>
                      <a:noFill/>
                    </a:ln>
                  </pic:spPr>
                </pic:pic>
              </a:graphicData>
            </a:graphic>
          </wp:anchor>
        </w:drawing>
      </w:r>
      <w:r>
        <w:rPr>
          <w:rFonts w:hint="eastAsia" w:asciiTheme="minorEastAsia" w:hAnsiTheme="minorEastAsia" w:eastAsiaTheme="minorEastAsia" w:cstheme="minorEastAsia"/>
          <w:color w:val="auto"/>
          <w:szCs w:val="28"/>
          <w:highlight w:val="none"/>
        </w:rPr>
        <w:t>（2）邮箱：shenji@chinahonden.com</w:t>
      </w:r>
    </w:p>
    <w:p w14:paraId="533D2671">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（3）电话：风控总监毛政辉：13693798532</w:t>
      </w:r>
    </w:p>
    <w:p w14:paraId="208EDEC0">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（4）电话：审计监察副总监齐全中：18137710188</w:t>
      </w:r>
    </w:p>
    <w:p w14:paraId="07503C71">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（5）电话：审计监察高级经理苏文倩：18839528225</w:t>
      </w:r>
    </w:p>
    <w:p w14:paraId="105B61C7">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（6）信件举报邮寄地址：洛阳市洛龙区关林西路8号中浩德控股集团有限公司审计监察部（收）。</w:t>
      </w:r>
    </w:p>
    <w:p w14:paraId="3F5C322B">
      <w:pPr>
        <w:spacing w:line="360" w:lineRule="auto"/>
        <w:ind w:firstLine="482" w:firstLineChars="200"/>
        <w:rPr>
          <w:rFonts w:hint="eastAsia" w:asciiTheme="minorEastAsia" w:hAnsiTheme="minorEastAsia" w:eastAsiaTheme="minorEastAsia" w:cstheme="minorEastAsia"/>
          <w:b/>
          <w:color w:val="auto"/>
          <w:szCs w:val="28"/>
          <w:highlight w:val="none"/>
        </w:rPr>
      </w:pPr>
      <w:r>
        <w:rPr>
          <w:rFonts w:hint="eastAsia" w:asciiTheme="minorEastAsia" w:hAnsiTheme="minorEastAsia" w:eastAsiaTheme="minorEastAsia" w:cstheme="minorEastAsia"/>
          <w:b/>
          <w:color w:val="auto"/>
          <w:szCs w:val="28"/>
          <w:highlight w:val="none"/>
        </w:rPr>
        <w:t>四、甲乙双方发现对方工作人员有下列行为之一的，可通过第三条约定的渠道进行举报：</w:t>
      </w:r>
    </w:p>
    <w:p w14:paraId="6DA3658A">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1.推诿扯皮、有责不负、处事消极、渎职失职、弄虚作假等行为。</w:t>
      </w:r>
    </w:p>
    <w:p w14:paraId="2A6C7036">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2.以权谋私、滥用职权、处事不公、隐瞒事故、违章指挥造成公司严重事故隐患的行为。</w:t>
      </w:r>
    </w:p>
    <w:p w14:paraId="289E2E70">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3.贪污、受贿、盗窃、欺上瞒下等违法乱纪行为。</w:t>
      </w:r>
    </w:p>
    <w:p w14:paraId="7E16AA46">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4.出卖、泄露公司商业机密等危害公司行为。</w:t>
      </w:r>
    </w:p>
    <w:p w14:paraId="26D81A6E">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5.重大经济活动未按公司制度、流程执行的违规违纪行为。</w:t>
      </w:r>
    </w:p>
    <w:p w14:paraId="7036DECE">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6.利用职权，任人唯亲，拉帮结派，搞小利益团体或对同事正当行使权利进行打击报复的行为。</w:t>
      </w:r>
    </w:p>
    <w:p w14:paraId="068AB106">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7.故意涂改公司文件或以公司名义谋私利，损害公司荣誉和利益的行为。</w:t>
      </w:r>
    </w:p>
    <w:p w14:paraId="6F5ACBDD">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8.私自侵占、挪用公司财物，损坏公司重要设备或资产的行为。</w:t>
      </w:r>
    </w:p>
    <w:p w14:paraId="201A4D1E">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9.破坏团队和谐，故意挑拨员工之间关系，对同事恶意侮辱、陷害、制造事端的行为。</w:t>
      </w:r>
    </w:p>
    <w:p w14:paraId="78609CD7">
      <w:pPr>
        <w:spacing w:line="360" w:lineRule="auto"/>
        <w:ind w:firstLine="480" w:firstLineChars="2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10.妄议集团经营、管理、决策部署、会议决议，对正当行使职权的执法部门、员工进行设置障碍、诋毁、恶意侮辱的行为。</w:t>
      </w:r>
    </w:p>
    <w:p w14:paraId="0522F6D3">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Cs w:val="28"/>
          <w:highlight w:val="none"/>
        </w:rPr>
        <w:t>11.其他违反法律或者甲方公司相关制度的行为。</w:t>
      </w:r>
    </w:p>
    <w:p w14:paraId="253BFD40">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（以下无正文）</w:t>
      </w:r>
    </w:p>
    <w:p w14:paraId="19D703CA">
      <w:pPr>
        <w:autoSpaceDN w:val="0"/>
        <w:spacing w:line="360" w:lineRule="auto"/>
        <w:ind w:firstLine="480" w:firstLineChars="200"/>
        <w:rPr>
          <w:rFonts w:hint="eastAsia" w:asciiTheme="minorEastAsia" w:hAnsiTheme="minorEastAsia" w:eastAsiaTheme="minorEastAsia" w:cstheme="minorEastAsia"/>
          <w:color w:val="auto"/>
          <w:szCs w:val="28"/>
          <w:highlight w:val="none"/>
        </w:rPr>
      </w:pPr>
    </w:p>
    <w:p w14:paraId="6DE552CB">
      <w:pPr>
        <w:spacing w:line="360" w:lineRule="auto"/>
        <w:ind w:left="6960" w:hanging="6960" w:hangingChars="290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甲方（盖章）：</w:t>
      </w:r>
      <w:r>
        <w:rPr>
          <w:rFonts w:hint="eastAsia" w:asciiTheme="minorEastAsia" w:hAnsiTheme="minorEastAsia" w:eastAsiaTheme="minorEastAsia" w:cstheme="minorEastAsia"/>
          <w:color w:val="auto"/>
          <w:szCs w:val="28"/>
          <w:highlight w:val="none"/>
          <w:lang w:val="en-US" w:eastAsia="zh-CN"/>
        </w:rPr>
        <w:t xml:space="preserve">洛阳浩德鑫置地有限公司      </w:t>
      </w:r>
      <w:r>
        <w:rPr>
          <w:rFonts w:hint="eastAsia" w:asciiTheme="minorEastAsia" w:hAnsiTheme="minorEastAsia" w:eastAsiaTheme="minorEastAsia" w:cstheme="minorEastAsia"/>
          <w:color w:val="auto"/>
          <w:szCs w:val="28"/>
          <w:highlight w:val="none"/>
        </w:rPr>
        <w:t xml:space="preserve"> 乙方（盖章）：</w:t>
      </w:r>
      <w:r>
        <w:rPr>
          <w:rFonts w:hint="eastAsia" w:asciiTheme="minorEastAsia" w:hAnsiTheme="minorEastAsia" w:eastAsiaTheme="minorEastAsia" w:cstheme="minorEastAsia"/>
          <w:b w:val="0"/>
          <w:bCs/>
          <w:color w:val="auto"/>
          <w:highlight w:val="none"/>
          <w:u w:val="single"/>
          <w:lang w:val="en-US" w:eastAsia="zh-CN"/>
        </w:rPr>
        <w:t>河南洪海实业有限公司</w:t>
      </w:r>
    </w:p>
    <w:p w14:paraId="71FC93FF">
      <w:pPr>
        <w:spacing w:line="360" w:lineRule="auto"/>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签订日期：</w:t>
      </w:r>
      <w:r>
        <w:rPr>
          <w:rFonts w:hint="eastAsia" w:asciiTheme="minorEastAsia" w:hAnsiTheme="minorEastAsia" w:eastAsiaTheme="minorEastAsia" w:cstheme="minorEastAsia"/>
          <w:color w:val="auto"/>
          <w:szCs w:val="28"/>
          <w:highlight w:val="none"/>
          <w:u w:val="single"/>
          <w:lang w:val="en-US" w:eastAsia="zh-CN"/>
        </w:rPr>
        <w:t>2025</w:t>
      </w:r>
      <w:r>
        <w:rPr>
          <w:rFonts w:hint="eastAsia" w:asciiTheme="minorEastAsia" w:hAnsiTheme="minorEastAsia" w:eastAsiaTheme="minorEastAsia" w:cstheme="minorEastAsia"/>
          <w:color w:val="auto"/>
          <w:szCs w:val="28"/>
          <w:highlight w:val="none"/>
        </w:rPr>
        <w:t>年</w:t>
      </w:r>
      <w:r>
        <w:rPr>
          <w:rFonts w:hint="eastAsia" w:asciiTheme="minorEastAsia" w:hAnsiTheme="minorEastAsia" w:eastAsiaTheme="minorEastAsia" w:cstheme="minorEastAsia"/>
          <w:color w:val="auto"/>
          <w:szCs w:val="28"/>
          <w:highlight w:val="none"/>
          <w:u w:val="single"/>
          <w:lang w:val="en-US" w:eastAsia="zh-CN"/>
        </w:rPr>
        <w:t>9</w:t>
      </w:r>
      <w:r>
        <w:rPr>
          <w:rFonts w:hint="eastAsia" w:asciiTheme="minorEastAsia" w:hAnsiTheme="minorEastAsia" w:eastAsiaTheme="minorEastAsia" w:cstheme="minorEastAsia"/>
          <w:color w:val="auto"/>
          <w:szCs w:val="28"/>
          <w:highlight w:val="none"/>
        </w:rPr>
        <w:t>月</w:t>
      </w:r>
      <w:r>
        <w:rPr>
          <w:rFonts w:hint="eastAsia" w:asciiTheme="minorEastAsia" w:hAnsiTheme="minorEastAsia" w:eastAsiaTheme="minorEastAsia" w:cstheme="minorEastAsia"/>
          <w:color w:val="auto"/>
          <w:szCs w:val="28"/>
          <w:highlight w:val="none"/>
          <w:u w:val="single"/>
          <w:lang w:val="en-US" w:eastAsia="zh-CN"/>
        </w:rPr>
        <w:t xml:space="preserve">   </w:t>
      </w:r>
      <w:r>
        <w:rPr>
          <w:rFonts w:hint="eastAsia" w:asciiTheme="minorEastAsia" w:hAnsiTheme="minorEastAsia" w:eastAsiaTheme="minorEastAsia" w:cstheme="minorEastAsia"/>
          <w:color w:val="auto"/>
          <w:szCs w:val="28"/>
          <w:highlight w:val="none"/>
        </w:rPr>
        <w:t xml:space="preserve">日           </w:t>
      </w:r>
      <w:r>
        <w:rPr>
          <w:rFonts w:hint="eastAsia" w:asciiTheme="minorEastAsia" w:hAnsiTheme="minorEastAsia" w:eastAsiaTheme="minorEastAsia" w:cstheme="minorEastAsia"/>
          <w:color w:val="auto"/>
          <w:szCs w:val="28"/>
          <w:highlight w:val="none"/>
          <w:lang w:val="en-US" w:eastAsia="zh-CN"/>
        </w:rPr>
        <w:t xml:space="preserve">    </w:t>
      </w:r>
      <w:r>
        <w:rPr>
          <w:rFonts w:hint="eastAsia" w:asciiTheme="minorEastAsia" w:hAnsiTheme="minorEastAsia" w:eastAsiaTheme="minorEastAsia" w:cstheme="minorEastAsia"/>
          <w:color w:val="auto"/>
          <w:szCs w:val="28"/>
          <w:highlight w:val="none"/>
        </w:rPr>
        <w:t xml:space="preserve">  签订日期：</w:t>
      </w:r>
      <w:r>
        <w:rPr>
          <w:rFonts w:hint="eastAsia" w:asciiTheme="minorEastAsia" w:hAnsiTheme="minorEastAsia" w:eastAsiaTheme="minorEastAsia" w:cstheme="minorEastAsia"/>
          <w:color w:val="auto"/>
          <w:szCs w:val="28"/>
          <w:highlight w:val="none"/>
          <w:u w:val="single"/>
          <w:lang w:val="en-US" w:eastAsia="zh-CN"/>
        </w:rPr>
        <w:t>2025</w:t>
      </w:r>
      <w:r>
        <w:rPr>
          <w:rFonts w:hint="eastAsia" w:asciiTheme="minorEastAsia" w:hAnsiTheme="minorEastAsia" w:eastAsiaTheme="minorEastAsia" w:cstheme="minorEastAsia"/>
          <w:color w:val="auto"/>
          <w:szCs w:val="28"/>
          <w:highlight w:val="none"/>
        </w:rPr>
        <w:t>年</w:t>
      </w:r>
      <w:r>
        <w:rPr>
          <w:rFonts w:hint="eastAsia" w:asciiTheme="minorEastAsia" w:hAnsiTheme="minorEastAsia" w:eastAsiaTheme="minorEastAsia" w:cstheme="minorEastAsia"/>
          <w:color w:val="auto"/>
          <w:szCs w:val="28"/>
          <w:highlight w:val="none"/>
          <w:u w:val="single"/>
          <w:lang w:val="en-US" w:eastAsia="zh-CN"/>
        </w:rPr>
        <w:t>9</w:t>
      </w:r>
      <w:r>
        <w:rPr>
          <w:rFonts w:hint="eastAsia" w:asciiTheme="minorEastAsia" w:hAnsiTheme="minorEastAsia" w:eastAsiaTheme="minorEastAsia" w:cstheme="minorEastAsia"/>
          <w:color w:val="auto"/>
          <w:szCs w:val="28"/>
          <w:highlight w:val="none"/>
        </w:rPr>
        <w:t>月</w:t>
      </w:r>
      <w:r>
        <w:rPr>
          <w:rFonts w:hint="eastAsia" w:asciiTheme="minorEastAsia" w:hAnsiTheme="minorEastAsia" w:eastAsiaTheme="minorEastAsia" w:cstheme="minorEastAsia"/>
          <w:color w:val="auto"/>
          <w:szCs w:val="28"/>
          <w:highlight w:val="none"/>
          <w:u w:val="single"/>
          <w:lang w:val="en-US" w:eastAsia="zh-CN"/>
        </w:rPr>
        <w:t xml:space="preserve">    </w:t>
      </w:r>
      <w:r>
        <w:rPr>
          <w:rFonts w:hint="eastAsia" w:asciiTheme="minorEastAsia" w:hAnsiTheme="minorEastAsia" w:eastAsiaTheme="minorEastAsia" w:cstheme="minorEastAsia"/>
          <w:color w:val="auto"/>
          <w:szCs w:val="28"/>
          <w:highlight w:val="none"/>
        </w:rPr>
        <w:t xml:space="preserve">日  </w:t>
      </w:r>
    </w:p>
    <w:p w14:paraId="66081B01">
      <w:pPr>
        <w:pStyle w:val="54"/>
        <w:spacing w:line="360" w:lineRule="auto"/>
        <w:rPr>
          <w:rFonts w:hint="eastAsia" w:asciiTheme="minorEastAsia" w:hAnsiTheme="minorEastAsia" w:eastAsiaTheme="minorEastAsia" w:cstheme="minorEastAsia"/>
          <w:bCs/>
          <w:color w:val="auto"/>
          <w:szCs w:val="28"/>
          <w:highlight w:val="none"/>
        </w:rPr>
      </w:pPr>
    </w:p>
    <w:p w14:paraId="0E87981A">
      <w:pPr>
        <w:tabs>
          <w:tab w:val="left" w:pos="6587"/>
        </w:tabs>
        <w:spacing w:line="360" w:lineRule="auto"/>
        <w:jc w:val="left"/>
        <w:rPr>
          <w:rFonts w:hint="eastAsia" w:asciiTheme="minorEastAsia" w:hAnsiTheme="minorEastAsia" w:eastAsiaTheme="minorEastAsia" w:cstheme="minorEastAsia"/>
          <w:color w:val="auto"/>
          <w:highlight w:val="none"/>
        </w:rPr>
      </w:pPr>
    </w:p>
    <w:p w14:paraId="69B30E56">
      <w:pPr>
        <w:tabs>
          <w:tab w:val="left" w:pos="6587"/>
        </w:tabs>
        <w:spacing w:line="360" w:lineRule="auto"/>
        <w:jc w:val="left"/>
        <w:rPr>
          <w:rFonts w:hint="eastAsia" w:asciiTheme="minorEastAsia" w:hAnsiTheme="minorEastAsia" w:eastAsiaTheme="minorEastAsia" w:cstheme="minorEastAsia"/>
          <w:color w:val="auto"/>
          <w:highlight w:val="none"/>
        </w:rPr>
      </w:pPr>
    </w:p>
    <w:p w14:paraId="695983D2">
      <w:pPr>
        <w:tabs>
          <w:tab w:val="left" w:pos="6587"/>
        </w:tabs>
        <w:spacing w:line="360" w:lineRule="auto"/>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ab/>
      </w:r>
    </w:p>
    <w:p w14:paraId="04589239">
      <w:pPr>
        <w:pStyle w:val="54"/>
        <w:spacing w:line="360" w:lineRule="auto"/>
        <w:rPr>
          <w:rFonts w:hint="eastAsia" w:asciiTheme="minorEastAsia" w:hAnsiTheme="minorEastAsia" w:eastAsiaTheme="minorEastAsia" w:cstheme="minorEastAsia"/>
          <w:bCs/>
          <w:color w:val="auto"/>
          <w:szCs w:val="28"/>
          <w:highlight w:val="none"/>
        </w:rPr>
      </w:pPr>
      <w:r>
        <w:rPr>
          <w:rFonts w:hint="eastAsia" w:asciiTheme="minorEastAsia" w:hAnsiTheme="minorEastAsia" w:eastAsiaTheme="minorEastAsia" w:cstheme="minorEastAsia"/>
          <w:bCs/>
          <w:color w:val="auto"/>
          <w:szCs w:val="28"/>
          <w:highlight w:val="none"/>
        </w:rPr>
        <w:t>附件二、《乙方派驻本工程人员名单表》</w:t>
      </w:r>
    </w:p>
    <w:tbl>
      <w:tblPr>
        <w:tblStyle w:val="47"/>
        <w:tblW w:w="900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4"/>
        <w:gridCol w:w="1315"/>
        <w:gridCol w:w="1152"/>
        <w:gridCol w:w="1584"/>
        <w:gridCol w:w="1132"/>
        <w:gridCol w:w="1229"/>
        <w:gridCol w:w="1744"/>
      </w:tblGrid>
      <w:tr w14:paraId="4A4A76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9000" w:type="dxa"/>
            <w:gridSpan w:val="7"/>
            <w:vAlign w:val="center"/>
          </w:tcPr>
          <w:p w14:paraId="5BAFE637">
            <w:pPr>
              <w:pStyle w:val="101"/>
              <w:spacing w:before="132" w:line="360" w:lineRule="auto"/>
              <w:ind w:left="39"/>
              <w:jc w:val="center"/>
              <w:rPr>
                <w:rFonts w:hint="eastAsia"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b/>
                <w:color w:val="auto"/>
                <w:kern w:val="0"/>
                <w:szCs w:val="20"/>
                <w:highlight w:val="none"/>
                <w:lang w:val="en-US" w:bidi="ar-SA"/>
              </w:rPr>
              <w:t>《</w:t>
            </w:r>
            <w:r>
              <w:rPr>
                <w:rFonts w:hint="eastAsia" w:asciiTheme="minorEastAsia" w:hAnsiTheme="minorEastAsia" w:eastAsiaTheme="minorEastAsia" w:cstheme="minorEastAsia"/>
                <w:b/>
                <w:bCs/>
                <w:color w:val="auto"/>
                <w:szCs w:val="28"/>
                <w:highlight w:val="none"/>
              </w:rPr>
              <w:t>乙方派驻本工程</w:t>
            </w:r>
            <w:r>
              <w:rPr>
                <w:rFonts w:hint="eastAsia" w:asciiTheme="minorEastAsia" w:hAnsiTheme="minorEastAsia" w:eastAsiaTheme="minorEastAsia" w:cstheme="minorEastAsia"/>
                <w:b/>
                <w:bCs/>
                <w:color w:val="auto"/>
                <w:szCs w:val="28"/>
                <w:highlight w:val="none"/>
                <w:lang w:val="en-US"/>
              </w:rPr>
              <w:t>人员名单表</w:t>
            </w:r>
            <w:r>
              <w:rPr>
                <w:rFonts w:hint="eastAsia" w:asciiTheme="minorEastAsia" w:hAnsiTheme="minorEastAsia" w:eastAsiaTheme="minorEastAsia" w:cstheme="minorEastAsia"/>
                <w:b/>
                <w:color w:val="auto"/>
                <w:kern w:val="0"/>
                <w:szCs w:val="20"/>
                <w:highlight w:val="none"/>
                <w:lang w:val="en-US" w:bidi="ar-SA"/>
              </w:rPr>
              <w:t>》</w:t>
            </w:r>
          </w:p>
        </w:tc>
      </w:tr>
      <w:tr w14:paraId="2FA62B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6" w:hRule="atLeast"/>
          <w:jc w:val="center"/>
        </w:trPr>
        <w:tc>
          <w:tcPr>
            <w:tcW w:w="844" w:type="dxa"/>
            <w:vAlign w:val="center"/>
          </w:tcPr>
          <w:p w14:paraId="6E1FB925">
            <w:pPr>
              <w:pStyle w:val="101"/>
              <w:spacing w:before="132" w:line="360" w:lineRule="auto"/>
              <w:ind w:left="51" w:right="44"/>
              <w:jc w:val="center"/>
              <w:rPr>
                <w:rFonts w:hint="eastAsia"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color w:val="auto"/>
                <w:kern w:val="0"/>
                <w:szCs w:val="24"/>
                <w:highlight w:val="none"/>
                <w:lang w:val="en-US" w:bidi="ar-SA"/>
              </w:rPr>
              <w:t>序号</w:t>
            </w:r>
          </w:p>
        </w:tc>
        <w:tc>
          <w:tcPr>
            <w:tcW w:w="1315" w:type="dxa"/>
            <w:vAlign w:val="center"/>
          </w:tcPr>
          <w:p w14:paraId="52EE02F8">
            <w:pPr>
              <w:pStyle w:val="101"/>
              <w:spacing w:before="132" w:line="360" w:lineRule="auto"/>
              <w:ind w:right="167"/>
              <w:jc w:val="center"/>
              <w:rPr>
                <w:rFonts w:hint="eastAsia"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color w:val="auto"/>
                <w:kern w:val="0"/>
                <w:szCs w:val="24"/>
                <w:highlight w:val="none"/>
                <w:lang w:val="en-US" w:bidi="ar-SA"/>
              </w:rPr>
              <w:t>专业</w:t>
            </w:r>
          </w:p>
        </w:tc>
        <w:tc>
          <w:tcPr>
            <w:tcW w:w="1152" w:type="dxa"/>
            <w:vAlign w:val="center"/>
          </w:tcPr>
          <w:p w14:paraId="04CE3E0E">
            <w:pPr>
              <w:pStyle w:val="101"/>
              <w:spacing w:before="132" w:line="360" w:lineRule="auto"/>
              <w:ind w:left="201" w:right="178"/>
              <w:jc w:val="center"/>
              <w:rPr>
                <w:rFonts w:hint="eastAsia"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color w:val="auto"/>
                <w:kern w:val="0"/>
                <w:szCs w:val="24"/>
                <w:highlight w:val="none"/>
                <w:lang w:val="en-US" w:bidi="ar-SA"/>
              </w:rPr>
              <w:t>姓名</w:t>
            </w:r>
          </w:p>
        </w:tc>
        <w:tc>
          <w:tcPr>
            <w:tcW w:w="1584" w:type="dxa"/>
            <w:vAlign w:val="center"/>
          </w:tcPr>
          <w:p w14:paraId="1372CD23">
            <w:pPr>
              <w:pStyle w:val="101"/>
              <w:spacing w:before="132" w:line="360" w:lineRule="auto"/>
              <w:ind w:left="41" w:right="31"/>
              <w:jc w:val="center"/>
              <w:rPr>
                <w:rFonts w:hint="eastAsia"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color w:val="auto"/>
                <w:kern w:val="0"/>
                <w:szCs w:val="24"/>
                <w:highlight w:val="none"/>
                <w:lang w:val="en-US" w:bidi="ar-SA"/>
              </w:rPr>
              <w:t>职称</w:t>
            </w:r>
          </w:p>
        </w:tc>
        <w:tc>
          <w:tcPr>
            <w:tcW w:w="1132" w:type="dxa"/>
            <w:vAlign w:val="center"/>
          </w:tcPr>
          <w:p w14:paraId="5DAD64DF">
            <w:pPr>
              <w:pStyle w:val="101"/>
              <w:spacing w:before="132" w:line="360" w:lineRule="auto"/>
              <w:ind w:right="95"/>
              <w:jc w:val="center"/>
              <w:rPr>
                <w:rFonts w:hint="eastAsia"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color w:val="auto"/>
                <w:kern w:val="0"/>
                <w:szCs w:val="24"/>
                <w:highlight w:val="none"/>
                <w:lang w:val="en-US" w:bidi="ar-SA"/>
              </w:rPr>
              <w:t>学历</w:t>
            </w:r>
          </w:p>
        </w:tc>
        <w:tc>
          <w:tcPr>
            <w:tcW w:w="1229" w:type="dxa"/>
            <w:vAlign w:val="center"/>
          </w:tcPr>
          <w:p w14:paraId="30BDA3C1">
            <w:pPr>
              <w:pStyle w:val="101"/>
              <w:spacing w:before="132" w:line="360" w:lineRule="auto"/>
              <w:ind w:left="189" w:right="183"/>
              <w:jc w:val="center"/>
              <w:rPr>
                <w:rFonts w:hint="eastAsia"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color w:val="auto"/>
                <w:kern w:val="0"/>
                <w:szCs w:val="24"/>
                <w:highlight w:val="none"/>
                <w:lang w:val="en-US" w:bidi="ar-SA"/>
              </w:rPr>
              <w:t>工作年限</w:t>
            </w:r>
          </w:p>
        </w:tc>
        <w:tc>
          <w:tcPr>
            <w:tcW w:w="1744" w:type="dxa"/>
            <w:vAlign w:val="center"/>
          </w:tcPr>
          <w:p w14:paraId="59D116CE">
            <w:pPr>
              <w:pStyle w:val="101"/>
              <w:spacing w:before="132" w:line="360" w:lineRule="auto"/>
              <w:ind w:left="39"/>
              <w:jc w:val="center"/>
              <w:rPr>
                <w:rFonts w:hint="eastAsia"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color w:val="auto"/>
                <w:kern w:val="0"/>
                <w:szCs w:val="24"/>
                <w:highlight w:val="none"/>
                <w:lang w:val="en-US" w:bidi="ar-SA"/>
              </w:rPr>
              <w:t>担任本工程</w:t>
            </w:r>
          </w:p>
          <w:p w14:paraId="7F3F9B4D">
            <w:pPr>
              <w:pStyle w:val="101"/>
              <w:spacing w:before="132" w:line="360" w:lineRule="auto"/>
              <w:ind w:left="39"/>
              <w:jc w:val="center"/>
              <w:rPr>
                <w:rFonts w:hint="eastAsia" w:asciiTheme="minorEastAsia" w:hAnsiTheme="minorEastAsia" w:eastAsiaTheme="minorEastAsia" w:cstheme="minorEastAsia"/>
                <w:color w:val="auto"/>
                <w:kern w:val="0"/>
                <w:szCs w:val="24"/>
                <w:highlight w:val="none"/>
                <w:lang w:val="en-US" w:bidi="ar-SA"/>
              </w:rPr>
            </w:pPr>
            <w:r>
              <w:rPr>
                <w:rFonts w:hint="eastAsia" w:asciiTheme="minorEastAsia" w:hAnsiTheme="minorEastAsia" w:eastAsiaTheme="minorEastAsia" w:cstheme="minorEastAsia"/>
                <w:color w:val="auto"/>
                <w:kern w:val="0"/>
                <w:szCs w:val="24"/>
                <w:highlight w:val="none"/>
                <w:lang w:val="en-US" w:bidi="ar-SA"/>
              </w:rPr>
              <w:t>的职务</w:t>
            </w:r>
          </w:p>
        </w:tc>
      </w:tr>
      <w:tr w14:paraId="6EDBE1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844" w:type="dxa"/>
            <w:vAlign w:val="center"/>
          </w:tcPr>
          <w:p w14:paraId="0914F3AB">
            <w:pPr>
              <w:spacing w:line="360" w:lineRule="auto"/>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bidi="ar"/>
              </w:rPr>
              <w:t>1</w:t>
            </w:r>
          </w:p>
        </w:tc>
        <w:tc>
          <w:tcPr>
            <w:tcW w:w="1315" w:type="dxa"/>
            <w:vAlign w:val="center"/>
          </w:tcPr>
          <w:p w14:paraId="00BBE80C">
            <w:pPr>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cs="宋体"/>
                <w:color w:val="auto"/>
                <w:szCs w:val="24"/>
                <w:highlight w:val="none"/>
              </w:rPr>
              <w:t>建筑工程</w:t>
            </w:r>
          </w:p>
        </w:tc>
        <w:tc>
          <w:tcPr>
            <w:tcW w:w="1152" w:type="dxa"/>
            <w:shd w:val="clear" w:color="auto" w:fill="auto"/>
            <w:vAlign w:val="center"/>
          </w:tcPr>
          <w:p w14:paraId="7F196A7C">
            <w:pPr>
              <w:adjustRightInd w:val="0"/>
              <w:snapToGrid w:val="0"/>
              <w:spacing w:line="240" w:lineRule="auto"/>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杨新兴</w:t>
            </w:r>
          </w:p>
        </w:tc>
        <w:tc>
          <w:tcPr>
            <w:tcW w:w="1584" w:type="dxa"/>
            <w:shd w:val="clear" w:color="auto" w:fill="auto"/>
            <w:vAlign w:val="center"/>
          </w:tcPr>
          <w:p w14:paraId="1EE70193">
            <w:pPr>
              <w:adjustRightInd w:val="0"/>
              <w:snapToGrid w:val="0"/>
              <w:spacing w:line="240" w:lineRule="auto"/>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工程师</w:t>
            </w:r>
          </w:p>
        </w:tc>
        <w:tc>
          <w:tcPr>
            <w:tcW w:w="1132" w:type="dxa"/>
            <w:shd w:val="clear" w:color="auto" w:fill="auto"/>
            <w:vAlign w:val="center"/>
          </w:tcPr>
          <w:p w14:paraId="2F998D48">
            <w:pPr>
              <w:widowControl/>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eastAsia="zh-CN"/>
              </w:rPr>
              <w:t>大专</w:t>
            </w:r>
          </w:p>
        </w:tc>
        <w:tc>
          <w:tcPr>
            <w:tcW w:w="1229" w:type="dxa"/>
            <w:shd w:val="clear" w:color="auto" w:fill="auto"/>
            <w:vAlign w:val="center"/>
          </w:tcPr>
          <w:p w14:paraId="3D811254">
            <w:pPr>
              <w:widowControl/>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13年</w:t>
            </w:r>
          </w:p>
        </w:tc>
        <w:tc>
          <w:tcPr>
            <w:tcW w:w="1744" w:type="dxa"/>
            <w:shd w:val="clear" w:color="auto" w:fill="auto"/>
            <w:vAlign w:val="center"/>
          </w:tcPr>
          <w:p w14:paraId="249CCADE">
            <w:pPr>
              <w:adjustRightInd w:val="0"/>
              <w:snapToGrid w:val="0"/>
              <w:spacing w:line="240" w:lineRule="auto"/>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项目经理</w:t>
            </w:r>
          </w:p>
        </w:tc>
      </w:tr>
      <w:tr w14:paraId="0EEB42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844" w:type="dxa"/>
            <w:vAlign w:val="center"/>
          </w:tcPr>
          <w:p w14:paraId="6286AB82">
            <w:pPr>
              <w:spacing w:line="360" w:lineRule="auto"/>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bidi="ar"/>
              </w:rPr>
              <w:t>2</w:t>
            </w:r>
          </w:p>
        </w:tc>
        <w:tc>
          <w:tcPr>
            <w:tcW w:w="1315" w:type="dxa"/>
          </w:tcPr>
          <w:p w14:paraId="2B292840">
            <w:pPr>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cs="宋体"/>
                <w:color w:val="auto"/>
                <w:szCs w:val="24"/>
                <w:highlight w:val="none"/>
              </w:rPr>
              <w:t>建筑工程</w:t>
            </w:r>
          </w:p>
        </w:tc>
        <w:tc>
          <w:tcPr>
            <w:tcW w:w="1152" w:type="dxa"/>
            <w:shd w:val="clear" w:color="auto" w:fill="auto"/>
            <w:vAlign w:val="center"/>
          </w:tcPr>
          <w:p w14:paraId="6FFE48C2">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等线"/>
                <w:color w:val="auto"/>
                <w:sz w:val="24"/>
                <w:szCs w:val="24"/>
                <w:highlight w:val="none"/>
                <w:lang w:val="en-US" w:eastAsia="zh-CN"/>
              </w:rPr>
              <w:t>娄春伟</w:t>
            </w:r>
          </w:p>
        </w:tc>
        <w:tc>
          <w:tcPr>
            <w:tcW w:w="1584" w:type="dxa"/>
            <w:shd w:val="clear" w:color="auto" w:fill="auto"/>
            <w:vAlign w:val="center"/>
          </w:tcPr>
          <w:p w14:paraId="59192E2A">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助理</w:t>
            </w:r>
            <w:r>
              <w:rPr>
                <w:rFonts w:hint="eastAsia" w:ascii="宋体" w:hAnsi="宋体" w:eastAsia="宋体" w:cs="宋体"/>
                <w:color w:val="auto"/>
                <w:sz w:val="24"/>
                <w:szCs w:val="24"/>
                <w:highlight w:val="none"/>
              </w:rPr>
              <w:t>工程师</w:t>
            </w:r>
          </w:p>
        </w:tc>
        <w:tc>
          <w:tcPr>
            <w:tcW w:w="1132" w:type="dxa"/>
            <w:shd w:val="clear" w:color="auto" w:fill="auto"/>
            <w:vAlign w:val="center"/>
          </w:tcPr>
          <w:p w14:paraId="5B6476D2">
            <w:pPr>
              <w:widowControl/>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eastAsia="zh-CN"/>
              </w:rPr>
              <w:t>大专</w:t>
            </w:r>
          </w:p>
        </w:tc>
        <w:tc>
          <w:tcPr>
            <w:tcW w:w="1229" w:type="dxa"/>
            <w:shd w:val="clear" w:color="auto" w:fill="auto"/>
            <w:vAlign w:val="center"/>
          </w:tcPr>
          <w:p w14:paraId="38430EE8">
            <w:pPr>
              <w:widowControl/>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12年</w:t>
            </w:r>
          </w:p>
        </w:tc>
        <w:tc>
          <w:tcPr>
            <w:tcW w:w="1744" w:type="dxa"/>
            <w:shd w:val="clear" w:color="auto" w:fill="auto"/>
            <w:vAlign w:val="center"/>
          </w:tcPr>
          <w:p w14:paraId="4F9F9D25">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技术负责人</w:t>
            </w:r>
          </w:p>
        </w:tc>
      </w:tr>
      <w:tr w14:paraId="5F3EC6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844" w:type="dxa"/>
            <w:vAlign w:val="center"/>
          </w:tcPr>
          <w:p w14:paraId="428C4680">
            <w:pPr>
              <w:spacing w:line="360" w:lineRule="auto"/>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bidi="ar"/>
              </w:rPr>
              <w:t>3</w:t>
            </w:r>
          </w:p>
        </w:tc>
        <w:tc>
          <w:tcPr>
            <w:tcW w:w="1315" w:type="dxa"/>
          </w:tcPr>
          <w:p w14:paraId="516E2E97">
            <w:pPr>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cs="宋体"/>
                <w:color w:val="auto"/>
                <w:szCs w:val="24"/>
                <w:highlight w:val="none"/>
              </w:rPr>
              <w:t>建筑工程</w:t>
            </w:r>
          </w:p>
        </w:tc>
        <w:tc>
          <w:tcPr>
            <w:tcW w:w="1152" w:type="dxa"/>
            <w:shd w:val="clear" w:color="auto" w:fill="auto"/>
            <w:vAlign w:val="center"/>
          </w:tcPr>
          <w:p w14:paraId="30FE8EDC">
            <w:pPr>
              <w:jc w:val="center"/>
              <w:rPr>
                <w:rFonts w:hint="eastAsia"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张永涛</w:t>
            </w:r>
          </w:p>
        </w:tc>
        <w:tc>
          <w:tcPr>
            <w:tcW w:w="1584" w:type="dxa"/>
            <w:shd w:val="clear" w:color="auto" w:fill="auto"/>
            <w:vAlign w:val="center"/>
          </w:tcPr>
          <w:p w14:paraId="1DA618F3">
            <w:pPr>
              <w:adjustRightInd w:val="0"/>
              <w:snapToGrid w:val="0"/>
              <w:spacing w:line="240" w:lineRule="auto"/>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无</w:t>
            </w:r>
          </w:p>
        </w:tc>
        <w:tc>
          <w:tcPr>
            <w:tcW w:w="1132" w:type="dxa"/>
            <w:shd w:val="clear" w:color="auto" w:fill="auto"/>
            <w:vAlign w:val="center"/>
          </w:tcPr>
          <w:p w14:paraId="009AC58F">
            <w:pPr>
              <w:widowControl/>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eastAsia="zh-CN"/>
              </w:rPr>
              <w:t>大专</w:t>
            </w:r>
          </w:p>
        </w:tc>
        <w:tc>
          <w:tcPr>
            <w:tcW w:w="1229" w:type="dxa"/>
            <w:shd w:val="clear" w:color="auto" w:fill="auto"/>
            <w:vAlign w:val="center"/>
          </w:tcPr>
          <w:p w14:paraId="48881C64">
            <w:pPr>
              <w:widowControl/>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15</w:t>
            </w:r>
            <w:r>
              <w:rPr>
                <w:rFonts w:hint="eastAsia" w:ascii="宋体" w:hAnsi="宋体" w:eastAsia="宋体" w:cs="宋体"/>
                <w:color w:val="auto"/>
                <w:sz w:val="24"/>
                <w:szCs w:val="24"/>
                <w:highlight w:val="none"/>
                <w:lang w:val="en-US" w:eastAsia="zh-CN"/>
              </w:rPr>
              <w:t>年</w:t>
            </w:r>
          </w:p>
        </w:tc>
        <w:tc>
          <w:tcPr>
            <w:tcW w:w="1744" w:type="dxa"/>
            <w:shd w:val="clear" w:color="auto" w:fill="auto"/>
            <w:vAlign w:val="center"/>
          </w:tcPr>
          <w:p w14:paraId="687E7786">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施工员</w:t>
            </w:r>
          </w:p>
        </w:tc>
      </w:tr>
      <w:tr w14:paraId="439736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844" w:type="dxa"/>
            <w:vAlign w:val="center"/>
          </w:tcPr>
          <w:p w14:paraId="1B1DF6BA">
            <w:pPr>
              <w:spacing w:line="360" w:lineRule="auto"/>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bidi="ar"/>
              </w:rPr>
              <w:t>4</w:t>
            </w:r>
          </w:p>
        </w:tc>
        <w:tc>
          <w:tcPr>
            <w:tcW w:w="1315" w:type="dxa"/>
          </w:tcPr>
          <w:p w14:paraId="49FF89D3">
            <w:pPr>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cs="宋体"/>
                <w:color w:val="auto"/>
                <w:szCs w:val="24"/>
                <w:highlight w:val="none"/>
              </w:rPr>
              <w:t>建筑工程</w:t>
            </w:r>
          </w:p>
        </w:tc>
        <w:tc>
          <w:tcPr>
            <w:tcW w:w="1152" w:type="dxa"/>
            <w:shd w:val="clear" w:color="auto" w:fill="auto"/>
            <w:vAlign w:val="center"/>
          </w:tcPr>
          <w:p w14:paraId="48426F85">
            <w:pPr>
              <w:jc w:val="center"/>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娄明辉</w:t>
            </w:r>
          </w:p>
        </w:tc>
        <w:tc>
          <w:tcPr>
            <w:tcW w:w="1584" w:type="dxa"/>
            <w:shd w:val="clear" w:color="auto" w:fill="auto"/>
            <w:vAlign w:val="center"/>
          </w:tcPr>
          <w:p w14:paraId="5ADECD31">
            <w:pPr>
              <w:adjustRightInd w:val="0"/>
              <w:snapToGrid w:val="0"/>
              <w:spacing w:line="240" w:lineRule="auto"/>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无</w:t>
            </w:r>
          </w:p>
        </w:tc>
        <w:tc>
          <w:tcPr>
            <w:tcW w:w="1132" w:type="dxa"/>
            <w:shd w:val="clear" w:color="auto" w:fill="auto"/>
            <w:vAlign w:val="center"/>
          </w:tcPr>
          <w:p w14:paraId="1290142A">
            <w:pPr>
              <w:widowControl/>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eastAsia="zh-CN"/>
              </w:rPr>
              <w:t>大专</w:t>
            </w:r>
          </w:p>
        </w:tc>
        <w:tc>
          <w:tcPr>
            <w:tcW w:w="1229" w:type="dxa"/>
            <w:shd w:val="clear" w:color="auto" w:fill="auto"/>
            <w:vAlign w:val="center"/>
          </w:tcPr>
          <w:p w14:paraId="303019F2">
            <w:pPr>
              <w:widowControl/>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lang w:val="en-US" w:eastAsia="zh-CN"/>
              </w:rPr>
              <w:t>年</w:t>
            </w:r>
          </w:p>
        </w:tc>
        <w:tc>
          <w:tcPr>
            <w:tcW w:w="1744" w:type="dxa"/>
            <w:shd w:val="clear" w:color="auto" w:fill="auto"/>
            <w:vAlign w:val="center"/>
          </w:tcPr>
          <w:p w14:paraId="2D1D4534">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质量员</w:t>
            </w:r>
          </w:p>
        </w:tc>
      </w:tr>
      <w:tr w14:paraId="739D21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844" w:type="dxa"/>
            <w:vAlign w:val="center"/>
          </w:tcPr>
          <w:p w14:paraId="7C4E98B3">
            <w:pPr>
              <w:spacing w:line="360" w:lineRule="auto"/>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bidi="ar"/>
              </w:rPr>
              <w:t>5</w:t>
            </w:r>
          </w:p>
        </w:tc>
        <w:tc>
          <w:tcPr>
            <w:tcW w:w="1315" w:type="dxa"/>
          </w:tcPr>
          <w:p w14:paraId="13922555">
            <w:pPr>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cs="宋体"/>
                <w:color w:val="auto"/>
                <w:szCs w:val="24"/>
                <w:highlight w:val="none"/>
              </w:rPr>
              <w:t>建筑工程</w:t>
            </w:r>
          </w:p>
        </w:tc>
        <w:tc>
          <w:tcPr>
            <w:tcW w:w="1152" w:type="dxa"/>
            <w:shd w:val="clear" w:color="auto" w:fill="auto"/>
            <w:vAlign w:val="center"/>
          </w:tcPr>
          <w:p w14:paraId="02A5FD5C">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许聪</w:t>
            </w:r>
          </w:p>
        </w:tc>
        <w:tc>
          <w:tcPr>
            <w:tcW w:w="1584" w:type="dxa"/>
            <w:shd w:val="clear" w:color="auto" w:fill="auto"/>
            <w:vAlign w:val="center"/>
          </w:tcPr>
          <w:p w14:paraId="45E52D75">
            <w:pPr>
              <w:adjustRightInd w:val="0"/>
              <w:snapToGrid w:val="0"/>
              <w:spacing w:line="240" w:lineRule="auto"/>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无</w:t>
            </w:r>
          </w:p>
        </w:tc>
        <w:tc>
          <w:tcPr>
            <w:tcW w:w="1132" w:type="dxa"/>
            <w:shd w:val="clear" w:color="auto" w:fill="auto"/>
            <w:vAlign w:val="center"/>
          </w:tcPr>
          <w:p w14:paraId="51E3F167">
            <w:pPr>
              <w:widowControl/>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eastAsia="zh-CN"/>
              </w:rPr>
              <w:t>大专</w:t>
            </w:r>
          </w:p>
        </w:tc>
        <w:tc>
          <w:tcPr>
            <w:tcW w:w="1229" w:type="dxa"/>
            <w:shd w:val="clear" w:color="auto" w:fill="auto"/>
            <w:vAlign w:val="center"/>
          </w:tcPr>
          <w:p w14:paraId="1EB36787">
            <w:pPr>
              <w:widowControl/>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14年</w:t>
            </w:r>
          </w:p>
        </w:tc>
        <w:tc>
          <w:tcPr>
            <w:tcW w:w="1744" w:type="dxa"/>
            <w:shd w:val="clear" w:color="auto" w:fill="auto"/>
            <w:vAlign w:val="center"/>
          </w:tcPr>
          <w:p w14:paraId="0ACAB975">
            <w:pPr>
              <w:spacing w:line="44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专职安全员</w:t>
            </w:r>
          </w:p>
        </w:tc>
      </w:tr>
      <w:tr w14:paraId="6BC393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844" w:type="dxa"/>
            <w:vAlign w:val="center"/>
          </w:tcPr>
          <w:p w14:paraId="460BE005">
            <w:pPr>
              <w:spacing w:line="360" w:lineRule="auto"/>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bidi="ar"/>
              </w:rPr>
              <w:t>6</w:t>
            </w:r>
          </w:p>
        </w:tc>
        <w:tc>
          <w:tcPr>
            <w:tcW w:w="1315" w:type="dxa"/>
          </w:tcPr>
          <w:p w14:paraId="5D42A2F5">
            <w:pPr>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cs="宋体"/>
                <w:color w:val="auto"/>
                <w:szCs w:val="24"/>
                <w:highlight w:val="none"/>
              </w:rPr>
              <w:t>建筑工程</w:t>
            </w:r>
          </w:p>
        </w:tc>
        <w:tc>
          <w:tcPr>
            <w:tcW w:w="1152" w:type="dxa"/>
            <w:shd w:val="clear" w:color="auto" w:fill="auto"/>
            <w:vAlign w:val="center"/>
          </w:tcPr>
          <w:p w14:paraId="0C449F09">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苏建中</w:t>
            </w:r>
          </w:p>
        </w:tc>
        <w:tc>
          <w:tcPr>
            <w:tcW w:w="1584" w:type="dxa"/>
            <w:shd w:val="clear" w:color="auto" w:fill="auto"/>
            <w:vAlign w:val="center"/>
          </w:tcPr>
          <w:p w14:paraId="68976AED">
            <w:pPr>
              <w:adjustRightInd w:val="0"/>
              <w:snapToGrid w:val="0"/>
              <w:spacing w:line="240" w:lineRule="auto"/>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无</w:t>
            </w:r>
          </w:p>
        </w:tc>
        <w:tc>
          <w:tcPr>
            <w:tcW w:w="1132" w:type="dxa"/>
            <w:shd w:val="clear" w:color="auto" w:fill="auto"/>
            <w:vAlign w:val="center"/>
          </w:tcPr>
          <w:p w14:paraId="1837A0DD">
            <w:pPr>
              <w:widowControl/>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eastAsia="zh-CN"/>
              </w:rPr>
              <w:t>大专</w:t>
            </w:r>
          </w:p>
        </w:tc>
        <w:tc>
          <w:tcPr>
            <w:tcW w:w="1229" w:type="dxa"/>
            <w:shd w:val="clear" w:color="auto" w:fill="auto"/>
            <w:vAlign w:val="center"/>
          </w:tcPr>
          <w:p w14:paraId="2ED3BBFE">
            <w:pPr>
              <w:widowControl/>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15年</w:t>
            </w:r>
          </w:p>
        </w:tc>
        <w:tc>
          <w:tcPr>
            <w:tcW w:w="1744" w:type="dxa"/>
            <w:shd w:val="clear" w:color="auto" w:fill="auto"/>
            <w:vAlign w:val="center"/>
          </w:tcPr>
          <w:p w14:paraId="14FBA2A6">
            <w:pPr>
              <w:adjustRightInd w:val="0"/>
              <w:snapToGrid w:val="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预算员</w:t>
            </w:r>
          </w:p>
        </w:tc>
      </w:tr>
      <w:tr w14:paraId="34342F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844" w:type="dxa"/>
            <w:vAlign w:val="center"/>
          </w:tcPr>
          <w:p w14:paraId="1F41E229">
            <w:pPr>
              <w:spacing w:line="360" w:lineRule="auto"/>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bidi="ar"/>
              </w:rPr>
              <w:t>7</w:t>
            </w:r>
          </w:p>
        </w:tc>
        <w:tc>
          <w:tcPr>
            <w:tcW w:w="1315" w:type="dxa"/>
          </w:tcPr>
          <w:p w14:paraId="1044807A">
            <w:pPr>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cs="宋体"/>
                <w:color w:val="auto"/>
                <w:szCs w:val="24"/>
                <w:highlight w:val="none"/>
              </w:rPr>
              <w:t>建筑工程</w:t>
            </w:r>
          </w:p>
        </w:tc>
        <w:tc>
          <w:tcPr>
            <w:tcW w:w="1152" w:type="dxa"/>
            <w:shd w:val="clear" w:color="auto" w:fill="auto"/>
            <w:vAlign w:val="center"/>
          </w:tcPr>
          <w:p w14:paraId="2B5383D5">
            <w:pPr>
              <w:jc w:val="center"/>
              <w:rPr>
                <w:rFonts w:hint="eastAsia" w:ascii="宋体" w:hAnsi="宋体" w:eastAsia="宋体" w:cs="宋体"/>
                <w:kern w:val="2"/>
                <w:sz w:val="24"/>
                <w:szCs w:val="24"/>
                <w:lang w:val="en-US" w:eastAsia="zh-CN" w:bidi="ar-SA"/>
              </w:rPr>
            </w:pPr>
            <w:r>
              <w:rPr>
                <w:rFonts w:hint="eastAsia" w:ascii="宋体" w:hAnsi="宋体" w:cs="宋体"/>
                <w:sz w:val="24"/>
                <w:szCs w:val="24"/>
                <w:lang w:eastAsia="zh-CN"/>
              </w:rPr>
              <w:t>燕俊威</w:t>
            </w:r>
          </w:p>
        </w:tc>
        <w:tc>
          <w:tcPr>
            <w:tcW w:w="1584" w:type="dxa"/>
            <w:shd w:val="clear" w:color="auto" w:fill="auto"/>
            <w:vAlign w:val="center"/>
          </w:tcPr>
          <w:p w14:paraId="1FCE8BE1">
            <w:pPr>
              <w:adjustRightInd w:val="0"/>
              <w:snapToGrid w:val="0"/>
              <w:spacing w:line="240" w:lineRule="auto"/>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无</w:t>
            </w:r>
          </w:p>
        </w:tc>
        <w:tc>
          <w:tcPr>
            <w:tcW w:w="1132" w:type="dxa"/>
            <w:shd w:val="clear" w:color="auto" w:fill="auto"/>
            <w:vAlign w:val="center"/>
          </w:tcPr>
          <w:p w14:paraId="6F06F31E">
            <w:pPr>
              <w:widowControl/>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eastAsia="zh-CN"/>
              </w:rPr>
              <w:t>大专</w:t>
            </w:r>
          </w:p>
        </w:tc>
        <w:tc>
          <w:tcPr>
            <w:tcW w:w="1229" w:type="dxa"/>
            <w:shd w:val="clear" w:color="auto" w:fill="auto"/>
            <w:vAlign w:val="center"/>
          </w:tcPr>
          <w:p w14:paraId="5B8FC2CB">
            <w:pPr>
              <w:widowControl/>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2年</w:t>
            </w:r>
          </w:p>
        </w:tc>
        <w:tc>
          <w:tcPr>
            <w:tcW w:w="1744" w:type="dxa"/>
            <w:shd w:val="clear" w:color="auto" w:fill="auto"/>
            <w:vAlign w:val="center"/>
          </w:tcPr>
          <w:p w14:paraId="50D8F1C4">
            <w:pPr>
              <w:adjustRightInd w:val="0"/>
              <w:snapToGrid w:val="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材料员</w:t>
            </w:r>
          </w:p>
        </w:tc>
      </w:tr>
      <w:tr w14:paraId="733341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jc w:val="center"/>
        </w:trPr>
        <w:tc>
          <w:tcPr>
            <w:tcW w:w="844" w:type="dxa"/>
            <w:vAlign w:val="center"/>
          </w:tcPr>
          <w:p w14:paraId="7198FD68">
            <w:pPr>
              <w:spacing w:line="360" w:lineRule="auto"/>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bidi="ar"/>
              </w:rPr>
              <w:t>8</w:t>
            </w:r>
          </w:p>
        </w:tc>
        <w:tc>
          <w:tcPr>
            <w:tcW w:w="1315" w:type="dxa"/>
            <w:vAlign w:val="center"/>
          </w:tcPr>
          <w:p w14:paraId="3C8D6E95">
            <w:pPr>
              <w:spacing w:line="360" w:lineRule="auto"/>
              <w:jc w:val="center"/>
              <w:rPr>
                <w:rFonts w:hint="eastAsia" w:asciiTheme="minorEastAsia" w:hAnsiTheme="minorEastAsia" w:eastAsiaTheme="minorEastAsia" w:cstheme="minorEastAsia"/>
                <w:color w:val="auto"/>
                <w:szCs w:val="24"/>
                <w:highlight w:val="none"/>
              </w:rPr>
            </w:pPr>
            <w:r>
              <w:rPr>
                <w:rFonts w:hint="eastAsia" w:ascii="宋体" w:hAnsi="宋体" w:cs="宋体"/>
                <w:color w:val="auto"/>
                <w:szCs w:val="24"/>
                <w:highlight w:val="none"/>
              </w:rPr>
              <w:t>建筑工程</w:t>
            </w:r>
          </w:p>
        </w:tc>
        <w:tc>
          <w:tcPr>
            <w:tcW w:w="1152" w:type="dxa"/>
            <w:shd w:val="clear" w:color="auto" w:fill="auto"/>
            <w:vAlign w:val="center"/>
          </w:tcPr>
          <w:p w14:paraId="5683E9EC">
            <w:pPr>
              <w:spacing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eastAsia="zh-CN"/>
              </w:rPr>
              <w:t>周文丽</w:t>
            </w:r>
          </w:p>
        </w:tc>
        <w:tc>
          <w:tcPr>
            <w:tcW w:w="1584" w:type="dxa"/>
            <w:shd w:val="clear" w:color="auto" w:fill="auto"/>
            <w:vAlign w:val="center"/>
          </w:tcPr>
          <w:p w14:paraId="39AE4EBD">
            <w:pPr>
              <w:adjustRightInd w:val="0"/>
              <w:snapToGrid w:val="0"/>
              <w:spacing w:line="240" w:lineRule="auto"/>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无</w:t>
            </w:r>
          </w:p>
        </w:tc>
        <w:tc>
          <w:tcPr>
            <w:tcW w:w="1132" w:type="dxa"/>
            <w:shd w:val="clear" w:color="auto" w:fill="auto"/>
            <w:vAlign w:val="center"/>
          </w:tcPr>
          <w:p w14:paraId="06140DB7">
            <w:pPr>
              <w:widowControl/>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eastAsia="zh-CN"/>
              </w:rPr>
              <w:t>大专</w:t>
            </w:r>
          </w:p>
        </w:tc>
        <w:tc>
          <w:tcPr>
            <w:tcW w:w="1229" w:type="dxa"/>
            <w:shd w:val="clear" w:color="auto" w:fill="auto"/>
            <w:vAlign w:val="center"/>
          </w:tcPr>
          <w:p w14:paraId="69507A3A">
            <w:pPr>
              <w:widowControl/>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10年</w:t>
            </w:r>
          </w:p>
        </w:tc>
        <w:tc>
          <w:tcPr>
            <w:tcW w:w="1744" w:type="dxa"/>
            <w:shd w:val="clear" w:color="auto" w:fill="auto"/>
            <w:vAlign w:val="center"/>
          </w:tcPr>
          <w:p w14:paraId="770AD063">
            <w:pPr>
              <w:spacing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b w:val="0"/>
                <w:bCs w:val="0"/>
                <w:sz w:val="24"/>
                <w:szCs w:val="24"/>
                <w:lang w:eastAsia="zh-CN"/>
              </w:rPr>
              <w:t>资料员</w:t>
            </w:r>
          </w:p>
        </w:tc>
      </w:tr>
    </w:tbl>
    <w:p w14:paraId="63C14B17">
      <w:pPr>
        <w:pStyle w:val="54"/>
        <w:spacing w:line="360" w:lineRule="auto"/>
        <w:rPr>
          <w:rFonts w:hint="eastAsia" w:asciiTheme="minorEastAsia" w:hAnsiTheme="minorEastAsia" w:eastAsiaTheme="minorEastAsia" w:cstheme="minorEastAsia"/>
          <w:bCs/>
          <w:color w:val="auto"/>
          <w:szCs w:val="28"/>
          <w:highlight w:val="none"/>
        </w:rPr>
      </w:pPr>
    </w:p>
    <w:p w14:paraId="286BCE89">
      <w:pPr>
        <w:pStyle w:val="54"/>
        <w:spacing w:line="360" w:lineRule="auto"/>
        <w:rPr>
          <w:rFonts w:hint="eastAsia" w:asciiTheme="minorEastAsia" w:hAnsiTheme="minorEastAsia" w:eastAsiaTheme="minorEastAsia" w:cstheme="minorEastAsia"/>
          <w:bCs/>
          <w:color w:val="auto"/>
          <w:szCs w:val="28"/>
          <w:highlight w:val="none"/>
        </w:rPr>
      </w:pPr>
    </w:p>
    <w:p w14:paraId="44BECA2E">
      <w:pPr>
        <w:pStyle w:val="54"/>
        <w:spacing w:line="360" w:lineRule="auto"/>
        <w:rPr>
          <w:rFonts w:hint="eastAsia" w:asciiTheme="minorEastAsia" w:hAnsiTheme="minorEastAsia" w:eastAsiaTheme="minorEastAsia" w:cstheme="minorEastAsia"/>
          <w:bCs/>
          <w:color w:val="auto"/>
          <w:szCs w:val="28"/>
          <w:highlight w:val="none"/>
        </w:rPr>
      </w:pPr>
    </w:p>
    <w:p w14:paraId="1DC0FAEB">
      <w:pPr>
        <w:pStyle w:val="54"/>
        <w:spacing w:line="360" w:lineRule="auto"/>
        <w:rPr>
          <w:rFonts w:hint="eastAsia" w:asciiTheme="minorEastAsia" w:hAnsiTheme="minorEastAsia" w:eastAsiaTheme="minorEastAsia" w:cstheme="minorEastAsia"/>
          <w:bCs/>
          <w:color w:val="auto"/>
          <w:szCs w:val="28"/>
          <w:highlight w:val="none"/>
        </w:rPr>
      </w:pPr>
    </w:p>
    <w:p w14:paraId="34864268">
      <w:pPr>
        <w:pStyle w:val="54"/>
        <w:spacing w:line="360" w:lineRule="auto"/>
        <w:rPr>
          <w:rFonts w:hint="eastAsia" w:asciiTheme="minorEastAsia" w:hAnsiTheme="minorEastAsia" w:eastAsiaTheme="minorEastAsia" w:cstheme="minorEastAsia"/>
          <w:bCs/>
          <w:color w:val="auto"/>
          <w:szCs w:val="28"/>
          <w:highlight w:val="none"/>
        </w:rPr>
      </w:pPr>
    </w:p>
    <w:p w14:paraId="357EB1E0">
      <w:pPr>
        <w:pStyle w:val="54"/>
        <w:spacing w:line="360" w:lineRule="auto"/>
        <w:rPr>
          <w:rFonts w:hint="eastAsia" w:asciiTheme="minorEastAsia" w:hAnsiTheme="minorEastAsia" w:eastAsiaTheme="minorEastAsia" w:cstheme="minorEastAsia"/>
          <w:bCs/>
          <w:color w:val="auto"/>
          <w:szCs w:val="28"/>
          <w:highlight w:val="none"/>
        </w:rPr>
      </w:pPr>
    </w:p>
    <w:p w14:paraId="5B3A1A65">
      <w:pPr>
        <w:pStyle w:val="54"/>
        <w:spacing w:line="360" w:lineRule="auto"/>
        <w:rPr>
          <w:rFonts w:hint="eastAsia" w:asciiTheme="minorEastAsia" w:hAnsiTheme="minorEastAsia" w:eastAsiaTheme="minorEastAsia" w:cstheme="minorEastAsia"/>
          <w:bCs/>
          <w:color w:val="auto"/>
          <w:szCs w:val="28"/>
          <w:highlight w:val="none"/>
        </w:rPr>
      </w:pPr>
    </w:p>
    <w:p w14:paraId="73B1EFF8">
      <w:pPr>
        <w:pStyle w:val="54"/>
        <w:spacing w:line="360" w:lineRule="auto"/>
        <w:rPr>
          <w:rFonts w:hint="eastAsia" w:asciiTheme="minorEastAsia" w:hAnsiTheme="minorEastAsia" w:eastAsiaTheme="minorEastAsia" w:cstheme="minorEastAsia"/>
          <w:bCs/>
          <w:color w:val="auto"/>
          <w:szCs w:val="28"/>
          <w:highlight w:val="none"/>
        </w:rPr>
      </w:pPr>
    </w:p>
    <w:p w14:paraId="28F8715A">
      <w:pPr>
        <w:pStyle w:val="54"/>
        <w:spacing w:line="360" w:lineRule="auto"/>
        <w:rPr>
          <w:rFonts w:hint="eastAsia" w:asciiTheme="minorEastAsia" w:hAnsiTheme="minorEastAsia" w:eastAsiaTheme="minorEastAsia" w:cstheme="minorEastAsia"/>
          <w:bCs/>
          <w:color w:val="auto"/>
          <w:szCs w:val="28"/>
          <w:highlight w:val="none"/>
        </w:rPr>
      </w:pPr>
    </w:p>
    <w:p w14:paraId="4DDD05F2">
      <w:pPr>
        <w:pStyle w:val="54"/>
        <w:spacing w:line="360" w:lineRule="auto"/>
        <w:rPr>
          <w:rFonts w:hint="eastAsia" w:asciiTheme="minorEastAsia" w:hAnsiTheme="minorEastAsia" w:eastAsiaTheme="minorEastAsia" w:cstheme="minorEastAsia"/>
          <w:bCs/>
          <w:color w:val="auto"/>
          <w:szCs w:val="28"/>
          <w:highlight w:val="none"/>
        </w:rPr>
      </w:pPr>
    </w:p>
    <w:p w14:paraId="4EF645DE">
      <w:pPr>
        <w:pStyle w:val="54"/>
        <w:spacing w:line="360" w:lineRule="auto"/>
        <w:rPr>
          <w:rFonts w:hint="eastAsia" w:asciiTheme="minorEastAsia" w:hAnsiTheme="minorEastAsia" w:eastAsiaTheme="minorEastAsia" w:cstheme="minorEastAsia"/>
          <w:bCs/>
          <w:color w:val="auto"/>
          <w:szCs w:val="28"/>
          <w:highlight w:val="none"/>
        </w:rPr>
      </w:pPr>
    </w:p>
    <w:p w14:paraId="7D10E541">
      <w:pPr>
        <w:pStyle w:val="54"/>
        <w:spacing w:line="360" w:lineRule="auto"/>
        <w:rPr>
          <w:rFonts w:hint="eastAsia" w:asciiTheme="minorEastAsia" w:hAnsiTheme="minorEastAsia" w:eastAsiaTheme="minorEastAsia" w:cstheme="minorEastAsia"/>
          <w:bCs/>
          <w:color w:val="auto"/>
          <w:szCs w:val="28"/>
          <w:highlight w:val="none"/>
        </w:rPr>
      </w:pPr>
    </w:p>
    <w:p w14:paraId="0E84702B">
      <w:pPr>
        <w:pStyle w:val="54"/>
        <w:spacing w:line="360" w:lineRule="auto"/>
        <w:rPr>
          <w:rFonts w:hint="eastAsia" w:asciiTheme="minorEastAsia" w:hAnsiTheme="minorEastAsia" w:eastAsiaTheme="minorEastAsia" w:cstheme="minorEastAsia"/>
          <w:bCs/>
          <w:color w:val="auto"/>
          <w:szCs w:val="28"/>
          <w:highlight w:val="none"/>
        </w:rPr>
      </w:pPr>
    </w:p>
    <w:p w14:paraId="3679FE40">
      <w:pPr>
        <w:pStyle w:val="54"/>
        <w:spacing w:line="360" w:lineRule="auto"/>
        <w:rPr>
          <w:rFonts w:hint="eastAsia" w:asciiTheme="minorEastAsia" w:hAnsiTheme="minorEastAsia" w:eastAsiaTheme="minorEastAsia" w:cstheme="minorEastAsia"/>
          <w:bCs/>
          <w:color w:val="auto"/>
          <w:szCs w:val="28"/>
          <w:highlight w:val="none"/>
        </w:rPr>
      </w:pPr>
    </w:p>
    <w:p w14:paraId="3B764365">
      <w:pPr>
        <w:pStyle w:val="54"/>
        <w:spacing w:line="360" w:lineRule="auto"/>
        <w:rPr>
          <w:rFonts w:hint="eastAsia" w:asciiTheme="minorEastAsia" w:hAnsiTheme="minorEastAsia" w:eastAsiaTheme="minorEastAsia" w:cstheme="minorEastAsia"/>
          <w:bCs/>
          <w:color w:val="auto"/>
          <w:szCs w:val="28"/>
          <w:highlight w:val="none"/>
        </w:rPr>
      </w:pPr>
      <w:r>
        <w:rPr>
          <w:rFonts w:hint="eastAsia" w:asciiTheme="minorEastAsia" w:hAnsiTheme="minorEastAsia" w:eastAsiaTheme="minorEastAsia" w:cstheme="minorEastAsia"/>
          <w:bCs/>
          <w:color w:val="auto"/>
          <w:szCs w:val="28"/>
          <w:highlight w:val="none"/>
        </w:rPr>
        <w:t>附件三、材料品牌表</w:t>
      </w:r>
    </w:p>
    <w:tbl>
      <w:tblPr>
        <w:tblStyle w:val="47"/>
        <w:tblW w:w="98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24"/>
        <w:gridCol w:w="2449"/>
        <w:gridCol w:w="1715"/>
        <w:gridCol w:w="3337"/>
        <w:gridCol w:w="1715"/>
      </w:tblGrid>
      <w:tr w14:paraId="794DF3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E67E9">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auto"/>
                <w:sz w:val="22"/>
                <w:szCs w:val="22"/>
                <w:highlight w:val="none"/>
                <w:u w:val="none"/>
              </w:rPr>
            </w:pPr>
            <w:r>
              <w:rPr>
                <w:rFonts w:hint="eastAsia" w:asciiTheme="minorEastAsia" w:hAnsiTheme="minorEastAsia" w:eastAsiaTheme="minorEastAsia" w:cstheme="minorEastAsia"/>
                <w:b/>
                <w:bCs/>
                <w:i w:val="0"/>
                <w:iCs w:val="0"/>
                <w:color w:val="auto"/>
                <w:kern w:val="0"/>
                <w:sz w:val="22"/>
                <w:szCs w:val="22"/>
                <w:highlight w:val="none"/>
                <w:u w:val="none"/>
                <w:lang w:val="en-US" w:eastAsia="zh-CN" w:bidi="ar"/>
              </w:rPr>
              <w:t>序号</w:t>
            </w:r>
          </w:p>
        </w:tc>
        <w:tc>
          <w:tcPr>
            <w:tcW w:w="2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16D87">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auto"/>
                <w:sz w:val="22"/>
                <w:szCs w:val="22"/>
                <w:highlight w:val="none"/>
                <w:u w:val="none"/>
              </w:rPr>
            </w:pPr>
            <w:r>
              <w:rPr>
                <w:rFonts w:hint="eastAsia" w:asciiTheme="minorEastAsia" w:hAnsiTheme="minorEastAsia" w:eastAsiaTheme="minorEastAsia" w:cstheme="minorEastAsia"/>
                <w:b/>
                <w:bCs/>
                <w:i w:val="0"/>
                <w:iCs w:val="0"/>
                <w:color w:val="auto"/>
                <w:kern w:val="0"/>
                <w:sz w:val="22"/>
                <w:szCs w:val="22"/>
                <w:highlight w:val="none"/>
                <w:u w:val="none"/>
                <w:lang w:val="en-US" w:eastAsia="zh-CN" w:bidi="ar"/>
              </w:rPr>
              <w:t>材料名称</w:t>
            </w:r>
          </w:p>
        </w:tc>
        <w:tc>
          <w:tcPr>
            <w:tcW w:w="17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8AB43">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auto"/>
                <w:sz w:val="22"/>
                <w:szCs w:val="22"/>
                <w:highlight w:val="none"/>
                <w:u w:val="none"/>
              </w:rPr>
            </w:pPr>
            <w:r>
              <w:rPr>
                <w:rFonts w:hint="eastAsia" w:asciiTheme="minorEastAsia" w:hAnsiTheme="minorEastAsia" w:eastAsiaTheme="minorEastAsia" w:cstheme="minorEastAsia"/>
                <w:b/>
                <w:bCs/>
                <w:i w:val="0"/>
                <w:iCs w:val="0"/>
                <w:color w:val="auto"/>
                <w:kern w:val="0"/>
                <w:sz w:val="22"/>
                <w:szCs w:val="22"/>
                <w:highlight w:val="none"/>
                <w:u w:val="none"/>
                <w:lang w:val="en-US" w:eastAsia="zh-CN" w:bidi="ar"/>
              </w:rPr>
              <w:t>供应方式</w:t>
            </w:r>
          </w:p>
        </w:tc>
        <w:tc>
          <w:tcPr>
            <w:tcW w:w="33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621C9">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auto"/>
                <w:sz w:val="22"/>
                <w:szCs w:val="22"/>
                <w:highlight w:val="none"/>
                <w:u w:val="none"/>
              </w:rPr>
            </w:pPr>
            <w:r>
              <w:rPr>
                <w:rFonts w:hint="eastAsia" w:asciiTheme="minorEastAsia" w:hAnsiTheme="minorEastAsia" w:eastAsiaTheme="minorEastAsia" w:cstheme="minorEastAsia"/>
                <w:b/>
                <w:bCs/>
                <w:i w:val="0"/>
                <w:iCs w:val="0"/>
                <w:color w:val="auto"/>
                <w:kern w:val="0"/>
                <w:sz w:val="22"/>
                <w:szCs w:val="22"/>
                <w:highlight w:val="none"/>
                <w:u w:val="none"/>
                <w:lang w:val="en-US" w:eastAsia="zh-CN" w:bidi="ar"/>
              </w:rPr>
              <w:t>限定品牌范围</w:t>
            </w:r>
          </w:p>
        </w:tc>
        <w:tc>
          <w:tcPr>
            <w:tcW w:w="17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2B871">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auto"/>
                <w:sz w:val="22"/>
                <w:szCs w:val="22"/>
                <w:highlight w:val="none"/>
                <w:u w:val="none"/>
              </w:rPr>
            </w:pPr>
            <w:r>
              <w:rPr>
                <w:rFonts w:hint="eastAsia" w:asciiTheme="minorEastAsia" w:hAnsiTheme="minorEastAsia" w:eastAsiaTheme="minorEastAsia" w:cstheme="minorEastAsia"/>
                <w:b/>
                <w:bCs/>
                <w:i w:val="0"/>
                <w:iCs w:val="0"/>
                <w:color w:val="auto"/>
                <w:kern w:val="0"/>
                <w:sz w:val="22"/>
                <w:szCs w:val="22"/>
                <w:highlight w:val="none"/>
                <w:u w:val="none"/>
                <w:lang w:val="en-US" w:eastAsia="zh-CN" w:bidi="ar"/>
              </w:rPr>
              <w:t>乙方选定品牌</w:t>
            </w:r>
          </w:p>
        </w:tc>
      </w:tr>
      <w:tr w14:paraId="6C01FE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7" w:hRule="atLeast"/>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525B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w:t>
            </w:r>
          </w:p>
        </w:tc>
        <w:tc>
          <w:tcPr>
            <w:tcW w:w="2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DD25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墙地砖</w:t>
            </w:r>
          </w:p>
        </w:tc>
        <w:tc>
          <w:tcPr>
            <w:tcW w:w="17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F8C8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乙供自报价</w:t>
            </w:r>
          </w:p>
        </w:tc>
        <w:tc>
          <w:tcPr>
            <w:tcW w:w="33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669CD">
            <w:pPr>
              <w:keepNext w:val="0"/>
              <w:keepLines w:val="0"/>
              <w:widowControl/>
              <w:suppressLineNumbers w:val="0"/>
              <w:jc w:val="center"/>
              <w:textAlignment w:val="center"/>
              <w:rPr>
                <w:rFonts w:hint="default" w:asciiTheme="minorEastAsia" w:hAnsiTheme="minorEastAsia" w:eastAsiaTheme="minorEastAsia" w:cstheme="minorEastAsia"/>
                <w:i w:val="0"/>
                <w:iCs w:val="0"/>
                <w:color w:val="auto"/>
                <w:sz w:val="22"/>
                <w:szCs w:val="22"/>
                <w:highlight w:val="none"/>
                <w:u w:val="none"/>
                <w:lang w:val="en-US"/>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大堂：东鹏、冠珠、金意陶等同档次；公区质量合格满足设计效果要求，品牌不做具体要求</w:t>
            </w:r>
          </w:p>
        </w:tc>
        <w:tc>
          <w:tcPr>
            <w:tcW w:w="17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1FEE8">
            <w:pPr>
              <w:jc w:val="center"/>
              <w:rPr>
                <w:rFonts w:hint="default" w:asciiTheme="minorEastAsia" w:hAnsiTheme="minorEastAsia" w:eastAsiaTheme="minorEastAsia" w:cstheme="minorEastAsia"/>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金意陶</w:t>
            </w:r>
          </w:p>
        </w:tc>
      </w:tr>
      <w:tr w14:paraId="39779F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75E2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2</w:t>
            </w:r>
          </w:p>
        </w:tc>
        <w:tc>
          <w:tcPr>
            <w:tcW w:w="2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F56D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木饰面</w:t>
            </w:r>
          </w:p>
        </w:tc>
        <w:tc>
          <w:tcPr>
            <w:tcW w:w="17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62B3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乙供自报价</w:t>
            </w:r>
          </w:p>
        </w:tc>
        <w:tc>
          <w:tcPr>
            <w:tcW w:w="33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5583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无</w:t>
            </w:r>
          </w:p>
        </w:tc>
        <w:tc>
          <w:tcPr>
            <w:tcW w:w="17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91AF8">
            <w:pPr>
              <w:jc w:val="center"/>
              <w:rPr>
                <w:rFonts w:hint="eastAsia" w:asciiTheme="minorEastAsia" w:hAnsiTheme="minorEastAsia" w:eastAsiaTheme="minorEastAsia" w:cstheme="minorEastAsia"/>
                <w:i w:val="0"/>
                <w:iCs w:val="0"/>
                <w:color w:val="auto"/>
                <w:kern w:val="2"/>
                <w:sz w:val="22"/>
                <w:szCs w:val="22"/>
                <w:highlight w:val="none"/>
                <w:u w:val="none"/>
                <w:lang w:val="en-US" w:eastAsia="zh-CN" w:bidi="ar-SA"/>
              </w:rPr>
            </w:pPr>
          </w:p>
        </w:tc>
      </w:tr>
      <w:tr w14:paraId="3238D6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AC23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3</w:t>
            </w:r>
          </w:p>
        </w:tc>
        <w:tc>
          <w:tcPr>
            <w:tcW w:w="2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8DC5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灯具（工艺吊灯除外）</w:t>
            </w:r>
          </w:p>
        </w:tc>
        <w:tc>
          <w:tcPr>
            <w:tcW w:w="17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ECDC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乙供自报价</w:t>
            </w:r>
          </w:p>
        </w:tc>
        <w:tc>
          <w:tcPr>
            <w:tcW w:w="33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9E91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西顿、三雄、雷士</w:t>
            </w:r>
          </w:p>
        </w:tc>
        <w:tc>
          <w:tcPr>
            <w:tcW w:w="17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7E1D8">
            <w:pPr>
              <w:jc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雷士</w:t>
            </w:r>
          </w:p>
        </w:tc>
      </w:tr>
      <w:tr w14:paraId="4CA54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F0C6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4</w:t>
            </w:r>
          </w:p>
        </w:tc>
        <w:tc>
          <w:tcPr>
            <w:tcW w:w="2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0E85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开关插座</w:t>
            </w:r>
          </w:p>
        </w:tc>
        <w:tc>
          <w:tcPr>
            <w:tcW w:w="17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7A49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乙供自报价</w:t>
            </w:r>
          </w:p>
        </w:tc>
        <w:tc>
          <w:tcPr>
            <w:tcW w:w="33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4C2F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罗格朗、德力西、施耐德</w:t>
            </w:r>
          </w:p>
        </w:tc>
        <w:tc>
          <w:tcPr>
            <w:tcW w:w="17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EF663">
            <w:pPr>
              <w:keepNext w:val="0"/>
              <w:keepLines w:val="0"/>
              <w:widowControl/>
              <w:suppressLineNumbers w:val="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德力西</w:t>
            </w:r>
          </w:p>
        </w:tc>
      </w:tr>
      <w:tr w14:paraId="1008E6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B4D4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5</w:t>
            </w:r>
          </w:p>
        </w:tc>
        <w:tc>
          <w:tcPr>
            <w:tcW w:w="2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2BB0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电线电缆</w:t>
            </w:r>
          </w:p>
        </w:tc>
        <w:tc>
          <w:tcPr>
            <w:tcW w:w="17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E648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乙供自报价</w:t>
            </w:r>
          </w:p>
        </w:tc>
        <w:tc>
          <w:tcPr>
            <w:tcW w:w="33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9078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郑三、金水、恒天、郑缆</w:t>
            </w:r>
          </w:p>
        </w:tc>
        <w:tc>
          <w:tcPr>
            <w:tcW w:w="17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F3765">
            <w:pPr>
              <w:jc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郑三</w:t>
            </w:r>
          </w:p>
        </w:tc>
      </w:tr>
      <w:tr w14:paraId="2E8207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324F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6</w:t>
            </w:r>
          </w:p>
        </w:tc>
        <w:tc>
          <w:tcPr>
            <w:tcW w:w="2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CE5A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防水石膏板、普通石膏板</w:t>
            </w:r>
          </w:p>
        </w:tc>
        <w:tc>
          <w:tcPr>
            <w:tcW w:w="17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F2C1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乙供自报价</w:t>
            </w:r>
          </w:p>
        </w:tc>
        <w:tc>
          <w:tcPr>
            <w:tcW w:w="33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99A0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龙牌、泰山</w:t>
            </w:r>
          </w:p>
        </w:tc>
        <w:tc>
          <w:tcPr>
            <w:tcW w:w="17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637AF">
            <w:pPr>
              <w:jc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北新建材</w:t>
            </w:r>
          </w:p>
        </w:tc>
      </w:tr>
      <w:tr w14:paraId="2212D2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2F8E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7</w:t>
            </w:r>
          </w:p>
        </w:tc>
        <w:tc>
          <w:tcPr>
            <w:tcW w:w="2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0531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轻钢龙骨</w:t>
            </w:r>
          </w:p>
        </w:tc>
        <w:tc>
          <w:tcPr>
            <w:tcW w:w="17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BADC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乙供自报价</w:t>
            </w:r>
          </w:p>
        </w:tc>
        <w:tc>
          <w:tcPr>
            <w:tcW w:w="33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5523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龙牌、北新建材、可耐福</w:t>
            </w:r>
          </w:p>
        </w:tc>
        <w:tc>
          <w:tcPr>
            <w:tcW w:w="17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6048E">
            <w:pPr>
              <w:jc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北新建材</w:t>
            </w:r>
          </w:p>
        </w:tc>
      </w:tr>
      <w:tr w14:paraId="3A7CDD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6DF1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8</w:t>
            </w:r>
          </w:p>
        </w:tc>
        <w:tc>
          <w:tcPr>
            <w:tcW w:w="2449" w:type="dxa"/>
            <w:tcBorders>
              <w:top w:val="single" w:color="000000" w:sz="4" w:space="0"/>
              <w:left w:val="single" w:color="000000" w:sz="4" w:space="0"/>
              <w:bottom w:val="nil"/>
              <w:right w:val="single" w:color="000000" w:sz="4" w:space="0"/>
            </w:tcBorders>
            <w:shd w:val="clear" w:color="auto" w:fill="auto"/>
            <w:vAlign w:val="center"/>
          </w:tcPr>
          <w:p w14:paraId="3FCFA15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乳胶漆</w:t>
            </w:r>
          </w:p>
        </w:tc>
        <w:tc>
          <w:tcPr>
            <w:tcW w:w="17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9393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乙供自报价</w:t>
            </w:r>
          </w:p>
        </w:tc>
        <w:tc>
          <w:tcPr>
            <w:tcW w:w="3337" w:type="dxa"/>
            <w:tcBorders>
              <w:top w:val="single" w:color="000000" w:sz="4" w:space="0"/>
              <w:left w:val="single" w:color="000000" w:sz="4" w:space="0"/>
              <w:bottom w:val="nil"/>
              <w:right w:val="single" w:color="000000" w:sz="4" w:space="0"/>
            </w:tcBorders>
            <w:shd w:val="clear" w:color="auto" w:fill="auto"/>
            <w:vAlign w:val="center"/>
          </w:tcPr>
          <w:p w14:paraId="298D521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立邦、多乐士、嘉宝莉、三棵树</w:t>
            </w:r>
          </w:p>
        </w:tc>
        <w:tc>
          <w:tcPr>
            <w:tcW w:w="1715" w:type="dxa"/>
            <w:tcBorders>
              <w:top w:val="single" w:color="000000" w:sz="4" w:space="0"/>
              <w:left w:val="single" w:color="000000" w:sz="4" w:space="0"/>
              <w:bottom w:val="nil"/>
              <w:right w:val="single" w:color="000000" w:sz="4" w:space="0"/>
            </w:tcBorders>
            <w:shd w:val="clear" w:color="auto" w:fill="auto"/>
            <w:vAlign w:val="center"/>
          </w:tcPr>
          <w:p w14:paraId="6BF788F1">
            <w:pPr>
              <w:jc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三棵树</w:t>
            </w:r>
          </w:p>
        </w:tc>
      </w:tr>
      <w:tr w14:paraId="4796CA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8D66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9</w:t>
            </w:r>
          </w:p>
        </w:tc>
        <w:tc>
          <w:tcPr>
            <w:tcW w:w="2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EC4D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铝合金门窗内墙密封胶</w:t>
            </w:r>
          </w:p>
        </w:tc>
        <w:tc>
          <w:tcPr>
            <w:tcW w:w="17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81BB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乙供自报价</w:t>
            </w:r>
          </w:p>
        </w:tc>
        <w:tc>
          <w:tcPr>
            <w:tcW w:w="33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0793D">
            <w:pPr>
              <w:jc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sz w:val="22"/>
                <w:szCs w:val="22"/>
                <w:highlight w:val="none"/>
                <w:u w:val="none"/>
                <w:lang w:val="en-US" w:eastAsia="zh-CN"/>
              </w:rPr>
              <w:t>/</w:t>
            </w:r>
          </w:p>
        </w:tc>
        <w:tc>
          <w:tcPr>
            <w:tcW w:w="17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50C6C">
            <w:pPr>
              <w:jc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sz w:val="22"/>
                <w:szCs w:val="22"/>
                <w:highlight w:val="none"/>
                <w:u w:val="none"/>
                <w:lang w:val="en-US" w:eastAsia="zh-CN"/>
              </w:rPr>
              <w:t>/</w:t>
            </w:r>
          </w:p>
        </w:tc>
      </w:tr>
      <w:tr w14:paraId="0D4E09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A3C7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10</w:t>
            </w:r>
          </w:p>
        </w:tc>
        <w:tc>
          <w:tcPr>
            <w:tcW w:w="2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6140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给排水管</w:t>
            </w:r>
          </w:p>
        </w:tc>
        <w:tc>
          <w:tcPr>
            <w:tcW w:w="17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15A4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乙供自报价</w:t>
            </w:r>
          </w:p>
        </w:tc>
        <w:tc>
          <w:tcPr>
            <w:tcW w:w="33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B205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金牛、日丰、保利、伟星</w:t>
            </w:r>
          </w:p>
        </w:tc>
        <w:tc>
          <w:tcPr>
            <w:tcW w:w="17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6FA1A">
            <w:pPr>
              <w:jc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cs="宋体"/>
                <w:i w:val="0"/>
                <w:iCs w:val="0"/>
                <w:color w:val="auto"/>
                <w:kern w:val="0"/>
                <w:sz w:val="22"/>
                <w:szCs w:val="22"/>
                <w:highlight w:val="none"/>
                <w:u w:val="none"/>
                <w:lang w:val="en-US" w:eastAsia="zh-CN" w:bidi="ar"/>
              </w:rPr>
              <w:t>金牛</w:t>
            </w:r>
          </w:p>
        </w:tc>
      </w:tr>
      <w:tr w14:paraId="5D983C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F065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11</w:t>
            </w:r>
          </w:p>
        </w:tc>
        <w:tc>
          <w:tcPr>
            <w:tcW w:w="2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A3A1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地暖管材</w:t>
            </w:r>
          </w:p>
        </w:tc>
        <w:tc>
          <w:tcPr>
            <w:tcW w:w="17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0F65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乙供自报价</w:t>
            </w:r>
          </w:p>
        </w:tc>
        <w:tc>
          <w:tcPr>
            <w:tcW w:w="33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DBDF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w:t>
            </w:r>
          </w:p>
        </w:tc>
        <w:tc>
          <w:tcPr>
            <w:tcW w:w="17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E803D">
            <w:pPr>
              <w:jc w:val="center"/>
              <w:rPr>
                <w:rFonts w:hint="eastAsia" w:asciiTheme="minorEastAsia" w:hAnsiTheme="minorEastAsia" w:eastAsiaTheme="minorEastAsia" w:cstheme="minorEastAsia"/>
                <w:i w:val="0"/>
                <w:iCs w:val="0"/>
                <w:color w:val="auto"/>
                <w:sz w:val="22"/>
                <w:szCs w:val="22"/>
                <w:highlight w:val="none"/>
                <w:u w:val="none"/>
              </w:rPr>
            </w:pPr>
          </w:p>
        </w:tc>
      </w:tr>
      <w:tr w14:paraId="6CA3BF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1E12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12</w:t>
            </w:r>
          </w:p>
        </w:tc>
        <w:tc>
          <w:tcPr>
            <w:tcW w:w="2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881E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石膏阴角线</w:t>
            </w:r>
          </w:p>
        </w:tc>
        <w:tc>
          <w:tcPr>
            <w:tcW w:w="17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FE1B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乙供自报价</w:t>
            </w:r>
          </w:p>
        </w:tc>
        <w:tc>
          <w:tcPr>
            <w:tcW w:w="33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2C2F8">
            <w:pPr>
              <w:jc w:val="center"/>
              <w:rPr>
                <w:rFonts w:hint="eastAsia" w:asciiTheme="minorEastAsia" w:hAnsiTheme="minorEastAsia" w:eastAsiaTheme="minorEastAsia" w:cstheme="minorEastAsia"/>
                <w:i w:val="0"/>
                <w:iCs w:val="0"/>
                <w:color w:val="auto"/>
                <w:sz w:val="22"/>
                <w:szCs w:val="22"/>
                <w:highlight w:val="none"/>
                <w:u w:val="none"/>
                <w:lang w:val="en-US" w:eastAsia="zh-CN"/>
              </w:rPr>
            </w:pPr>
            <w:r>
              <w:rPr>
                <w:rFonts w:hint="eastAsia" w:asciiTheme="minorEastAsia" w:hAnsiTheme="minorEastAsia" w:eastAsiaTheme="minorEastAsia" w:cstheme="minorEastAsia"/>
                <w:i w:val="0"/>
                <w:iCs w:val="0"/>
                <w:color w:val="auto"/>
                <w:sz w:val="22"/>
                <w:szCs w:val="22"/>
                <w:highlight w:val="none"/>
                <w:u w:val="none"/>
                <w:lang w:val="en-US" w:eastAsia="zh-CN"/>
              </w:rPr>
              <w:t>/</w:t>
            </w:r>
          </w:p>
        </w:tc>
        <w:tc>
          <w:tcPr>
            <w:tcW w:w="17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397AB">
            <w:pPr>
              <w:jc w:val="center"/>
              <w:rPr>
                <w:rFonts w:hint="eastAsia" w:asciiTheme="minorEastAsia" w:hAnsiTheme="minorEastAsia" w:eastAsiaTheme="minorEastAsia" w:cstheme="minorEastAsia"/>
                <w:i w:val="0"/>
                <w:iCs w:val="0"/>
                <w:color w:val="auto"/>
                <w:sz w:val="22"/>
                <w:szCs w:val="22"/>
                <w:highlight w:val="none"/>
                <w:u w:val="none"/>
                <w:lang w:val="en-US" w:eastAsia="zh-CN"/>
              </w:rPr>
            </w:pPr>
          </w:p>
        </w:tc>
      </w:tr>
      <w:tr w14:paraId="037D48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5368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13</w:t>
            </w:r>
          </w:p>
        </w:tc>
        <w:tc>
          <w:tcPr>
            <w:tcW w:w="2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8E63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石材</w:t>
            </w:r>
          </w:p>
        </w:tc>
        <w:tc>
          <w:tcPr>
            <w:tcW w:w="17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12FF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乙供自报价</w:t>
            </w:r>
          </w:p>
        </w:tc>
        <w:tc>
          <w:tcPr>
            <w:tcW w:w="33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DB457">
            <w:pPr>
              <w:jc w:val="center"/>
              <w:rPr>
                <w:rFonts w:hint="eastAsia" w:asciiTheme="minorEastAsia" w:hAnsiTheme="minorEastAsia" w:eastAsiaTheme="minorEastAsia" w:cstheme="minorEastAsia"/>
                <w:i w:val="0"/>
                <w:iCs w:val="0"/>
                <w:color w:val="auto"/>
                <w:sz w:val="22"/>
                <w:szCs w:val="22"/>
                <w:highlight w:val="none"/>
                <w:u w:val="none"/>
                <w:lang w:val="en-US" w:eastAsia="zh-CN"/>
              </w:rPr>
            </w:pPr>
            <w:r>
              <w:rPr>
                <w:rFonts w:hint="eastAsia" w:asciiTheme="minorEastAsia" w:hAnsiTheme="minorEastAsia" w:eastAsiaTheme="minorEastAsia" w:cstheme="minorEastAsia"/>
                <w:i w:val="0"/>
                <w:iCs w:val="0"/>
                <w:color w:val="auto"/>
                <w:sz w:val="22"/>
                <w:szCs w:val="22"/>
                <w:highlight w:val="none"/>
                <w:u w:val="none"/>
                <w:lang w:val="en-US" w:eastAsia="zh-CN"/>
              </w:rPr>
              <w:t>/</w:t>
            </w:r>
          </w:p>
        </w:tc>
        <w:tc>
          <w:tcPr>
            <w:tcW w:w="17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C9E91">
            <w:pPr>
              <w:jc w:val="center"/>
              <w:rPr>
                <w:rFonts w:hint="eastAsia" w:asciiTheme="minorEastAsia" w:hAnsiTheme="minorEastAsia" w:eastAsiaTheme="minorEastAsia" w:cstheme="minorEastAsia"/>
                <w:i w:val="0"/>
                <w:iCs w:val="0"/>
                <w:color w:val="auto"/>
                <w:sz w:val="22"/>
                <w:szCs w:val="22"/>
                <w:highlight w:val="none"/>
                <w:u w:val="none"/>
                <w:lang w:val="en-US" w:eastAsia="zh-CN"/>
              </w:rPr>
            </w:pPr>
          </w:p>
        </w:tc>
      </w:tr>
      <w:tr w14:paraId="3C3E49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4725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14</w:t>
            </w:r>
          </w:p>
        </w:tc>
        <w:tc>
          <w:tcPr>
            <w:tcW w:w="2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2D27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内墙腻子</w:t>
            </w:r>
          </w:p>
        </w:tc>
        <w:tc>
          <w:tcPr>
            <w:tcW w:w="17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1BDB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乙供自报价</w:t>
            </w:r>
          </w:p>
        </w:tc>
        <w:tc>
          <w:tcPr>
            <w:tcW w:w="33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9E851">
            <w:pPr>
              <w:jc w:val="center"/>
              <w:rPr>
                <w:rFonts w:hint="default" w:asciiTheme="minorEastAsia" w:hAnsiTheme="minorEastAsia" w:eastAsiaTheme="minorEastAsia" w:cstheme="minorEastAsia"/>
                <w:i w:val="0"/>
                <w:iCs w:val="0"/>
                <w:color w:val="auto"/>
                <w:sz w:val="22"/>
                <w:szCs w:val="22"/>
                <w:highlight w:val="none"/>
                <w:u w:val="none"/>
                <w:lang w:val="en-US" w:eastAsia="zh-CN"/>
              </w:rPr>
            </w:pPr>
            <w:r>
              <w:rPr>
                <w:rFonts w:hint="eastAsia" w:asciiTheme="minorEastAsia" w:hAnsiTheme="minorEastAsia" w:eastAsiaTheme="minorEastAsia" w:cstheme="minorEastAsia"/>
                <w:i w:val="0"/>
                <w:iCs w:val="0"/>
                <w:color w:val="auto"/>
                <w:sz w:val="22"/>
                <w:szCs w:val="22"/>
                <w:highlight w:val="none"/>
                <w:u w:val="none"/>
                <w:lang w:val="en-US" w:eastAsia="zh-CN"/>
              </w:rPr>
              <w:t>/</w:t>
            </w:r>
          </w:p>
        </w:tc>
        <w:tc>
          <w:tcPr>
            <w:tcW w:w="17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45556">
            <w:pPr>
              <w:jc w:val="center"/>
              <w:rPr>
                <w:rFonts w:hint="eastAsia" w:asciiTheme="minorEastAsia" w:hAnsiTheme="minorEastAsia" w:eastAsiaTheme="minorEastAsia" w:cstheme="minorEastAsia"/>
                <w:i w:val="0"/>
                <w:iCs w:val="0"/>
                <w:color w:val="auto"/>
                <w:sz w:val="22"/>
                <w:szCs w:val="22"/>
                <w:highlight w:val="none"/>
                <w:u w:val="none"/>
                <w:lang w:val="en-US" w:eastAsia="zh-CN"/>
              </w:rPr>
            </w:pPr>
          </w:p>
        </w:tc>
      </w:tr>
      <w:tr w14:paraId="08517A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EEC4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15</w:t>
            </w:r>
          </w:p>
        </w:tc>
        <w:tc>
          <w:tcPr>
            <w:tcW w:w="2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7FD8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沙、石</w:t>
            </w:r>
          </w:p>
        </w:tc>
        <w:tc>
          <w:tcPr>
            <w:tcW w:w="17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15EF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乙供自报价</w:t>
            </w:r>
          </w:p>
        </w:tc>
        <w:tc>
          <w:tcPr>
            <w:tcW w:w="33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2496E">
            <w:pPr>
              <w:jc w:val="center"/>
              <w:rPr>
                <w:rFonts w:hint="eastAsia" w:asciiTheme="minorEastAsia" w:hAnsiTheme="minorEastAsia" w:eastAsiaTheme="minorEastAsia" w:cstheme="minorEastAsia"/>
                <w:i w:val="0"/>
                <w:iCs w:val="0"/>
                <w:color w:val="auto"/>
                <w:sz w:val="22"/>
                <w:szCs w:val="22"/>
                <w:highlight w:val="none"/>
                <w:u w:val="none"/>
                <w:lang w:val="en-US" w:eastAsia="zh-CN"/>
              </w:rPr>
            </w:pPr>
            <w:r>
              <w:rPr>
                <w:rFonts w:hint="eastAsia" w:asciiTheme="minorEastAsia" w:hAnsiTheme="minorEastAsia" w:eastAsiaTheme="minorEastAsia" w:cstheme="minorEastAsia"/>
                <w:i w:val="0"/>
                <w:iCs w:val="0"/>
                <w:color w:val="auto"/>
                <w:sz w:val="22"/>
                <w:szCs w:val="22"/>
                <w:highlight w:val="none"/>
                <w:u w:val="none"/>
                <w:lang w:val="en-US" w:eastAsia="zh-CN"/>
              </w:rPr>
              <w:t>/</w:t>
            </w:r>
          </w:p>
        </w:tc>
        <w:tc>
          <w:tcPr>
            <w:tcW w:w="17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E5AC6">
            <w:pPr>
              <w:jc w:val="center"/>
              <w:rPr>
                <w:rFonts w:hint="eastAsia" w:asciiTheme="minorEastAsia" w:hAnsiTheme="minorEastAsia" w:eastAsiaTheme="minorEastAsia" w:cstheme="minorEastAsia"/>
                <w:i w:val="0"/>
                <w:iCs w:val="0"/>
                <w:color w:val="auto"/>
                <w:sz w:val="22"/>
                <w:szCs w:val="22"/>
                <w:highlight w:val="none"/>
                <w:u w:val="none"/>
                <w:lang w:val="en-US" w:eastAsia="zh-CN"/>
              </w:rPr>
            </w:pPr>
          </w:p>
        </w:tc>
      </w:tr>
      <w:tr w14:paraId="0357B0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E010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16</w:t>
            </w:r>
          </w:p>
        </w:tc>
        <w:tc>
          <w:tcPr>
            <w:tcW w:w="24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D68B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防水材料</w:t>
            </w:r>
          </w:p>
        </w:tc>
        <w:tc>
          <w:tcPr>
            <w:tcW w:w="17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0484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乙供自报价</w:t>
            </w:r>
          </w:p>
        </w:tc>
        <w:tc>
          <w:tcPr>
            <w:tcW w:w="33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0372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2"/>
                <w:szCs w:val="22"/>
                <w:highlight w:val="none"/>
                <w:u w:val="none"/>
              </w:rPr>
            </w:pPr>
            <w:r>
              <w:rPr>
                <w:rFonts w:hint="eastAsia" w:asciiTheme="minorEastAsia" w:hAnsiTheme="minorEastAsia" w:eastAsiaTheme="minorEastAsia" w:cstheme="minorEastAsia"/>
                <w:i w:val="0"/>
                <w:iCs w:val="0"/>
                <w:color w:val="auto"/>
                <w:kern w:val="0"/>
                <w:sz w:val="22"/>
                <w:szCs w:val="22"/>
                <w:highlight w:val="none"/>
                <w:u w:val="none"/>
                <w:lang w:val="en-US" w:eastAsia="zh-CN" w:bidi="ar"/>
              </w:rPr>
              <w:t>/</w:t>
            </w:r>
          </w:p>
        </w:tc>
        <w:tc>
          <w:tcPr>
            <w:tcW w:w="17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63329">
            <w:pPr>
              <w:jc w:val="center"/>
              <w:rPr>
                <w:rFonts w:hint="eastAsia" w:asciiTheme="minorEastAsia" w:hAnsiTheme="minorEastAsia" w:eastAsiaTheme="minorEastAsia" w:cstheme="minorEastAsia"/>
                <w:i w:val="0"/>
                <w:iCs w:val="0"/>
                <w:color w:val="auto"/>
                <w:sz w:val="22"/>
                <w:szCs w:val="22"/>
                <w:highlight w:val="none"/>
                <w:u w:val="none"/>
              </w:rPr>
            </w:pPr>
          </w:p>
        </w:tc>
      </w:tr>
    </w:tbl>
    <w:p w14:paraId="6EB1B82F">
      <w:pPr>
        <w:pStyle w:val="54"/>
        <w:spacing w:line="360" w:lineRule="auto"/>
        <w:rPr>
          <w:rFonts w:hint="eastAsia" w:asciiTheme="minorEastAsia" w:hAnsiTheme="minorEastAsia" w:eastAsiaTheme="minorEastAsia" w:cstheme="minorEastAsia"/>
          <w:bCs/>
          <w:color w:val="auto"/>
          <w:szCs w:val="28"/>
          <w:highlight w:val="none"/>
        </w:rPr>
      </w:pPr>
    </w:p>
    <w:p w14:paraId="7180A3AF">
      <w:pPr>
        <w:pStyle w:val="54"/>
        <w:spacing w:line="360" w:lineRule="auto"/>
        <w:rPr>
          <w:rFonts w:hint="eastAsia" w:asciiTheme="minorEastAsia" w:hAnsiTheme="minorEastAsia" w:eastAsiaTheme="minorEastAsia" w:cstheme="minorEastAsia"/>
          <w:bCs/>
          <w:color w:val="auto"/>
          <w:szCs w:val="28"/>
          <w:highlight w:val="none"/>
        </w:rPr>
      </w:pPr>
    </w:p>
    <w:p w14:paraId="08D0FD5A">
      <w:pPr>
        <w:pStyle w:val="54"/>
        <w:spacing w:line="360" w:lineRule="auto"/>
        <w:rPr>
          <w:rFonts w:hint="eastAsia" w:asciiTheme="minorEastAsia" w:hAnsiTheme="minorEastAsia" w:eastAsiaTheme="minorEastAsia" w:cstheme="minorEastAsia"/>
          <w:bCs/>
          <w:color w:val="auto"/>
          <w:szCs w:val="28"/>
          <w:highlight w:val="none"/>
        </w:rPr>
      </w:pPr>
    </w:p>
    <w:p w14:paraId="17823ED0">
      <w:pPr>
        <w:pStyle w:val="54"/>
        <w:spacing w:line="360" w:lineRule="auto"/>
        <w:rPr>
          <w:rFonts w:hint="eastAsia" w:asciiTheme="minorEastAsia" w:hAnsiTheme="minorEastAsia" w:eastAsiaTheme="minorEastAsia" w:cstheme="minorEastAsia"/>
          <w:bCs/>
          <w:color w:val="auto"/>
          <w:szCs w:val="28"/>
          <w:highlight w:val="none"/>
        </w:rPr>
      </w:pPr>
    </w:p>
    <w:p w14:paraId="09620DF7">
      <w:pPr>
        <w:pStyle w:val="54"/>
        <w:spacing w:line="360" w:lineRule="auto"/>
        <w:rPr>
          <w:rFonts w:hint="eastAsia" w:asciiTheme="minorEastAsia" w:hAnsiTheme="minorEastAsia" w:eastAsiaTheme="minorEastAsia" w:cstheme="minorEastAsia"/>
          <w:bCs/>
          <w:color w:val="auto"/>
          <w:szCs w:val="28"/>
          <w:highlight w:val="none"/>
        </w:rPr>
      </w:pPr>
    </w:p>
    <w:p w14:paraId="06DE82A0">
      <w:pPr>
        <w:pStyle w:val="54"/>
        <w:spacing w:line="360" w:lineRule="auto"/>
        <w:rPr>
          <w:rFonts w:hint="eastAsia" w:asciiTheme="minorEastAsia" w:hAnsiTheme="minorEastAsia" w:eastAsiaTheme="minorEastAsia" w:cstheme="minorEastAsia"/>
          <w:bCs/>
          <w:color w:val="auto"/>
          <w:szCs w:val="28"/>
          <w:highlight w:val="none"/>
        </w:rPr>
      </w:pPr>
    </w:p>
    <w:p w14:paraId="35C6E129">
      <w:pPr>
        <w:pStyle w:val="54"/>
        <w:spacing w:line="360" w:lineRule="auto"/>
        <w:rPr>
          <w:rFonts w:hint="eastAsia" w:asciiTheme="minorEastAsia" w:hAnsiTheme="minorEastAsia" w:eastAsiaTheme="minorEastAsia" w:cstheme="minorEastAsia"/>
          <w:bCs/>
          <w:color w:val="auto"/>
          <w:szCs w:val="28"/>
          <w:highlight w:val="none"/>
        </w:rPr>
      </w:pPr>
    </w:p>
    <w:p w14:paraId="1E8D118D">
      <w:pPr>
        <w:pStyle w:val="54"/>
        <w:spacing w:line="360" w:lineRule="auto"/>
        <w:rPr>
          <w:rFonts w:hint="eastAsia" w:asciiTheme="minorEastAsia" w:hAnsiTheme="minorEastAsia" w:eastAsiaTheme="minorEastAsia" w:cstheme="minorEastAsia"/>
          <w:bCs/>
          <w:color w:val="auto"/>
          <w:szCs w:val="28"/>
          <w:highlight w:val="none"/>
        </w:rPr>
      </w:pPr>
    </w:p>
    <w:p w14:paraId="233DF896">
      <w:pPr>
        <w:pStyle w:val="54"/>
        <w:spacing w:line="360" w:lineRule="auto"/>
        <w:rPr>
          <w:rFonts w:hint="eastAsia" w:asciiTheme="minorEastAsia" w:hAnsiTheme="minorEastAsia" w:eastAsiaTheme="minorEastAsia" w:cstheme="minorEastAsia"/>
          <w:bCs/>
          <w:color w:val="auto"/>
          <w:szCs w:val="28"/>
          <w:highlight w:val="none"/>
        </w:rPr>
      </w:pPr>
    </w:p>
    <w:p w14:paraId="4B2385C8">
      <w:pPr>
        <w:pStyle w:val="54"/>
        <w:spacing w:line="360" w:lineRule="auto"/>
        <w:rPr>
          <w:rFonts w:hint="eastAsia" w:asciiTheme="minorEastAsia" w:hAnsiTheme="minorEastAsia" w:eastAsiaTheme="minorEastAsia" w:cstheme="minorEastAsia"/>
          <w:bCs/>
          <w:color w:val="auto"/>
          <w:szCs w:val="28"/>
          <w:highlight w:val="none"/>
        </w:rPr>
      </w:pPr>
    </w:p>
    <w:p w14:paraId="0E7ABC4A">
      <w:pPr>
        <w:pStyle w:val="54"/>
        <w:spacing w:line="360" w:lineRule="auto"/>
        <w:rPr>
          <w:rFonts w:hint="eastAsia" w:asciiTheme="minorEastAsia" w:hAnsiTheme="minorEastAsia" w:eastAsiaTheme="minorEastAsia" w:cstheme="minorEastAsia"/>
          <w:bCs/>
          <w:color w:val="auto"/>
          <w:szCs w:val="28"/>
          <w:highlight w:val="none"/>
        </w:rPr>
      </w:pPr>
    </w:p>
    <w:p w14:paraId="120438CE">
      <w:pPr>
        <w:pStyle w:val="54"/>
        <w:spacing w:line="360" w:lineRule="auto"/>
        <w:rPr>
          <w:rFonts w:hint="eastAsia" w:asciiTheme="minorEastAsia" w:hAnsiTheme="minorEastAsia" w:eastAsiaTheme="minorEastAsia" w:cstheme="minorEastAsia"/>
          <w:bCs/>
          <w:color w:val="auto"/>
          <w:szCs w:val="28"/>
          <w:highlight w:val="none"/>
        </w:rPr>
      </w:pPr>
    </w:p>
    <w:p w14:paraId="5BE5B9DE">
      <w:pPr>
        <w:pStyle w:val="54"/>
        <w:spacing w:line="360" w:lineRule="auto"/>
        <w:rPr>
          <w:rFonts w:hint="eastAsia" w:asciiTheme="minorEastAsia" w:hAnsiTheme="minorEastAsia" w:eastAsiaTheme="minorEastAsia" w:cstheme="minorEastAsia"/>
          <w:bCs/>
          <w:color w:val="auto"/>
          <w:szCs w:val="28"/>
          <w:highlight w:val="none"/>
        </w:rPr>
      </w:pPr>
    </w:p>
    <w:p w14:paraId="03CFCC92">
      <w:pPr>
        <w:pStyle w:val="54"/>
        <w:spacing w:line="360" w:lineRule="auto"/>
        <w:rPr>
          <w:rFonts w:hint="eastAsia" w:asciiTheme="minorEastAsia" w:hAnsiTheme="minorEastAsia" w:eastAsiaTheme="minorEastAsia" w:cstheme="minorEastAsia"/>
          <w:bCs/>
          <w:color w:val="auto"/>
          <w:szCs w:val="28"/>
          <w:highlight w:val="none"/>
        </w:rPr>
      </w:pPr>
      <w:r>
        <w:rPr>
          <w:rFonts w:hint="eastAsia" w:asciiTheme="minorEastAsia" w:hAnsiTheme="minorEastAsia" w:eastAsiaTheme="minorEastAsia" w:cstheme="minorEastAsia"/>
          <w:bCs/>
          <w:color w:val="auto"/>
          <w:szCs w:val="28"/>
          <w:highlight w:val="none"/>
        </w:rPr>
        <w:t>附件四、《装修工程外观验收标准》</w:t>
      </w:r>
    </w:p>
    <w:tbl>
      <w:tblPr>
        <w:tblStyle w:val="47"/>
        <w:tblW w:w="941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93"/>
        <w:gridCol w:w="820"/>
        <w:gridCol w:w="7501"/>
      </w:tblGrid>
      <w:tr w14:paraId="0D43AC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1093" w:type="dxa"/>
          </w:tcPr>
          <w:p w14:paraId="51319442">
            <w:pPr>
              <w:pStyle w:val="101"/>
              <w:spacing w:before="37" w:line="360" w:lineRule="auto"/>
              <w:ind w:left="107"/>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检查内容</w:t>
            </w:r>
          </w:p>
        </w:tc>
        <w:tc>
          <w:tcPr>
            <w:tcW w:w="8321" w:type="dxa"/>
            <w:gridSpan w:val="2"/>
          </w:tcPr>
          <w:p w14:paraId="5CFB0ABE">
            <w:pPr>
              <w:pStyle w:val="101"/>
              <w:spacing w:before="37" w:line="360" w:lineRule="auto"/>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检查标准</w:t>
            </w:r>
          </w:p>
        </w:tc>
      </w:tr>
      <w:tr w14:paraId="34C07E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tcPr>
          <w:p w14:paraId="0F71825F">
            <w:pPr>
              <w:pStyle w:val="101"/>
              <w:spacing w:before="20" w:line="360" w:lineRule="auto"/>
              <w:ind w:left="107"/>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交楼标准</w:t>
            </w:r>
          </w:p>
        </w:tc>
        <w:tc>
          <w:tcPr>
            <w:tcW w:w="8321" w:type="dxa"/>
            <w:gridSpan w:val="2"/>
          </w:tcPr>
          <w:p w14:paraId="1FB1727E">
            <w:pPr>
              <w:pStyle w:val="101"/>
              <w:spacing w:before="20" w:line="360" w:lineRule="auto"/>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是否符合</w:t>
            </w:r>
          </w:p>
        </w:tc>
      </w:tr>
      <w:tr w14:paraId="2B4597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restart"/>
          </w:tcPr>
          <w:p w14:paraId="3ACC3DE2">
            <w:pPr>
              <w:pStyle w:val="101"/>
              <w:spacing w:line="360" w:lineRule="auto"/>
              <w:rPr>
                <w:rFonts w:hint="eastAsia" w:asciiTheme="minorEastAsia" w:hAnsiTheme="minorEastAsia" w:eastAsiaTheme="minorEastAsia" w:cstheme="minorEastAsia"/>
                <w:b/>
                <w:color w:val="auto"/>
                <w:szCs w:val="24"/>
                <w:highlight w:val="none"/>
              </w:rPr>
            </w:pPr>
          </w:p>
          <w:p w14:paraId="74EB6F79">
            <w:pPr>
              <w:pStyle w:val="101"/>
              <w:spacing w:line="360" w:lineRule="auto"/>
              <w:rPr>
                <w:rFonts w:hint="eastAsia" w:asciiTheme="minorEastAsia" w:hAnsiTheme="minorEastAsia" w:eastAsiaTheme="minorEastAsia" w:cstheme="minorEastAsia"/>
                <w:b/>
                <w:color w:val="auto"/>
                <w:szCs w:val="24"/>
                <w:highlight w:val="none"/>
              </w:rPr>
            </w:pPr>
          </w:p>
          <w:p w14:paraId="5AC479EB">
            <w:pPr>
              <w:pStyle w:val="101"/>
              <w:spacing w:line="360" w:lineRule="auto"/>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地面</w:t>
            </w:r>
          </w:p>
        </w:tc>
        <w:tc>
          <w:tcPr>
            <w:tcW w:w="820" w:type="dxa"/>
            <w:vMerge w:val="restart"/>
          </w:tcPr>
          <w:p w14:paraId="37C0A17D">
            <w:pPr>
              <w:pStyle w:val="101"/>
              <w:spacing w:line="360" w:lineRule="auto"/>
              <w:ind w:left="219"/>
              <w:jc w:val="left"/>
              <w:rPr>
                <w:rFonts w:hint="eastAsia" w:asciiTheme="minorEastAsia" w:hAnsiTheme="minorEastAsia" w:eastAsiaTheme="minorEastAsia" w:cstheme="minorEastAsia"/>
                <w:color w:val="auto"/>
                <w:szCs w:val="24"/>
                <w:highlight w:val="none"/>
              </w:rPr>
            </w:pPr>
          </w:p>
          <w:p w14:paraId="0F3FF9DE">
            <w:pPr>
              <w:pStyle w:val="101"/>
              <w:spacing w:line="360" w:lineRule="auto"/>
              <w:ind w:left="219"/>
              <w:jc w:val="left"/>
              <w:rPr>
                <w:rFonts w:hint="eastAsia" w:asciiTheme="minorEastAsia" w:hAnsiTheme="minorEastAsia" w:eastAsiaTheme="minorEastAsia" w:cstheme="minorEastAsia"/>
                <w:color w:val="auto"/>
                <w:szCs w:val="24"/>
                <w:highlight w:val="none"/>
              </w:rPr>
            </w:pPr>
          </w:p>
          <w:p w14:paraId="309BDE86">
            <w:pPr>
              <w:pStyle w:val="101"/>
              <w:spacing w:line="360" w:lineRule="auto"/>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xml:space="preserve">瓷 </w:t>
            </w:r>
            <w:r>
              <w:rPr>
                <w:rFonts w:hint="eastAsia" w:asciiTheme="minorEastAsia" w:hAnsiTheme="minorEastAsia" w:eastAsiaTheme="minorEastAsia" w:cstheme="minorEastAsia"/>
                <w:color w:val="auto"/>
                <w:spacing w:val="-16"/>
                <w:szCs w:val="24"/>
                <w:highlight w:val="none"/>
              </w:rPr>
              <w:t>砖</w:t>
            </w:r>
          </w:p>
        </w:tc>
        <w:tc>
          <w:tcPr>
            <w:tcW w:w="7501" w:type="dxa"/>
          </w:tcPr>
          <w:p w14:paraId="359B2588">
            <w:pPr>
              <w:pStyle w:val="101"/>
              <w:spacing w:before="20" w:line="360" w:lineRule="auto"/>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瓷砖铺贴平整、对缝整齐，无空鼓、开裂、缺棱、掉角、色差、污染。</w:t>
            </w:r>
          </w:p>
        </w:tc>
      </w:tr>
      <w:tr w14:paraId="0C2D14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tcPr>
          <w:p w14:paraId="0F2CE665">
            <w:pPr>
              <w:spacing w:line="360" w:lineRule="auto"/>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tcPr>
          <w:p w14:paraId="66B8806A">
            <w:pPr>
              <w:spacing w:line="360" w:lineRule="auto"/>
              <w:jc w:val="left"/>
              <w:rPr>
                <w:rFonts w:hint="eastAsia" w:asciiTheme="minorEastAsia" w:hAnsiTheme="minorEastAsia" w:eastAsiaTheme="minorEastAsia" w:cstheme="minorEastAsia"/>
                <w:color w:val="auto"/>
                <w:szCs w:val="24"/>
                <w:highlight w:val="none"/>
              </w:rPr>
            </w:pPr>
          </w:p>
        </w:tc>
        <w:tc>
          <w:tcPr>
            <w:tcW w:w="7501" w:type="dxa"/>
          </w:tcPr>
          <w:p w14:paraId="6C825868">
            <w:pPr>
              <w:pStyle w:val="101"/>
              <w:spacing w:before="20" w:line="360" w:lineRule="auto"/>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地漏口须设置在对角裁开的方砖正中，且收边美观、圆滑。</w:t>
            </w:r>
          </w:p>
        </w:tc>
      </w:tr>
      <w:tr w14:paraId="2C4D77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top w:val="nil"/>
            </w:tcBorders>
          </w:tcPr>
          <w:p w14:paraId="72EBB868">
            <w:pPr>
              <w:spacing w:line="360" w:lineRule="auto"/>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tcPr>
          <w:p w14:paraId="149FC404">
            <w:pPr>
              <w:spacing w:line="360" w:lineRule="auto"/>
              <w:jc w:val="left"/>
              <w:rPr>
                <w:rFonts w:hint="eastAsia" w:asciiTheme="minorEastAsia" w:hAnsiTheme="minorEastAsia" w:eastAsiaTheme="minorEastAsia" w:cstheme="minorEastAsia"/>
                <w:color w:val="auto"/>
                <w:szCs w:val="24"/>
                <w:highlight w:val="none"/>
              </w:rPr>
            </w:pPr>
          </w:p>
        </w:tc>
        <w:tc>
          <w:tcPr>
            <w:tcW w:w="7501" w:type="dxa"/>
          </w:tcPr>
          <w:p w14:paraId="4BF00320">
            <w:pPr>
              <w:pStyle w:val="101"/>
              <w:spacing w:before="21" w:line="360" w:lineRule="auto"/>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厨卫和阳台地面肉眼可见明显坡向地漏，须放水检验排水畅通、不积水、不渗漏。</w:t>
            </w:r>
          </w:p>
        </w:tc>
      </w:tr>
      <w:tr w14:paraId="4D93B9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tcPr>
          <w:p w14:paraId="4138BAB0">
            <w:pPr>
              <w:spacing w:line="360" w:lineRule="auto"/>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tcPr>
          <w:p w14:paraId="368B8861">
            <w:pPr>
              <w:spacing w:line="360" w:lineRule="auto"/>
              <w:jc w:val="left"/>
              <w:rPr>
                <w:rFonts w:hint="eastAsia" w:asciiTheme="minorEastAsia" w:hAnsiTheme="minorEastAsia" w:eastAsiaTheme="minorEastAsia" w:cstheme="minorEastAsia"/>
                <w:color w:val="auto"/>
                <w:szCs w:val="24"/>
                <w:highlight w:val="none"/>
              </w:rPr>
            </w:pPr>
          </w:p>
        </w:tc>
        <w:tc>
          <w:tcPr>
            <w:tcW w:w="7501" w:type="dxa"/>
          </w:tcPr>
          <w:p w14:paraId="065E7719">
            <w:pPr>
              <w:pStyle w:val="101"/>
              <w:spacing w:before="20" w:line="360" w:lineRule="auto"/>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pacing w:val="-16"/>
                <w:szCs w:val="24"/>
                <w:highlight w:val="none"/>
              </w:rPr>
              <w:t>地漏不应设在厨房菜盆、灶台、冰箱、卫生间洗脸盆的前方或阳台上经常行走的部位。</w:t>
            </w:r>
          </w:p>
        </w:tc>
      </w:tr>
      <w:tr w14:paraId="57519C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tcPr>
          <w:p w14:paraId="6D3C3016">
            <w:pPr>
              <w:spacing w:line="360" w:lineRule="auto"/>
              <w:rPr>
                <w:rFonts w:hint="eastAsia" w:asciiTheme="minorEastAsia" w:hAnsiTheme="minorEastAsia" w:eastAsiaTheme="minorEastAsia" w:cstheme="minorEastAsia"/>
                <w:color w:val="auto"/>
                <w:szCs w:val="24"/>
                <w:highlight w:val="none"/>
              </w:rPr>
            </w:pPr>
          </w:p>
        </w:tc>
        <w:tc>
          <w:tcPr>
            <w:tcW w:w="820" w:type="dxa"/>
            <w:vMerge w:val="restart"/>
          </w:tcPr>
          <w:p w14:paraId="65B5B093">
            <w:pPr>
              <w:pStyle w:val="101"/>
              <w:spacing w:before="11" w:line="360" w:lineRule="auto"/>
              <w:jc w:val="left"/>
              <w:rPr>
                <w:rFonts w:hint="eastAsia" w:asciiTheme="minorEastAsia" w:hAnsiTheme="minorEastAsia" w:eastAsiaTheme="minorEastAsia" w:cstheme="minorEastAsia"/>
                <w:b/>
                <w:color w:val="auto"/>
                <w:szCs w:val="24"/>
                <w:highlight w:val="none"/>
              </w:rPr>
            </w:pPr>
          </w:p>
          <w:p w14:paraId="3D911738">
            <w:pPr>
              <w:pStyle w:val="101"/>
              <w:spacing w:line="360" w:lineRule="auto"/>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木地板</w:t>
            </w:r>
          </w:p>
        </w:tc>
        <w:tc>
          <w:tcPr>
            <w:tcW w:w="7501" w:type="dxa"/>
          </w:tcPr>
          <w:p w14:paraId="30256383">
            <w:pPr>
              <w:pStyle w:val="101"/>
              <w:spacing w:before="20" w:line="360" w:lineRule="auto"/>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表面平直，颜色、木纹协调一致，洁净无胶痕。</w:t>
            </w:r>
          </w:p>
        </w:tc>
      </w:tr>
      <w:tr w14:paraId="1F0B9E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top w:val="nil"/>
            </w:tcBorders>
          </w:tcPr>
          <w:p w14:paraId="1A786A96">
            <w:pPr>
              <w:spacing w:line="360" w:lineRule="auto"/>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tcPr>
          <w:p w14:paraId="6C5DABEF">
            <w:pPr>
              <w:spacing w:line="360" w:lineRule="auto"/>
              <w:jc w:val="left"/>
              <w:rPr>
                <w:rFonts w:hint="eastAsia" w:asciiTheme="minorEastAsia" w:hAnsiTheme="minorEastAsia" w:eastAsiaTheme="minorEastAsia" w:cstheme="minorEastAsia"/>
                <w:color w:val="auto"/>
                <w:szCs w:val="24"/>
                <w:highlight w:val="none"/>
              </w:rPr>
            </w:pPr>
          </w:p>
        </w:tc>
        <w:tc>
          <w:tcPr>
            <w:tcW w:w="7501" w:type="dxa"/>
          </w:tcPr>
          <w:p w14:paraId="06CE8F89">
            <w:pPr>
              <w:pStyle w:val="101"/>
              <w:spacing w:before="21" w:line="360" w:lineRule="auto"/>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地板无松动、爆裂或撞凹，行走时无吱吱作响声。</w:t>
            </w:r>
          </w:p>
        </w:tc>
      </w:tr>
      <w:tr w14:paraId="3D5BB3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tcPr>
          <w:p w14:paraId="5DC96D69">
            <w:pPr>
              <w:spacing w:line="360" w:lineRule="auto"/>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tcPr>
          <w:p w14:paraId="63CB958C">
            <w:pPr>
              <w:spacing w:line="360" w:lineRule="auto"/>
              <w:jc w:val="left"/>
              <w:rPr>
                <w:rFonts w:hint="eastAsia" w:asciiTheme="minorEastAsia" w:hAnsiTheme="minorEastAsia" w:eastAsiaTheme="minorEastAsia" w:cstheme="minorEastAsia"/>
                <w:color w:val="auto"/>
                <w:szCs w:val="24"/>
                <w:highlight w:val="none"/>
              </w:rPr>
            </w:pPr>
          </w:p>
        </w:tc>
        <w:tc>
          <w:tcPr>
            <w:tcW w:w="7501" w:type="dxa"/>
          </w:tcPr>
          <w:p w14:paraId="5C035ABF">
            <w:pPr>
              <w:pStyle w:val="101"/>
              <w:spacing w:before="20" w:line="360" w:lineRule="auto"/>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地脚线接口，无松动现象。</w:t>
            </w:r>
          </w:p>
        </w:tc>
      </w:tr>
      <w:tr w14:paraId="62827C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restart"/>
          </w:tcPr>
          <w:p w14:paraId="30095A1A">
            <w:pPr>
              <w:pStyle w:val="101"/>
              <w:spacing w:line="360" w:lineRule="auto"/>
              <w:rPr>
                <w:rFonts w:hint="eastAsia" w:asciiTheme="minorEastAsia" w:hAnsiTheme="minorEastAsia" w:eastAsiaTheme="minorEastAsia" w:cstheme="minorEastAsia"/>
                <w:b/>
                <w:color w:val="auto"/>
                <w:szCs w:val="24"/>
                <w:highlight w:val="none"/>
              </w:rPr>
            </w:pPr>
          </w:p>
          <w:p w14:paraId="0DD84D37">
            <w:pPr>
              <w:pStyle w:val="101"/>
              <w:spacing w:before="1" w:line="360" w:lineRule="auto"/>
              <w:rPr>
                <w:rFonts w:hint="eastAsia" w:asciiTheme="minorEastAsia" w:hAnsiTheme="minorEastAsia" w:eastAsiaTheme="minorEastAsia" w:cstheme="minorEastAsia"/>
                <w:color w:val="auto"/>
                <w:szCs w:val="24"/>
                <w:highlight w:val="none"/>
              </w:rPr>
            </w:pPr>
          </w:p>
          <w:p w14:paraId="0BAA56DE">
            <w:pPr>
              <w:pStyle w:val="101"/>
              <w:spacing w:before="1" w:line="360" w:lineRule="auto"/>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墙面</w:t>
            </w:r>
          </w:p>
        </w:tc>
        <w:tc>
          <w:tcPr>
            <w:tcW w:w="820" w:type="dxa"/>
            <w:vMerge w:val="restart"/>
          </w:tcPr>
          <w:p w14:paraId="7EF0ACBC">
            <w:pPr>
              <w:pStyle w:val="101"/>
              <w:spacing w:before="4" w:line="360" w:lineRule="auto"/>
              <w:jc w:val="left"/>
              <w:rPr>
                <w:rFonts w:hint="eastAsia" w:asciiTheme="minorEastAsia" w:hAnsiTheme="minorEastAsia" w:eastAsiaTheme="minorEastAsia" w:cstheme="minorEastAsia"/>
                <w:b/>
                <w:color w:val="auto"/>
                <w:szCs w:val="24"/>
                <w:highlight w:val="none"/>
              </w:rPr>
            </w:pPr>
          </w:p>
          <w:p w14:paraId="37270459">
            <w:pPr>
              <w:pStyle w:val="101"/>
              <w:spacing w:line="360" w:lineRule="auto"/>
              <w:ind w:right="80"/>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乳胶漆墙面</w:t>
            </w:r>
          </w:p>
        </w:tc>
        <w:tc>
          <w:tcPr>
            <w:tcW w:w="7501" w:type="dxa"/>
          </w:tcPr>
          <w:p w14:paraId="4BC1ECD9">
            <w:pPr>
              <w:pStyle w:val="101"/>
              <w:spacing w:before="20" w:line="360" w:lineRule="auto"/>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无裂缝、裂纹，无掉粉、起皮，无流坠、疙瘩，无漏刷、污损、透底。</w:t>
            </w:r>
          </w:p>
        </w:tc>
      </w:tr>
      <w:tr w14:paraId="7F4E9F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jc w:val="center"/>
        </w:trPr>
        <w:tc>
          <w:tcPr>
            <w:tcW w:w="1093" w:type="dxa"/>
            <w:vMerge w:val="continue"/>
            <w:tcBorders>
              <w:top w:val="nil"/>
            </w:tcBorders>
          </w:tcPr>
          <w:p w14:paraId="492E1DF5">
            <w:pPr>
              <w:spacing w:line="360" w:lineRule="auto"/>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tcPr>
          <w:p w14:paraId="6BE7CD16">
            <w:pPr>
              <w:spacing w:line="360" w:lineRule="auto"/>
              <w:jc w:val="left"/>
              <w:rPr>
                <w:rFonts w:hint="eastAsia" w:asciiTheme="minorEastAsia" w:hAnsiTheme="minorEastAsia" w:eastAsiaTheme="minorEastAsia" w:cstheme="minorEastAsia"/>
                <w:color w:val="auto"/>
                <w:szCs w:val="24"/>
                <w:highlight w:val="none"/>
              </w:rPr>
            </w:pPr>
          </w:p>
        </w:tc>
        <w:tc>
          <w:tcPr>
            <w:tcW w:w="7501" w:type="dxa"/>
          </w:tcPr>
          <w:p w14:paraId="3F954253">
            <w:pPr>
              <w:pStyle w:val="101"/>
              <w:spacing w:before="52" w:line="360" w:lineRule="auto"/>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刷纹通顺、无明显刷纹，光感均匀、无起伏阴影和色差。</w:t>
            </w:r>
          </w:p>
        </w:tc>
      </w:tr>
      <w:tr w14:paraId="735439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tcPr>
          <w:p w14:paraId="20EC2104">
            <w:pPr>
              <w:spacing w:line="360" w:lineRule="auto"/>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tcPr>
          <w:p w14:paraId="6A40EB2E">
            <w:pPr>
              <w:spacing w:line="360" w:lineRule="auto"/>
              <w:jc w:val="left"/>
              <w:rPr>
                <w:rFonts w:hint="eastAsia" w:asciiTheme="minorEastAsia" w:hAnsiTheme="minorEastAsia" w:eastAsiaTheme="minorEastAsia" w:cstheme="minorEastAsia"/>
                <w:color w:val="auto"/>
                <w:szCs w:val="24"/>
                <w:highlight w:val="none"/>
              </w:rPr>
            </w:pPr>
          </w:p>
        </w:tc>
        <w:tc>
          <w:tcPr>
            <w:tcW w:w="7501" w:type="dxa"/>
          </w:tcPr>
          <w:p w14:paraId="2A8ED0D5">
            <w:pPr>
              <w:pStyle w:val="101"/>
              <w:spacing w:before="20" w:line="360" w:lineRule="auto"/>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阴阳角线条清晰、方正顺直。</w:t>
            </w:r>
          </w:p>
        </w:tc>
      </w:tr>
      <w:tr w14:paraId="6C7578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tcPr>
          <w:p w14:paraId="018E7365">
            <w:pPr>
              <w:spacing w:line="360" w:lineRule="auto"/>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tcPr>
          <w:p w14:paraId="14C780CF">
            <w:pPr>
              <w:spacing w:line="360" w:lineRule="auto"/>
              <w:jc w:val="left"/>
              <w:rPr>
                <w:rFonts w:hint="eastAsia" w:asciiTheme="minorEastAsia" w:hAnsiTheme="minorEastAsia" w:eastAsiaTheme="minorEastAsia" w:cstheme="minorEastAsia"/>
                <w:color w:val="auto"/>
                <w:szCs w:val="24"/>
                <w:highlight w:val="none"/>
              </w:rPr>
            </w:pPr>
          </w:p>
        </w:tc>
        <w:tc>
          <w:tcPr>
            <w:tcW w:w="7501" w:type="dxa"/>
          </w:tcPr>
          <w:p w14:paraId="56E0D5FC">
            <w:pPr>
              <w:pStyle w:val="101"/>
              <w:spacing w:before="20" w:line="360" w:lineRule="auto"/>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基本无反碱、咬色。</w:t>
            </w:r>
          </w:p>
        </w:tc>
      </w:tr>
      <w:tr w14:paraId="758DC1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tcPr>
          <w:p w14:paraId="2C261F38">
            <w:pPr>
              <w:spacing w:line="360" w:lineRule="auto"/>
              <w:rPr>
                <w:rFonts w:hint="eastAsia" w:asciiTheme="minorEastAsia" w:hAnsiTheme="minorEastAsia" w:eastAsiaTheme="minorEastAsia" w:cstheme="minorEastAsia"/>
                <w:color w:val="auto"/>
                <w:szCs w:val="24"/>
                <w:highlight w:val="none"/>
              </w:rPr>
            </w:pPr>
          </w:p>
        </w:tc>
        <w:tc>
          <w:tcPr>
            <w:tcW w:w="820" w:type="dxa"/>
            <w:vMerge w:val="restart"/>
          </w:tcPr>
          <w:p w14:paraId="37A76245">
            <w:pPr>
              <w:pStyle w:val="101"/>
              <w:spacing w:before="11" w:line="360" w:lineRule="auto"/>
              <w:jc w:val="left"/>
              <w:rPr>
                <w:rFonts w:hint="eastAsia" w:asciiTheme="minorEastAsia" w:hAnsiTheme="minorEastAsia" w:eastAsiaTheme="minorEastAsia" w:cstheme="minorEastAsia"/>
                <w:b/>
                <w:color w:val="auto"/>
                <w:szCs w:val="24"/>
                <w:highlight w:val="none"/>
              </w:rPr>
            </w:pPr>
          </w:p>
          <w:p w14:paraId="6E1748BE">
            <w:pPr>
              <w:pStyle w:val="101"/>
              <w:spacing w:line="360" w:lineRule="auto"/>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val="en-US"/>
              </w:rPr>
              <w:t>瓷砖</w:t>
            </w:r>
            <w:r>
              <w:rPr>
                <w:rFonts w:hint="eastAsia" w:asciiTheme="minorEastAsia" w:hAnsiTheme="minorEastAsia" w:eastAsiaTheme="minorEastAsia" w:cstheme="minorEastAsia"/>
                <w:color w:val="auto"/>
                <w:szCs w:val="24"/>
                <w:highlight w:val="none"/>
              </w:rPr>
              <w:t>墙面</w:t>
            </w:r>
          </w:p>
        </w:tc>
        <w:tc>
          <w:tcPr>
            <w:tcW w:w="7501" w:type="dxa"/>
          </w:tcPr>
          <w:p w14:paraId="03C4B179">
            <w:pPr>
              <w:pStyle w:val="101"/>
              <w:spacing w:before="21" w:line="360" w:lineRule="auto"/>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瓷片牢固平整、对缝整齐、勾缝饱满均匀。</w:t>
            </w:r>
          </w:p>
        </w:tc>
      </w:tr>
      <w:tr w14:paraId="1E6264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top w:val="nil"/>
            </w:tcBorders>
          </w:tcPr>
          <w:p w14:paraId="2A04FD75">
            <w:pPr>
              <w:spacing w:line="360" w:lineRule="auto"/>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tcPr>
          <w:p w14:paraId="01692C59">
            <w:pPr>
              <w:spacing w:line="360" w:lineRule="auto"/>
              <w:jc w:val="left"/>
              <w:rPr>
                <w:rFonts w:hint="eastAsia" w:asciiTheme="minorEastAsia" w:hAnsiTheme="minorEastAsia" w:eastAsiaTheme="minorEastAsia" w:cstheme="minorEastAsia"/>
                <w:color w:val="auto"/>
                <w:szCs w:val="24"/>
                <w:highlight w:val="none"/>
              </w:rPr>
            </w:pPr>
          </w:p>
        </w:tc>
        <w:tc>
          <w:tcPr>
            <w:tcW w:w="7501" w:type="dxa"/>
          </w:tcPr>
          <w:p w14:paraId="25C4D726">
            <w:pPr>
              <w:pStyle w:val="101"/>
              <w:spacing w:before="21" w:line="360" w:lineRule="auto"/>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无破裂、空鼓、色差、污渍，无缺棱掉角、歪斜。</w:t>
            </w:r>
          </w:p>
        </w:tc>
      </w:tr>
      <w:tr w14:paraId="1EB0E5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tcPr>
          <w:p w14:paraId="240F5DC5">
            <w:pPr>
              <w:spacing w:line="360" w:lineRule="auto"/>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tcPr>
          <w:p w14:paraId="44456F74">
            <w:pPr>
              <w:spacing w:line="360" w:lineRule="auto"/>
              <w:jc w:val="left"/>
              <w:rPr>
                <w:rFonts w:hint="eastAsia" w:asciiTheme="minorEastAsia" w:hAnsiTheme="minorEastAsia" w:eastAsiaTheme="minorEastAsia" w:cstheme="minorEastAsia"/>
                <w:color w:val="auto"/>
                <w:szCs w:val="24"/>
                <w:highlight w:val="none"/>
              </w:rPr>
            </w:pPr>
          </w:p>
        </w:tc>
        <w:tc>
          <w:tcPr>
            <w:tcW w:w="7501" w:type="dxa"/>
          </w:tcPr>
          <w:p w14:paraId="616573E8">
            <w:pPr>
              <w:pStyle w:val="101"/>
              <w:spacing w:before="20" w:line="360" w:lineRule="auto"/>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阴阳角处瓷片搭接方向正确。</w:t>
            </w:r>
          </w:p>
        </w:tc>
      </w:tr>
      <w:tr w14:paraId="62CE95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restart"/>
          </w:tcPr>
          <w:p w14:paraId="75D3D378">
            <w:pPr>
              <w:pStyle w:val="101"/>
              <w:spacing w:line="360" w:lineRule="auto"/>
              <w:rPr>
                <w:rFonts w:hint="eastAsia" w:asciiTheme="minorEastAsia" w:hAnsiTheme="minorEastAsia" w:eastAsiaTheme="minorEastAsia" w:cstheme="minorEastAsia"/>
                <w:color w:val="auto"/>
                <w:szCs w:val="24"/>
                <w:highlight w:val="none"/>
              </w:rPr>
            </w:pPr>
          </w:p>
          <w:p w14:paraId="735790E0">
            <w:pPr>
              <w:pStyle w:val="101"/>
              <w:spacing w:line="360" w:lineRule="auto"/>
              <w:rPr>
                <w:rFonts w:hint="eastAsia" w:asciiTheme="minorEastAsia" w:hAnsiTheme="minorEastAsia" w:eastAsiaTheme="minorEastAsia" w:cstheme="minorEastAsia"/>
                <w:color w:val="auto"/>
                <w:szCs w:val="24"/>
                <w:highlight w:val="none"/>
              </w:rPr>
            </w:pPr>
          </w:p>
          <w:p w14:paraId="28929DBF">
            <w:pPr>
              <w:pStyle w:val="101"/>
              <w:spacing w:line="360" w:lineRule="auto"/>
              <w:rPr>
                <w:rFonts w:hint="eastAsia" w:asciiTheme="minorEastAsia" w:hAnsiTheme="minorEastAsia" w:eastAsiaTheme="minorEastAsia" w:cstheme="minorEastAsia"/>
                <w:color w:val="auto"/>
                <w:szCs w:val="24"/>
                <w:highlight w:val="none"/>
              </w:rPr>
            </w:pPr>
          </w:p>
          <w:p w14:paraId="58810C52">
            <w:pPr>
              <w:pStyle w:val="101"/>
              <w:spacing w:line="360" w:lineRule="auto"/>
              <w:rPr>
                <w:rFonts w:hint="eastAsia" w:asciiTheme="minorEastAsia" w:hAnsiTheme="minorEastAsia" w:eastAsiaTheme="minorEastAsia" w:cstheme="minorEastAsia"/>
                <w:color w:val="auto"/>
                <w:szCs w:val="24"/>
                <w:highlight w:val="none"/>
              </w:rPr>
            </w:pPr>
          </w:p>
          <w:p w14:paraId="516D02CC">
            <w:pPr>
              <w:pStyle w:val="101"/>
              <w:spacing w:line="360" w:lineRule="auto"/>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天花</w:t>
            </w:r>
          </w:p>
        </w:tc>
        <w:tc>
          <w:tcPr>
            <w:tcW w:w="820" w:type="dxa"/>
            <w:vMerge w:val="restart"/>
          </w:tcPr>
          <w:p w14:paraId="224A41E6">
            <w:pPr>
              <w:pStyle w:val="101"/>
              <w:spacing w:before="7" w:line="360" w:lineRule="auto"/>
              <w:jc w:val="left"/>
              <w:rPr>
                <w:rFonts w:hint="eastAsia" w:asciiTheme="minorEastAsia" w:hAnsiTheme="minorEastAsia" w:eastAsiaTheme="minorEastAsia" w:cstheme="minorEastAsia"/>
                <w:b/>
                <w:color w:val="auto"/>
                <w:szCs w:val="24"/>
                <w:highlight w:val="none"/>
              </w:rPr>
            </w:pPr>
          </w:p>
          <w:p w14:paraId="49208DBC">
            <w:pPr>
              <w:pStyle w:val="101"/>
              <w:spacing w:line="360" w:lineRule="auto"/>
              <w:ind w:right="80"/>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乳胶漆天花</w:t>
            </w:r>
          </w:p>
        </w:tc>
        <w:tc>
          <w:tcPr>
            <w:tcW w:w="7501" w:type="dxa"/>
          </w:tcPr>
          <w:p w14:paraId="56E7FAF1">
            <w:pPr>
              <w:pStyle w:val="101"/>
              <w:spacing w:before="20" w:line="360" w:lineRule="auto"/>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无裂缝、裂纹，无掉粉、起皮，无流坠、疙瘩，无漏刷、污损、透底。</w:t>
            </w:r>
          </w:p>
        </w:tc>
      </w:tr>
      <w:tr w14:paraId="76C19F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tcPr>
          <w:p w14:paraId="1162CD45">
            <w:pPr>
              <w:spacing w:line="360" w:lineRule="auto"/>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tcPr>
          <w:p w14:paraId="77B8917E">
            <w:pPr>
              <w:spacing w:line="360" w:lineRule="auto"/>
              <w:jc w:val="left"/>
              <w:rPr>
                <w:rFonts w:hint="eastAsia" w:asciiTheme="minorEastAsia" w:hAnsiTheme="minorEastAsia" w:eastAsiaTheme="minorEastAsia" w:cstheme="minorEastAsia"/>
                <w:color w:val="auto"/>
                <w:szCs w:val="24"/>
                <w:highlight w:val="none"/>
              </w:rPr>
            </w:pPr>
          </w:p>
        </w:tc>
        <w:tc>
          <w:tcPr>
            <w:tcW w:w="7501" w:type="dxa"/>
          </w:tcPr>
          <w:p w14:paraId="67588001">
            <w:pPr>
              <w:pStyle w:val="101"/>
              <w:spacing w:before="20" w:line="360" w:lineRule="auto"/>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刷纹通顺、无明显刷纹，光感均匀、无起伏阴影和色差。</w:t>
            </w:r>
          </w:p>
        </w:tc>
      </w:tr>
      <w:tr w14:paraId="34FF60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top w:val="nil"/>
            </w:tcBorders>
          </w:tcPr>
          <w:p w14:paraId="502BB986">
            <w:pPr>
              <w:spacing w:line="360" w:lineRule="auto"/>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tcPr>
          <w:p w14:paraId="3417B166">
            <w:pPr>
              <w:spacing w:line="360" w:lineRule="auto"/>
              <w:jc w:val="left"/>
              <w:rPr>
                <w:rFonts w:hint="eastAsia" w:asciiTheme="minorEastAsia" w:hAnsiTheme="minorEastAsia" w:eastAsiaTheme="minorEastAsia" w:cstheme="minorEastAsia"/>
                <w:color w:val="auto"/>
                <w:szCs w:val="24"/>
                <w:highlight w:val="none"/>
              </w:rPr>
            </w:pPr>
          </w:p>
        </w:tc>
        <w:tc>
          <w:tcPr>
            <w:tcW w:w="7501" w:type="dxa"/>
          </w:tcPr>
          <w:p w14:paraId="615C13D5">
            <w:pPr>
              <w:pStyle w:val="101"/>
              <w:spacing w:before="21" w:line="360" w:lineRule="auto"/>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装饰线、分色线平直，阴阳角线条清晰、方正顺直。</w:t>
            </w:r>
          </w:p>
        </w:tc>
      </w:tr>
      <w:tr w14:paraId="787609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tcPr>
          <w:p w14:paraId="32D3FEFB">
            <w:pPr>
              <w:spacing w:line="360" w:lineRule="auto"/>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tcPr>
          <w:p w14:paraId="00764028">
            <w:pPr>
              <w:spacing w:line="360" w:lineRule="auto"/>
              <w:jc w:val="left"/>
              <w:rPr>
                <w:rFonts w:hint="eastAsia" w:asciiTheme="minorEastAsia" w:hAnsiTheme="minorEastAsia" w:eastAsiaTheme="minorEastAsia" w:cstheme="minorEastAsia"/>
                <w:color w:val="auto"/>
                <w:szCs w:val="24"/>
                <w:highlight w:val="none"/>
              </w:rPr>
            </w:pPr>
          </w:p>
        </w:tc>
        <w:tc>
          <w:tcPr>
            <w:tcW w:w="7501" w:type="dxa"/>
          </w:tcPr>
          <w:p w14:paraId="3B18DE7B">
            <w:pPr>
              <w:pStyle w:val="101"/>
              <w:spacing w:before="20" w:line="360" w:lineRule="auto"/>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基本无反碱、咬色。</w:t>
            </w:r>
          </w:p>
        </w:tc>
      </w:tr>
      <w:tr w14:paraId="78F599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top w:val="nil"/>
            </w:tcBorders>
          </w:tcPr>
          <w:p w14:paraId="15A1F8A2">
            <w:pPr>
              <w:spacing w:line="360" w:lineRule="auto"/>
              <w:rPr>
                <w:rFonts w:hint="eastAsia" w:asciiTheme="minorEastAsia" w:hAnsiTheme="minorEastAsia" w:eastAsiaTheme="minorEastAsia" w:cstheme="minorEastAsia"/>
                <w:color w:val="auto"/>
                <w:szCs w:val="24"/>
                <w:highlight w:val="none"/>
              </w:rPr>
            </w:pPr>
          </w:p>
        </w:tc>
        <w:tc>
          <w:tcPr>
            <w:tcW w:w="820" w:type="dxa"/>
            <w:vMerge w:val="restart"/>
          </w:tcPr>
          <w:p w14:paraId="5A328347">
            <w:pPr>
              <w:pStyle w:val="101"/>
              <w:spacing w:before="11" w:line="360" w:lineRule="auto"/>
              <w:jc w:val="left"/>
              <w:rPr>
                <w:rFonts w:hint="eastAsia" w:asciiTheme="minorEastAsia" w:hAnsiTheme="minorEastAsia" w:eastAsiaTheme="minorEastAsia" w:cstheme="minorEastAsia"/>
                <w:b/>
                <w:color w:val="auto"/>
                <w:szCs w:val="24"/>
                <w:highlight w:val="none"/>
              </w:rPr>
            </w:pPr>
          </w:p>
          <w:p w14:paraId="3F89A1DF">
            <w:pPr>
              <w:pStyle w:val="101"/>
              <w:spacing w:line="360" w:lineRule="auto"/>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吊顶</w:t>
            </w:r>
          </w:p>
        </w:tc>
        <w:tc>
          <w:tcPr>
            <w:tcW w:w="7501" w:type="dxa"/>
          </w:tcPr>
          <w:p w14:paraId="4DCBEB89">
            <w:pPr>
              <w:pStyle w:val="101"/>
              <w:spacing w:before="21" w:line="360" w:lineRule="auto"/>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整体完好、安装牢固，表面平整、颜色均匀，线角顺直方正。</w:t>
            </w:r>
          </w:p>
        </w:tc>
      </w:tr>
      <w:tr w14:paraId="7F61CE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1093" w:type="dxa"/>
            <w:vMerge w:val="continue"/>
            <w:tcBorders>
              <w:top w:val="nil"/>
            </w:tcBorders>
          </w:tcPr>
          <w:p w14:paraId="03D60790">
            <w:pPr>
              <w:spacing w:line="360" w:lineRule="auto"/>
              <w:rPr>
                <w:rFonts w:hint="eastAsia" w:asciiTheme="minorEastAsia" w:hAnsiTheme="minorEastAsia" w:eastAsiaTheme="minorEastAsia" w:cstheme="minorEastAsia"/>
                <w:color w:val="auto"/>
                <w:szCs w:val="24"/>
                <w:highlight w:val="none"/>
              </w:rPr>
            </w:pPr>
          </w:p>
        </w:tc>
        <w:tc>
          <w:tcPr>
            <w:tcW w:w="820" w:type="dxa"/>
            <w:vMerge w:val="continue"/>
            <w:tcBorders>
              <w:top w:val="nil"/>
            </w:tcBorders>
          </w:tcPr>
          <w:p w14:paraId="07CAFBD3">
            <w:pPr>
              <w:spacing w:line="360" w:lineRule="auto"/>
              <w:rPr>
                <w:rFonts w:hint="eastAsia" w:asciiTheme="minorEastAsia" w:hAnsiTheme="minorEastAsia" w:eastAsiaTheme="minorEastAsia" w:cstheme="minorEastAsia"/>
                <w:color w:val="auto"/>
                <w:szCs w:val="24"/>
                <w:highlight w:val="none"/>
              </w:rPr>
            </w:pPr>
          </w:p>
        </w:tc>
        <w:tc>
          <w:tcPr>
            <w:tcW w:w="7501" w:type="dxa"/>
          </w:tcPr>
          <w:p w14:paraId="61522D48">
            <w:pPr>
              <w:pStyle w:val="101"/>
              <w:spacing w:before="20" w:line="360" w:lineRule="auto"/>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无污染、折裂、锤伤、缺棱掉角。</w:t>
            </w:r>
          </w:p>
        </w:tc>
      </w:tr>
      <w:tr w14:paraId="7CFF6B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top w:val="nil"/>
              <w:bottom w:val="single" w:color="auto" w:sz="4" w:space="0"/>
            </w:tcBorders>
          </w:tcPr>
          <w:p w14:paraId="74906770">
            <w:pPr>
              <w:spacing w:line="360" w:lineRule="auto"/>
              <w:rPr>
                <w:rFonts w:hint="eastAsia" w:asciiTheme="minorEastAsia" w:hAnsiTheme="minorEastAsia" w:eastAsiaTheme="minorEastAsia" w:cstheme="minorEastAsia"/>
                <w:color w:val="auto"/>
                <w:szCs w:val="24"/>
                <w:highlight w:val="none"/>
              </w:rPr>
            </w:pPr>
          </w:p>
        </w:tc>
        <w:tc>
          <w:tcPr>
            <w:tcW w:w="820" w:type="dxa"/>
            <w:vMerge w:val="continue"/>
            <w:tcBorders>
              <w:top w:val="nil"/>
              <w:bottom w:val="single" w:color="auto" w:sz="4" w:space="0"/>
            </w:tcBorders>
          </w:tcPr>
          <w:p w14:paraId="16314715">
            <w:pPr>
              <w:spacing w:line="360" w:lineRule="auto"/>
              <w:rPr>
                <w:rFonts w:hint="eastAsia" w:asciiTheme="minorEastAsia" w:hAnsiTheme="minorEastAsia" w:eastAsiaTheme="minorEastAsia" w:cstheme="minorEastAsia"/>
                <w:color w:val="auto"/>
                <w:szCs w:val="24"/>
                <w:highlight w:val="none"/>
              </w:rPr>
            </w:pPr>
          </w:p>
        </w:tc>
        <w:tc>
          <w:tcPr>
            <w:tcW w:w="7501" w:type="dxa"/>
          </w:tcPr>
          <w:p w14:paraId="7FAE547D">
            <w:pPr>
              <w:pStyle w:val="101"/>
              <w:spacing w:before="20" w:line="360" w:lineRule="auto"/>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接缝均匀一致。</w:t>
            </w:r>
          </w:p>
        </w:tc>
      </w:tr>
      <w:tr w14:paraId="725C57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restart"/>
            <w:tcBorders>
              <w:top w:val="single" w:color="auto" w:sz="4" w:space="0"/>
              <w:left w:val="single" w:color="auto" w:sz="4" w:space="0"/>
              <w:bottom w:val="single" w:color="auto" w:sz="4" w:space="0"/>
              <w:right w:val="single" w:color="auto" w:sz="4" w:space="0"/>
            </w:tcBorders>
          </w:tcPr>
          <w:p w14:paraId="3077E8D3">
            <w:pPr>
              <w:spacing w:line="360" w:lineRule="auto"/>
              <w:rPr>
                <w:rFonts w:hint="eastAsia" w:asciiTheme="minorEastAsia" w:hAnsiTheme="minorEastAsia" w:eastAsiaTheme="minorEastAsia" w:cstheme="minorEastAsia"/>
                <w:color w:val="auto"/>
                <w:szCs w:val="24"/>
                <w:highlight w:val="none"/>
              </w:rPr>
            </w:pPr>
          </w:p>
          <w:p w14:paraId="7003046F">
            <w:pPr>
              <w:spacing w:line="360" w:lineRule="auto"/>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给排水</w:t>
            </w:r>
          </w:p>
        </w:tc>
        <w:tc>
          <w:tcPr>
            <w:tcW w:w="820" w:type="dxa"/>
            <w:tcBorders>
              <w:top w:val="single" w:color="auto" w:sz="4" w:space="0"/>
              <w:left w:val="single" w:color="auto" w:sz="4" w:space="0"/>
              <w:bottom w:val="single" w:color="auto" w:sz="4" w:space="0"/>
              <w:right w:val="single" w:color="auto" w:sz="4" w:space="0"/>
            </w:tcBorders>
          </w:tcPr>
          <w:p w14:paraId="59E6DD89">
            <w:pPr>
              <w:pStyle w:val="101"/>
              <w:spacing w:before="20" w:line="360" w:lineRule="auto"/>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给水</w:t>
            </w:r>
          </w:p>
        </w:tc>
        <w:tc>
          <w:tcPr>
            <w:tcW w:w="7501" w:type="dxa"/>
            <w:tcBorders>
              <w:left w:val="single" w:color="auto" w:sz="4" w:space="0"/>
            </w:tcBorders>
          </w:tcPr>
          <w:p w14:paraId="64ACAF51">
            <w:pPr>
              <w:pStyle w:val="101"/>
              <w:spacing w:before="20" w:line="360" w:lineRule="auto"/>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给水分户总阀开关正常、操作灵活自如、无渗漏，水表无损伤，运转方向正确。</w:t>
            </w:r>
          </w:p>
        </w:tc>
      </w:tr>
      <w:tr w14:paraId="1029DF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top w:val="single" w:color="auto" w:sz="4" w:space="0"/>
              <w:left w:val="single" w:color="auto" w:sz="4" w:space="0"/>
              <w:bottom w:val="single" w:color="auto" w:sz="4" w:space="0"/>
              <w:right w:val="single" w:color="auto" w:sz="4" w:space="0"/>
            </w:tcBorders>
          </w:tcPr>
          <w:p w14:paraId="5AC1FA1C">
            <w:pPr>
              <w:spacing w:line="360" w:lineRule="auto"/>
              <w:rPr>
                <w:rFonts w:hint="eastAsia" w:asciiTheme="minorEastAsia" w:hAnsiTheme="minorEastAsia" w:eastAsiaTheme="minorEastAsia" w:cstheme="minorEastAsia"/>
                <w:color w:val="auto"/>
                <w:szCs w:val="24"/>
                <w:highlight w:val="none"/>
              </w:rPr>
            </w:pPr>
          </w:p>
        </w:tc>
        <w:tc>
          <w:tcPr>
            <w:tcW w:w="820" w:type="dxa"/>
            <w:tcBorders>
              <w:top w:val="single" w:color="auto" w:sz="4" w:space="0"/>
              <w:left w:val="single" w:color="auto" w:sz="4" w:space="0"/>
              <w:bottom w:val="single" w:color="auto" w:sz="4" w:space="0"/>
              <w:right w:val="single" w:color="auto" w:sz="4" w:space="0"/>
            </w:tcBorders>
          </w:tcPr>
          <w:p w14:paraId="5B9C871F">
            <w:pPr>
              <w:pStyle w:val="101"/>
              <w:spacing w:before="177" w:line="360" w:lineRule="auto"/>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排水</w:t>
            </w:r>
          </w:p>
        </w:tc>
        <w:tc>
          <w:tcPr>
            <w:tcW w:w="7501" w:type="dxa"/>
            <w:tcBorders>
              <w:left w:val="single" w:color="auto" w:sz="4" w:space="0"/>
              <w:bottom w:val="single" w:color="auto" w:sz="4" w:space="0"/>
            </w:tcBorders>
          </w:tcPr>
          <w:p w14:paraId="6456AB74">
            <w:pPr>
              <w:pStyle w:val="101"/>
              <w:spacing w:before="21" w:line="360" w:lineRule="auto"/>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pacing w:val="-16"/>
                <w:szCs w:val="24"/>
                <w:highlight w:val="none"/>
              </w:rPr>
              <w:t>排水顺畅、有吸力，不渗漏，配件齐全，安装到位。预留口位置准确，保护有效，管内无</w:t>
            </w:r>
          </w:p>
          <w:p w14:paraId="7BB243F3">
            <w:pPr>
              <w:pStyle w:val="101"/>
              <w:spacing w:before="43" w:line="360" w:lineRule="auto"/>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异物。</w:t>
            </w:r>
          </w:p>
        </w:tc>
      </w:tr>
      <w:tr w14:paraId="12BC4C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jc w:val="center"/>
        </w:trPr>
        <w:tc>
          <w:tcPr>
            <w:tcW w:w="1093" w:type="dxa"/>
            <w:vMerge w:val="restart"/>
            <w:tcBorders>
              <w:top w:val="single" w:color="auto" w:sz="4" w:space="0"/>
              <w:left w:val="single" w:color="auto" w:sz="4" w:space="0"/>
              <w:right w:val="single" w:color="auto" w:sz="4" w:space="0"/>
            </w:tcBorders>
          </w:tcPr>
          <w:p w14:paraId="13A17216">
            <w:pPr>
              <w:spacing w:line="360" w:lineRule="auto"/>
              <w:rPr>
                <w:rFonts w:hint="eastAsia" w:asciiTheme="minorEastAsia" w:hAnsiTheme="minorEastAsia" w:eastAsiaTheme="minorEastAsia" w:cstheme="minorEastAsia"/>
                <w:color w:val="auto"/>
                <w:szCs w:val="24"/>
                <w:highlight w:val="none"/>
              </w:rPr>
            </w:pPr>
          </w:p>
          <w:p w14:paraId="58CB0F3E">
            <w:pPr>
              <w:spacing w:line="360" w:lineRule="auto"/>
              <w:rPr>
                <w:rFonts w:hint="eastAsia" w:asciiTheme="minorEastAsia" w:hAnsiTheme="minorEastAsia" w:eastAsiaTheme="minorEastAsia" w:cstheme="minorEastAsia"/>
                <w:color w:val="auto"/>
                <w:szCs w:val="24"/>
                <w:highlight w:val="none"/>
              </w:rPr>
            </w:pPr>
          </w:p>
          <w:p w14:paraId="1AC373AA">
            <w:pPr>
              <w:spacing w:line="360" w:lineRule="auto"/>
              <w:rPr>
                <w:rFonts w:hint="eastAsia" w:asciiTheme="minorEastAsia" w:hAnsiTheme="minorEastAsia" w:eastAsiaTheme="minorEastAsia" w:cstheme="minorEastAsia"/>
                <w:color w:val="auto"/>
                <w:szCs w:val="24"/>
                <w:highlight w:val="none"/>
              </w:rPr>
            </w:pPr>
          </w:p>
          <w:p w14:paraId="6C138589">
            <w:pPr>
              <w:spacing w:line="360" w:lineRule="auto"/>
              <w:rPr>
                <w:rFonts w:hint="eastAsia" w:asciiTheme="minorEastAsia" w:hAnsiTheme="minorEastAsia" w:eastAsiaTheme="minorEastAsia" w:cstheme="minorEastAsia"/>
                <w:color w:val="auto"/>
                <w:szCs w:val="24"/>
                <w:highlight w:val="none"/>
              </w:rPr>
            </w:pPr>
          </w:p>
          <w:p w14:paraId="501F8801">
            <w:pPr>
              <w:spacing w:line="360" w:lineRule="auto"/>
              <w:rPr>
                <w:rFonts w:hint="eastAsia" w:asciiTheme="minorEastAsia" w:hAnsiTheme="minorEastAsia" w:eastAsiaTheme="minorEastAsia" w:cstheme="minorEastAsia"/>
                <w:color w:val="auto"/>
                <w:szCs w:val="24"/>
                <w:highlight w:val="none"/>
              </w:rPr>
            </w:pPr>
          </w:p>
          <w:p w14:paraId="7128A809">
            <w:pPr>
              <w:spacing w:line="360" w:lineRule="auto"/>
              <w:rPr>
                <w:rFonts w:hint="eastAsia" w:asciiTheme="minorEastAsia" w:hAnsiTheme="minorEastAsia" w:eastAsiaTheme="minorEastAsia" w:cstheme="minorEastAsia"/>
                <w:color w:val="auto"/>
                <w:szCs w:val="24"/>
                <w:highlight w:val="none"/>
              </w:rPr>
            </w:pPr>
          </w:p>
          <w:p w14:paraId="3AB4A7A0">
            <w:pPr>
              <w:spacing w:line="360" w:lineRule="auto"/>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安装类</w:t>
            </w:r>
          </w:p>
        </w:tc>
        <w:tc>
          <w:tcPr>
            <w:tcW w:w="820" w:type="dxa"/>
            <w:vMerge w:val="restart"/>
            <w:tcBorders>
              <w:top w:val="single" w:color="auto" w:sz="4" w:space="0"/>
              <w:left w:val="single" w:color="auto" w:sz="4" w:space="0"/>
              <w:bottom w:val="single" w:color="auto" w:sz="4" w:space="0"/>
              <w:right w:val="single" w:color="auto" w:sz="4" w:space="0"/>
            </w:tcBorders>
          </w:tcPr>
          <w:p w14:paraId="6F0CE65F">
            <w:pPr>
              <w:spacing w:line="360" w:lineRule="auto"/>
              <w:jc w:val="left"/>
              <w:rPr>
                <w:rFonts w:hint="eastAsia" w:asciiTheme="minorEastAsia" w:hAnsiTheme="minorEastAsia" w:eastAsiaTheme="minorEastAsia" w:cstheme="minorEastAsia"/>
                <w:color w:val="auto"/>
                <w:szCs w:val="24"/>
                <w:highlight w:val="none"/>
              </w:rPr>
            </w:pPr>
          </w:p>
          <w:p w14:paraId="4D985CE6">
            <w:pPr>
              <w:spacing w:line="360" w:lineRule="auto"/>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灯具</w:t>
            </w:r>
          </w:p>
        </w:tc>
        <w:tc>
          <w:tcPr>
            <w:tcW w:w="7501" w:type="dxa"/>
            <w:tcBorders>
              <w:top w:val="single" w:color="auto" w:sz="4" w:space="0"/>
              <w:left w:val="single" w:color="auto" w:sz="4" w:space="0"/>
              <w:bottom w:val="single" w:color="auto" w:sz="4" w:space="0"/>
              <w:right w:val="single" w:color="auto" w:sz="4" w:space="0"/>
            </w:tcBorders>
          </w:tcPr>
          <w:p w14:paraId="560613F6">
            <w:pPr>
              <w:pStyle w:val="101"/>
              <w:spacing w:before="21" w:line="360" w:lineRule="auto"/>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无松动、破损，表面整洁、开关正常、位置正确。</w:t>
            </w:r>
          </w:p>
        </w:tc>
      </w:tr>
      <w:tr w14:paraId="06AA1B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jc w:val="center"/>
        </w:trPr>
        <w:tc>
          <w:tcPr>
            <w:tcW w:w="1093" w:type="dxa"/>
            <w:vMerge w:val="continue"/>
            <w:tcBorders>
              <w:left w:val="single" w:color="auto" w:sz="4" w:space="0"/>
              <w:right w:val="single" w:color="auto" w:sz="4" w:space="0"/>
            </w:tcBorders>
          </w:tcPr>
          <w:p w14:paraId="19788B82">
            <w:pPr>
              <w:spacing w:line="360" w:lineRule="auto"/>
              <w:rPr>
                <w:rFonts w:hint="eastAsia" w:asciiTheme="minorEastAsia" w:hAnsiTheme="minorEastAsia" w:eastAsiaTheme="minorEastAsia" w:cstheme="minorEastAsia"/>
                <w:color w:val="auto"/>
                <w:szCs w:val="24"/>
                <w:highlight w:val="none"/>
              </w:rPr>
            </w:pPr>
          </w:p>
        </w:tc>
        <w:tc>
          <w:tcPr>
            <w:tcW w:w="820" w:type="dxa"/>
            <w:vMerge w:val="continue"/>
            <w:tcBorders>
              <w:top w:val="single" w:color="auto" w:sz="4" w:space="0"/>
              <w:left w:val="single" w:color="auto" w:sz="4" w:space="0"/>
              <w:bottom w:val="single" w:color="auto" w:sz="4" w:space="0"/>
              <w:right w:val="single" w:color="auto" w:sz="4" w:space="0"/>
            </w:tcBorders>
          </w:tcPr>
          <w:p w14:paraId="61379B7C">
            <w:pPr>
              <w:spacing w:line="360" w:lineRule="auto"/>
              <w:jc w:val="left"/>
              <w:rPr>
                <w:rFonts w:hint="eastAsia" w:asciiTheme="minorEastAsia" w:hAnsiTheme="minorEastAsia" w:eastAsiaTheme="minorEastAsia" w:cstheme="minorEastAsia"/>
                <w:color w:val="auto"/>
                <w:szCs w:val="24"/>
                <w:highlight w:val="none"/>
              </w:rPr>
            </w:pPr>
          </w:p>
        </w:tc>
        <w:tc>
          <w:tcPr>
            <w:tcW w:w="7501" w:type="dxa"/>
            <w:tcBorders>
              <w:top w:val="single" w:color="auto" w:sz="4" w:space="0"/>
              <w:left w:val="single" w:color="auto" w:sz="4" w:space="0"/>
              <w:bottom w:val="single" w:color="auto" w:sz="4" w:space="0"/>
              <w:right w:val="single" w:color="auto" w:sz="4" w:space="0"/>
            </w:tcBorders>
          </w:tcPr>
          <w:p w14:paraId="201BDF92">
            <w:pPr>
              <w:pStyle w:val="101"/>
              <w:spacing w:before="20" w:line="360" w:lineRule="auto"/>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灯泡完好、规格型号正确，符合设计要求。</w:t>
            </w:r>
          </w:p>
        </w:tc>
      </w:tr>
      <w:tr w14:paraId="78B992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tcPr>
          <w:p w14:paraId="33ACF410">
            <w:pPr>
              <w:spacing w:line="360" w:lineRule="auto"/>
              <w:jc w:val="left"/>
              <w:rPr>
                <w:rFonts w:hint="eastAsia" w:asciiTheme="minorEastAsia" w:hAnsiTheme="minorEastAsia" w:eastAsiaTheme="minorEastAsia" w:cstheme="minorEastAsia"/>
                <w:color w:val="auto"/>
                <w:szCs w:val="24"/>
                <w:highlight w:val="none"/>
              </w:rPr>
            </w:pPr>
          </w:p>
        </w:tc>
        <w:tc>
          <w:tcPr>
            <w:tcW w:w="820" w:type="dxa"/>
            <w:vMerge w:val="restart"/>
            <w:tcBorders>
              <w:top w:val="single" w:color="auto" w:sz="4" w:space="0"/>
              <w:left w:val="single" w:color="auto" w:sz="4" w:space="0"/>
              <w:bottom w:val="single" w:color="auto" w:sz="4" w:space="0"/>
              <w:right w:val="single" w:color="auto" w:sz="4" w:space="0"/>
            </w:tcBorders>
          </w:tcPr>
          <w:p w14:paraId="7D5CE23A">
            <w:pPr>
              <w:spacing w:line="360" w:lineRule="auto"/>
              <w:jc w:val="left"/>
              <w:rPr>
                <w:rFonts w:hint="eastAsia" w:asciiTheme="minorEastAsia" w:hAnsiTheme="minorEastAsia" w:eastAsiaTheme="minorEastAsia" w:cstheme="minorEastAsia"/>
                <w:color w:val="auto"/>
                <w:szCs w:val="24"/>
                <w:highlight w:val="none"/>
              </w:rPr>
            </w:pPr>
          </w:p>
          <w:p w14:paraId="63FA7875">
            <w:pPr>
              <w:spacing w:line="360" w:lineRule="auto"/>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开关插座等</w:t>
            </w:r>
          </w:p>
        </w:tc>
        <w:tc>
          <w:tcPr>
            <w:tcW w:w="7501" w:type="dxa"/>
            <w:tcBorders>
              <w:top w:val="single" w:color="auto" w:sz="4" w:space="0"/>
              <w:left w:val="single" w:color="auto" w:sz="4" w:space="0"/>
              <w:bottom w:val="single" w:color="auto" w:sz="4" w:space="0"/>
              <w:right w:val="single" w:color="auto" w:sz="4" w:space="0"/>
            </w:tcBorders>
          </w:tcPr>
          <w:p w14:paraId="1DF911FB">
            <w:pPr>
              <w:pStyle w:val="101"/>
              <w:spacing w:before="20" w:line="360" w:lineRule="auto"/>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位置、高度正确合理，安装牢固、端正。</w:t>
            </w:r>
          </w:p>
        </w:tc>
      </w:tr>
      <w:tr w14:paraId="4C0BDF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tcPr>
          <w:p w14:paraId="5888E7A0">
            <w:pPr>
              <w:spacing w:line="360" w:lineRule="auto"/>
              <w:jc w:val="left"/>
              <w:rPr>
                <w:rFonts w:hint="eastAsia" w:asciiTheme="minorEastAsia" w:hAnsiTheme="minorEastAsia" w:eastAsiaTheme="minorEastAsia" w:cstheme="minorEastAsia"/>
                <w:color w:val="auto"/>
                <w:szCs w:val="24"/>
                <w:highlight w:val="none"/>
              </w:rPr>
            </w:pPr>
          </w:p>
        </w:tc>
        <w:tc>
          <w:tcPr>
            <w:tcW w:w="820" w:type="dxa"/>
            <w:vMerge w:val="continue"/>
            <w:tcBorders>
              <w:top w:val="single" w:color="auto" w:sz="4" w:space="0"/>
              <w:left w:val="single" w:color="auto" w:sz="4" w:space="0"/>
              <w:bottom w:val="single" w:color="auto" w:sz="4" w:space="0"/>
              <w:right w:val="single" w:color="auto" w:sz="4" w:space="0"/>
            </w:tcBorders>
          </w:tcPr>
          <w:p w14:paraId="207E0D3E">
            <w:pPr>
              <w:spacing w:line="360" w:lineRule="auto"/>
              <w:jc w:val="left"/>
              <w:rPr>
                <w:rFonts w:hint="eastAsia" w:asciiTheme="minorEastAsia" w:hAnsiTheme="minorEastAsia" w:eastAsiaTheme="minorEastAsia" w:cstheme="minorEastAsia"/>
                <w:color w:val="auto"/>
                <w:szCs w:val="24"/>
                <w:highlight w:val="none"/>
              </w:rPr>
            </w:pPr>
          </w:p>
        </w:tc>
        <w:tc>
          <w:tcPr>
            <w:tcW w:w="7501" w:type="dxa"/>
            <w:tcBorders>
              <w:top w:val="single" w:color="auto" w:sz="4" w:space="0"/>
              <w:left w:val="single" w:color="auto" w:sz="4" w:space="0"/>
              <w:bottom w:val="single" w:color="auto" w:sz="4" w:space="0"/>
              <w:right w:val="single" w:color="auto" w:sz="4" w:space="0"/>
            </w:tcBorders>
          </w:tcPr>
          <w:p w14:paraId="6E553BC7">
            <w:pPr>
              <w:pStyle w:val="101"/>
              <w:spacing w:before="20" w:line="360" w:lineRule="auto"/>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规格型号符合设计要求，使用、通电正常。</w:t>
            </w:r>
          </w:p>
        </w:tc>
      </w:tr>
      <w:tr w14:paraId="7E7ED7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tcPr>
          <w:p w14:paraId="1718EDF1">
            <w:pPr>
              <w:spacing w:line="360" w:lineRule="auto"/>
              <w:rPr>
                <w:rFonts w:hint="eastAsia" w:asciiTheme="minorEastAsia" w:hAnsiTheme="minorEastAsia" w:eastAsiaTheme="minorEastAsia" w:cstheme="minorEastAsia"/>
                <w:color w:val="auto"/>
                <w:szCs w:val="24"/>
                <w:highlight w:val="none"/>
              </w:rPr>
            </w:pPr>
          </w:p>
        </w:tc>
        <w:tc>
          <w:tcPr>
            <w:tcW w:w="820" w:type="dxa"/>
            <w:vMerge w:val="continue"/>
            <w:tcBorders>
              <w:top w:val="single" w:color="auto" w:sz="4" w:space="0"/>
              <w:left w:val="single" w:color="auto" w:sz="4" w:space="0"/>
              <w:bottom w:val="single" w:color="auto" w:sz="4" w:space="0"/>
              <w:right w:val="single" w:color="auto" w:sz="4" w:space="0"/>
            </w:tcBorders>
          </w:tcPr>
          <w:p w14:paraId="66AB3529">
            <w:pPr>
              <w:spacing w:line="360" w:lineRule="auto"/>
              <w:rPr>
                <w:rFonts w:hint="eastAsia" w:asciiTheme="minorEastAsia" w:hAnsiTheme="minorEastAsia" w:eastAsiaTheme="minorEastAsia" w:cstheme="minorEastAsia"/>
                <w:color w:val="auto"/>
                <w:szCs w:val="24"/>
                <w:highlight w:val="none"/>
              </w:rPr>
            </w:pPr>
          </w:p>
        </w:tc>
        <w:tc>
          <w:tcPr>
            <w:tcW w:w="7501" w:type="dxa"/>
            <w:tcBorders>
              <w:top w:val="single" w:color="auto" w:sz="4" w:space="0"/>
              <w:left w:val="single" w:color="auto" w:sz="4" w:space="0"/>
              <w:bottom w:val="single" w:color="auto" w:sz="4" w:space="0"/>
              <w:right w:val="single" w:color="auto" w:sz="4" w:space="0"/>
            </w:tcBorders>
          </w:tcPr>
          <w:p w14:paraId="5058E2FB">
            <w:pPr>
              <w:pStyle w:val="101"/>
              <w:spacing w:before="20" w:line="360" w:lineRule="auto"/>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表面完好，无破损、磕伤、划痕、锈蚀、污染等。</w:t>
            </w:r>
          </w:p>
        </w:tc>
      </w:tr>
      <w:tr w14:paraId="5FF9DB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tcPr>
          <w:p w14:paraId="4E5BD256">
            <w:pPr>
              <w:spacing w:line="360" w:lineRule="auto"/>
              <w:rPr>
                <w:rFonts w:hint="eastAsia" w:asciiTheme="minorEastAsia" w:hAnsiTheme="minorEastAsia" w:eastAsiaTheme="minorEastAsia" w:cstheme="minorEastAsia"/>
                <w:color w:val="auto"/>
                <w:szCs w:val="24"/>
                <w:highlight w:val="none"/>
              </w:rPr>
            </w:pPr>
          </w:p>
        </w:tc>
        <w:tc>
          <w:tcPr>
            <w:tcW w:w="820" w:type="dxa"/>
            <w:vMerge w:val="continue"/>
            <w:tcBorders>
              <w:top w:val="single" w:color="auto" w:sz="4" w:space="0"/>
              <w:left w:val="single" w:color="auto" w:sz="4" w:space="0"/>
              <w:bottom w:val="single" w:color="auto" w:sz="4" w:space="0"/>
              <w:right w:val="single" w:color="auto" w:sz="4" w:space="0"/>
            </w:tcBorders>
          </w:tcPr>
          <w:p w14:paraId="34D7D18F">
            <w:pPr>
              <w:spacing w:line="360" w:lineRule="auto"/>
              <w:rPr>
                <w:rFonts w:hint="eastAsia" w:asciiTheme="minorEastAsia" w:hAnsiTheme="minorEastAsia" w:eastAsiaTheme="minorEastAsia" w:cstheme="minorEastAsia"/>
                <w:color w:val="auto"/>
                <w:szCs w:val="24"/>
                <w:highlight w:val="none"/>
              </w:rPr>
            </w:pPr>
          </w:p>
        </w:tc>
        <w:tc>
          <w:tcPr>
            <w:tcW w:w="7501" w:type="dxa"/>
            <w:tcBorders>
              <w:top w:val="single" w:color="auto" w:sz="4" w:space="0"/>
              <w:left w:val="single" w:color="auto" w:sz="4" w:space="0"/>
              <w:bottom w:val="single" w:color="auto" w:sz="4" w:space="0"/>
              <w:right w:val="single" w:color="auto" w:sz="4" w:space="0"/>
            </w:tcBorders>
          </w:tcPr>
          <w:p w14:paraId="338CCE92">
            <w:pPr>
              <w:pStyle w:val="101"/>
              <w:spacing w:before="20" w:line="360" w:lineRule="auto"/>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开、关位置与标示对应，控制灯具正确。</w:t>
            </w:r>
          </w:p>
        </w:tc>
      </w:tr>
      <w:tr w14:paraId="034A99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tcPr>
          <w:p w14:paraId="0FB2447C">
            <w:pPr>
              <w:spacing w:line="360" w:lineRule="auto"/>
              <w:rPr>
                <w:rFonts w:hint="eastAsia" w:asciiTheme="minorEastAsia" w:hAnsiTheme="minorEastAsia" w:eastAsiaTheme="minorEastAsia" w:cstheme="minorEastAsia"/>
                <w:color w:val="auto"/>
                <w:szCs w:val="24"/>
                <w:highlight w:val="none"/>
              </w:rPr>
            </w:pPr>
          </w:p>
        </w:tc>
        <w:tc>
          <w:tcPr>
            <w:tcW w:w="820" w:type="dxa"/>
            <w:vMerge w:val="continue"/>
            <w:tcBorders>
              <w:top w:val="single" w:color="auto" w:sz="4" w:space="0"/>
              <w:left w:val="single" w:color="auto" w:sz="4" w:space="0"/>
              <w:bottom w:val="single" w:color="auto" w:sz="4" w:space="0"/>
              <w:right w:val="single" w:color="auto" w:sz="4" w:space="0"/>
            </w:tcBorders>
          </w:tcPr>
          <w:p w14:paraId="54175139">
            <w:pPr>
              <w:spacing w:line="360" w:lineRule="auto"/>
              <w:rPr>
                <w:rFonts w:hint="eastAsia" w:asciiTheme="minorEastAsia" w:hAnsiTheme="minorEastAsia" w:eastAsiaTheme="minorEastAsia" w:cstheme="minorEastAsia"/>
                <w:color w:val="auto"/>
                <w:szCs w:val="24"/>
                <w:highlight w:val="none"/>
              </w:rPr>
            </w:pPr>
          </w:p>
        </w:tc>
        <w:tc>
          <w:tcPr>
            <w:tcW w:w="7501" w:type="dxa"/>
            <w:tcBorders>
              <w:top w:val="single" w:color="auto" w:sz="4" w:space="0"/>
              <w:left w:val="single" w:color="auto" w:sz="4" w:space="0"/>
              <w:bottom w:val="single" w:color="auto" w:sz="4" w:space="0"/>
              <w:right w:val="single" w:color="auto" w:sz="4" w:space="0"/>
            </w:tcBorders>
          </w:tcPr>
          <w:p w14:paraId="0DD6CC27">
            <w:pPr>
              <w:pStyle w:val="101"/>
              <w:spacing w:before="20" w:line="360" w:lineRule="auto"/>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pacing w:val="-16"/>
                <w:szCs w:val="24"/>
                <w:highlight w:val="none"/>
              </w:rPr>
              <w:t>配电箱内布线整齐，接点紧固，负荷及支线开关标识清楚，漏电开关自检正常，箱体接地良好。</w:t>
            </w:r>
          </w:p>
        </w:tc>
      </w:tr>
      <w:tr w14:paraId="518F35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tcPr>
          <w:p w14:paraId="09A15D4E">
            <w:pPr>
              <w:spacing w:line="360" w:lineRule="auto"/>
              <w:rPr>
                <w:rFonts w:hint="eastAsia" w:asciiTheme="minorEastAsia" w:hAnsiTheme="minorEastAsia" w:eastAsiaTheme="minorEastAsia" w:cstheme="minorEastAsia"/>
                <w:color w:val="auto"/>
                <w:szCs w:val="24"/>
                <w:highlight w:val="none"/>
              </w:rPr>
            </w:pPr>
          </w:p>
        </w:tc>
        <w:tc>
          <w:tcPr>
            <w:tcW w:w="820" w:type="dxa"/>
            <w:vMerge w:val="restart"/>
            <w:tcBorders>
              <w:top w:val="single" w:color="auto" w:sz="4" w:space="0"/>
              <w:left w:val="single" w:color="auto" w:sz="4" w:space="0"/>
              <w:right w:val="single" w:color="auto" w:sz="4" w:space="0"/>
            </w:tcBorders>
          </w:tcPr>
          <w:p w14:paraId="76D5CC77">
            <w:pPr>
              <w:spacing w:line="360" w:lineRule="auto"/>
              <w:rPr>
                <w:rFonts w:hint="eastAsia" w:asciiTheme="minorEastAsia" w:hAnsiTheme="minorEastAsia" w:eastAsiaTheme="minorEastAsia" w:cstheme="minorEastAsia"/>
                <w:color w:val="auto"/>
                <w:szCs w:val="24"/>
                <w:highlight w:val="none"/>
              </w:rPr>
            </w:pPr>
          </w:p>
          <w:p w14:paraId="69DABF91">
            <w:pPr>
              <w:spacing w:line="360" w:lineRule="auto"/>
              <w:rPr>
                <w:rFonts w:hint="eastAsia" w:asciiTheme="minorEastAsia" w:hAnsiTheme="minorEastAsia" w:eastAsiaTheme="minorEastAsia" w:cstheme="minorEastAsia"/>
                <w:color w:val="auto"/>
                <w:szCs w:val="24"/>
                <w:highlight w:val="none"/>
              </w:rPr>
            </w:pPr>
          </w:p>
          <w:p w14:paraId="6E7DCCFC">
            <w:pPr>
              <w:spacing w:line="360" w:lineRule="auto"/>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洁具</w:t>
            </w:r>
          </w:p>
        </w:tc>
        <w:tc>
          <w:tcPr>
            <w:tcW w:w="7501" w:type="dxa"/>
            <w:tcBorders>
              <w:top w:val="single" w:color="auto" w:sz="4" w:space="0"/>
              <w:left w:val="single" w:color="auto" w:sz="4" w:space="0"/>
              <w:bottom w:val="single" w:color="auto" w:sz="4" w:space="0"/>
              <w:right w:val="single" w:color="auto" w:sz="4" w:space="0"/>
            </w:tcBorders>
          </w:tcPr>
          <w:p w14:paraId="6AB3977D">
            <w:pPr>
              <w:pStyle w:val="101"/>
              <w:spacing w:before="21" w:line="360" w:lineRule="auto"/>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pacing w:val="-16"/>
                <w:szCs w:val="24"/>
                <w:highlight w:val="none"/>
              </w:rPr>
              <w:t>洁具及配件安装牢固端正，无破裂、脱瓷、划痕、水锈、污渍，洗手盆闭水器启闭灵活自</w:t>
            </w:r>
            <w:r>
              <w:rPr>
                <w:rFonts w:hint="eastAsia" w:asciiTheme="minorEastAsia" w:hAnsiTheme="minorEastAsia" w:eastAsiaTheme="minorEastAsia" w:cstheme="minorEastAsia"/>
                <w:color w:val="auto"/>
                <w:szCs w:val="24"/>
                <w:highlight w:val="none"/>
              </w:rPr>
              <w:t>如。</w:t>
            </w:r>
          </w:p>
        </w:tc>
      </w:tr>
      <w:tr w14:paraId="56759B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tcPr>
          <w:p w14:paraId="54E2D6E1">
            <w:pPr>
              <w:spacing w:line="360" w:lineRule="auto"/>
              <w:rPr>
                <w:rFonts w:hint="eastAsia" w:asciiTheme="minorEastAsia" w:hAnsiTheme="minorEastAsia" w:eastAsiaTheme="minorEastAsia" w:cstheme="minorEastAsia"/>
                <w:color w:val="auto"/>
                <w:szCs w:val="24"/>
                <w:highlight w:val="none"/>
              </w:rPr>
            </w:pPr>
          </w:p>
        </w:tc>
        <w:tc>
          <w:tcPr>
            <w:tcW w:w="820" w:type="dxa"/>
            <w:vMerge w:val="continue"/>
            <w:tcBorders>
              <w:left w:val="single" w:color="auto" w:sz="4" w:space="0"/>
              <w:right w:val="single" w:color="auto" w:sz="4" w:space="0"/>
            </w:tcBorders>
          </w:tcPr>
          <w:p w14:paraId="13603F65">
            <w:pPr>
              <w:spacing w:line="360" w:lineRule="auto"/>
              <w:rPr>
                <w:rFonts w:hint="eastAsia" w:asciiTheme="minorEastAsia" w:hAnsiTheme="minorEastAsia" w:eastAsiaTheme="minorEastAsia" w:cstheme="minorEastAsia"/>
                <w:color w:val="auto"/>
                <w:szCs w:val="24"/>
                <w:highlight w:val="none"/>
              </w:rPr>
            </w:pPr>
          </w:p>
        </w:tc>
        <w:tc>
          <w:tcPr>
            <w:tcW w:w="7501" w:type="dxa"/>
            <w:tcBorders>
              <w:top w:val="single" w:color="auto" w:sz="4" w:space="0"/>
              <w:left w:val="single" w:color="auto" w:sz="4" w:space="0"/>
              <w:bottom w:val="single" w:color="auto" w:sz="4" w:space="0"/>
              <w:right w:val="single" w:color="auto" w:sz="4" w:space="0"/>
            </w:tcBorders>
          </w:tcPr>
          <w:p w14:paraId="74BE0220">
            <w:pPr>
              <w:pStyle w:val="101"/>
              <w:spacing w:before="20" w:line="360" w:lineRule="auto"/>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洁具及存水弯无渗漏，排水畅通有吸力，无反臭现象。</w:t>
            </w:r>
          </w:p>
        </w:tc>
      </w:tr>
      <w:tr w14:paraId="4CCD49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tcPr>
          <w:p w14:paraId="39978A32">
            <w:pPr>
              <w:spacing w:line="360" w:lineRule="auto"/>
              <w:rPr>
                <w:rFonts w:hint="eastAsia" w:asciiTheme="minorEastAsia" w:hAnsiTheme="minorEastAsia" w:eastAsiaTheme="minorEastAsia" w:cstheme="minorEastAsia"/>
                <w:color w:val="auto"/>
                <w:szCs w:val="24"/>
                <w:highlight w:val="none"/>
              </w:rPr>
            </w:pPr>
          </w:p>
        </w:tc>
        <w:tc>
          <w:tcPr>
            <w:tcW w:w="820" w:type="dxa"/>
            <w:vMerge w:val="continue"/>
            <w:tcBorders>
              <w:left w:val="single" w:color="auto" w:sz="4" w:space="0"/>
              <w:right w:val="single" w:color="auto" w:sz="4" w:space="0"/>
            </w:tcBorders>
          </w:tcPr>
          <w:p w14:paraId="69066FD4">
            <w:pPr>
              <w:spacing w:line="360" w:lineRule="auto"/>
              <w:rPr>
                <w:rFonts w:hint="eastAsia" w:asciiTheme="minorEastAsia" w:hAnsiTheme="minorEastAsia" w:eastAsiaTheme="minorEastAsia" w:cstheme="minorEastAsia"/>
                <w:color w:val="auto"/>
                <w:szCs w:val="24"/>
                <w:highlight w:val="none"/>
              </w:rPr>
            </w:pPr>
          </w:p>
        </w:tc>
        <w:tc>
          <w:tcPr>
            <w:tcW w:w="7501" w:type="dxa"/>
            <w:tcBorders>
              <w:top w:val="single" w:color="auto" w:sz="4" w:space="0"/>
              <w:left w:val="single" w:color="auto" w:sz="4" w:space="0"/>
              <w:bottom w:val="single" w:color="auto" w:sz="4" w:space="0"/>
              <w:right w:val="single" w:color="auto" w:sz="4" w:space="0"/>
            </w:tcBorders>
          </w:tcPr>
          <w:p w14:paraId="579BF377">
            <w:pPr>
              <w:pStyle w:val="101"/>
              <w:spacing w:before="20" w:line="360" w:lineRule="auto"/>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坐便器紧靠墙面，水箱进水阀启闭自如不渗漏。</w:t>
            </w:r>
          </w:p>
        </w:tc>
      </w:tr>
      <w:tr w14:paraId="47A5A5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093" w:type="dxa"/>
            <w:vMerge w:val="continue"/>
            <w:tcBorders>
              <w:left w:val="single" w:color="auto" w:sz="4" w:space="0"/>
              <w:right w:val="single" w:color="auto" w:sz="4" w:space="0"/>
            </w:tcBorders>
          </w:tcPr>
          <w:p w14:paraId="57F47265">
            <w:pPr>
              <w:spacing w:line="360" w:lineRule="auto"/>
              <w:rPr>
                <w:rFonts w:hint="eastAsia" w:asciiTheme="minorEastAsia" w:hAnsiTheme="minorEastAsia" w:eastAsiaTheme="minorEastAsia" w:cstheme="minorEastAsia"/>
                <w:color w:val="auto"/>
                <w:szCs w:val="24"/>
                <w:highlight w:val="none"/>
              </w:rPr>
            </w:pPr>
          </w:p>
        </w:tc>
        <w:tc>
          <w:tcPr>
            <w:tcW w:w="820" w:type="dxa"/>
            <w:vMerge w:val="continue"/>
            <w:tcBorders>
              <w:left w:val="single" w:color="auto" w:sz="4" w:space="0"/>
              <w:right w:val="single" w:color="auto" w:sz="4" w:space="0"/>
            </w:tcBorders>
          </w:tcPr>
          <w:p w14:paraId="2F32E97B">
            <w:pPr>
              <w:spacing w:line="360" w:lineRule="auto"/>
              <w:rPr>
                <w:rFonts w:hint="eastAsia" w:asciiTheme="minorEastAsia" w:hAnsiTheme="minorEastAsia" w:eastAsiaTheme="minorEastAsia" w:cstheme="minorEastAsia"/>
                <w:color w:val="auto"/>
                <w:szCs w:val="24"/>
                <w:highlight w:val="none"/>
              </w:rPr>
            </w:pPr>
          </w:p>
        </w:tc>
        <w:tc>
          <w:tcPr>
            <w:tcW w:w="7501" w:type="dxa"/>
            <w:tcBorders>
              <w:top w:val="single" w:color="auto" w:sz="4" w:space="0"/>
              <w:left w:val="single" w:color="auto" w:sz="4" w:space="0"/>
              <w:bottom w:val="single" w:color="auto" w:sz="4" w:space="0"/>
              <w:right w:val="single" w:color="auto" w:sz="4" w:space="0"/>
            </w:tcBorders>
          </w:tcPr>
          <w:p w14:paraId="17E5BE4E">
            <w:pPr>
              <w:pStyle w:val="101"/>
              <w:spacing w:before="20" w:line="360" w:lineRule="auto"/>
              <w:ind w:left="108"/>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出水流速及水量正常，无滴漏现象。</w:t>
            </w:r>
          </w:p>
        </w:tc>
      </w:tr>
    </w:tbl>
    <w:p w14:paraId="388F58E5">
      <w:pPr>
        <w:pStyle w:val="54"/>
        <w:spacing w:line="360" w:lineRule="auto"/>
        <w:ind w:firstLine="0"/>
        <w:rPr>
          <w:rFonts w:hint="eastAsia" w:asciiTheme="minorEastAsia" w:hAnsiTheme="minorEastAsia" w:eastAsiaTheme="minorEastAsia" w:cstheme="minorEastAsia"/>
          <w:color w:val="auto"/>
          <w:szCs w:val="24"/>
          <w:highlight w:val="none"/>
        </w:rPr>
      </w:pPr>
    </w:p>
    <w:p w14:paraId="619FBC46">
      <w:pPr>
        <w:pStyle w:val="54"/>
        <w:spacing w:line="360" w:lineRule="auto"/>
        <w:rPr>
          <w:rFonts w:hint="eastAsia" w:asciiTheme="minorEastAsia" w:hAnsiTheme="minorEastAsia" w:eastAsiaTheme="minorEastAsia" w:cstheme="minorEastAsia"/>
          <w:bCs/>
          <w:color w:val="auto"/>
          <w:szCs w:val="28"/>
          <w:highlight w:val="none"/>
        </w:rPr>
      </w:pPr>
      <w:r>
        <w:rPr>
          <w:rFonts w:hint="eastAsia" w:asciiTheme="minorEastAsia" w:hAnsiTheme="minorEastAsia" w:eastAsiaTheme="minorEastAsia" w:cstheme="minorEastAsia"/>
          <w:bCs/>
          <w:color w:val="auto"/>
          <w:szCs w:val="28"/>
          <w:highlight w:val="none"/>
        </w:rPr>
        <w:t>附件五、《工程完工清洁移交标准》</w:t>
      </w:r>
    </w:p>
    <w:p w14:paraId="21A234B7">
      <w:pPr>
        <w:spacing w:line="360" w:lineRule="auto"/>
        <w:outlineLvl w:val="2"/>
        <w:rPr>
          <w:rFonts w:hint="eastAsia" w:asciiTheme="minorEastAsia" w:hAnsiTheme="minorEastAsia" w:eastAsiaTheme="minorEastAsia" w:cstheme="minorEastAsia"/>
          <w:b/>
          <w:bCs/>
          <w:color w:val="auto"/>
          <w:sz w:val="30"/>
          <w:szCs w:val="30"/>
          <w:highlight w:val="none"/>
        </w:rPr>
      </w:pPr>
      <w:r>
        <w:rPr>
          <w:rFonts w:hint="eastAsia" w:asciiTheme="minorEastAsia" w:hAnsiTheme="minorEastAsia" w:eastAsiaTheme="minorEastAsia" w:cstheme="minorEastAsia"/>
          <w:b/>
          <w:bCs/>
          <w:color w:val="auto"/>
          <w:sz w:val="30"/>
          <w:szCs w:val="30"/>
          <w:highlight w:val="none"/>
        </w:rPr>
        <w:t xml:space="preserve">                  </w:t>
      </w:r>
      <w:r>
        <w:rPr>
          <w:rFonts w:hint="eastAsia" w:asciiTheme="minorEastAsia" w:hAnsiTheme="minorEastAsia" w:eastAsiaTheme="minorEastAsia" w:cstheme="minorEastAsia"/>
          <w:b/>
          <w:bCs/>
          <w:color w:val="auto"/>
          <w:sz w:val="28"/>
          <w:szCs w:val="28"/>
          <w:highlight w:val="none"/>
        </w:rPr>
        <w:t xml:space="preserve">   工程完工清洁移交标准</w:t>
      </w:r>
    </w:p>
    <w:tbl>
      <w:tblPr>
        <w:tblStyle w:val="47"/>
        <w:tblW w:w="9982" w:type="dxa"/>
        <w:tblInd w:w="-2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3"/>
        <w:gridCol w:w="1552"/>
        <w:gridCol w:w="7567"/>
      </w:tblGrid>
      <w:tr w14:paraId="2AC65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blHeader/>
        </w:trPr>
        <w:tc>
          <w:tcPr>
            <w:tcW w:w="863" w:type="dxa"/>
            <w:vAlign w:val="center"/>
          </w:tcPr>
          <w:p w14:paraId="300D70A1">
            <w:pPr>
              <w:widowControl/>
              <w:spacing w:line="360" w:lineRule="auto"/>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项目</w:t>
            </w:r>
          </w:p>
        </w:tc>
        <w:tc>
          <w:tcPr>
            <w:tcW w:w="1552" w:type="dxa"/>
            <w:vAlign w:val="center"/>
          </w:tcPr>
          <w:p w14:paraId="4F65465A">
            <w:pPr>
              <w:widowControl/>
              <w:spacing w:line="360" w:lineRule="auto"/>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部位</w:t>
            </w:r>
          </w:p>
        </w:tc>
        <w:tc>
          <w:tcPr>
            <w:tcW w:w="7567" w:type="dxa"/>
            <w:vAlign w:val="center"/>
          </w:tcPr>
          <w:p w14:paraId="21047E5C">
            <w:pPr>
              <w:widowControl/>
              <w:spacing w:line="360" w:lineRule="auto"/>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清洁移交标准</w:t>
            </w:r>
          </w:p>
        </w:tc>
      </w:tr>
      <w:tr w14:paraId="165DF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863" w:type="dxa"/>
            <w:vMerge w:val="restart"/>
            <w:vAlign w:val="center"/>
          </w:tcPr>
          <w:p w14:paraId="4E642F1D">
            <w:pPr>
              <w:widowControl/>
              <w:spacing w:line="360" w:lineRule="auto"/>
              <w:jc w:val="left"/>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室内部位</w:t>
            </w:r>
          </w:p>
        </w:tc>
        <w:tc>
          <w:tcPr>
            <w:tcW w:w="1552" w:type="dxa"/>
            <w:vAlign w:val="center"/>
          </w:tcPr>
          <w:p w14:paraId="7BD392CD">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楼地面</w:t>
            </w:r>
          </w:p>
        </w:tc>
        <w:tc>
          <w:tcPr>
            <w:tcW w:w="7567" w:type="dxa"/>
            <w:vAlign w:val="center"/>
          </w:tcPr>
          <w:p w14:paraId="31563CC3">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无积水、无泥沙、无灰尘、无污渍、无拖痕、无垃圾杂物、无建筑装修材料残留、无胶渍等异物、无涂料斑点、无异色污染，石材、瓷砖地面（含踢脚线）需保持光亮，木地板应显本色。</w:t>
            </w:r>
          </w:p>
        </w:tc>
      </w:tr>
      <w:tr w14:paraId="64668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63" w:type="dxa"/>
            <w:vMerge w:val="continue"/>
            <w:vAlign w:val="center"/>
          </w:tcPr>
          <w:p w14:paraId="0D074F85">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2873AB7A">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墙面</w:t>
            </w:r>
          </w:p>
        </w:tc>
        <w:tc>
          <w:tcPr>
            <w:tcW w:w="7567" w:type="dxa"/>
            <w:vAlign w:val="center"/>
          </w:tcPr>
          <w:p w14:paraId="5FFAB1CB">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无粘贴物、无灰尘、无污渍、无建筑装修材料残留、无印迹、无划痕、无胶渍等异物、无异色污染，石材、瓷砖墙面需保持光亮，木制品应显本色。</w:t>
            </w:r>
          </w:p>
        </w:tc>
      </w:tr>
      <w:tr w14:paraId="2BF4D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187AA251">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0DD8193E">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天棚</w:t>
            </w:r>
          </w:p>
        </w:tc>
        <w:tc>
          <w:tcPr>
            <w:tcW w:w="7567" w:type="dxa"/>
            <w:vAlign w:val="center"/>
          </w:tcPr>
          <w:p w14:paraId="59B98AF0">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无蛛网、无灰尘、无划痕、无污渍、无建筑装修材料残留，阴阳角无暗灰、无异色污染。</w:t>
            </w:r>
          </w:p>
        </w:tc>
      </w:tr>
      <w:tr w14:paraId="12313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649F9A2A">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671FC46F">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门（包括入户门和室内门）</w:t>
            </w:r>
          </w:p>
        </w:tc>
        <w:tc>
          <w:tcPr>
            <w:tcW w:w="7567" w:type="dxa"/>
            <w:vAlign w:val="center"/>
          </w:tcPr>
          <w:p w14:paraId="4476F394">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无粘贴物、无灰尘、无划痕、无污渍、无水泥迹、无涂料斑点（包括门吸），木制品应显本色、金属制品无锈渍。</w:t>
            </w:r>
          </w:p>
        </w:tc>
      </w:tr>
      <w:tr w14:paraId="7CD3A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3F5029B1">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1CC157D7">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开关面板</w:t>
            </w:r>
          </w:p>
        </w:tc>
        <w:tc>
          <w:tcPr>
            <w:tcW w:w="7567" w:type="dxa"/>
            <w:vAlign w:val="center"/>
          </w:tcPr>
          <w:p w14:paraId="2375B75C">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无灰尘、无划痕、无污渍、无水泥迹、无涂料斑点。</w:t>
            </w:r>
          </w:p>
        </w:tc>
      </w:tr>
      <w:tr w14:paraId="3F9C5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0D972078">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541B66F3">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入户电箱</w:t>
            </w:r>
          </w:p>
        </w:tc>
        <w:tc>
          <w:tcPr>
            <w:tcW w:w="7567" w:type="dxa"/>
            <w:vAlign w:val="center"/>
          </w:tcPr>
          <w:p w14:paraId="5E0B3652">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无粘贴物、无灰尘、无划痕、无污渍、无水泥迹、无涂料斑点、金属制品无锈渍。</w:t>
            </w:r>
          </w:p>
        </w:tc>
      </w:tr>
      <w:tr w14:paraId="0309E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4D5BD252">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48B2400F">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栏杆以及扶手</w:t>
            </w:r>
          </w:p>
        </w:tc>
        <w:tc>
          <w:tcPr>
            <w:tcW w:w="7567" w:type="dxa"/>
            <w:vAlign w:val="center"/>
          </w:tcPr>
          <w:p w14:paraId="19C4D19A">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无粘贴物、无灰尘、无污渍、无划痕、无水泥迹、无印迹、无涂料斑点、木制品应显本色、金属制品无锈渍。</w:t>
            </w:r>
          </w:p>
        </w:tc>
      </w:tr>
      <w:tr w14:paraId="61774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63" w:type="dxa"/>
            <w:vMerge w:val="continue"/>
            <w:vAlign w:val="center"/>
          </w:tcPr>
          <w:p w14:paraId="54FB9460">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1D4A846A">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橱柜</w:t>
            </w:r>
          </w:p>
        </w:tc>
        <w:tc>
          <w:tcPr>
            <w:tcW w:w="7567" w:type="dxa"/>
            <w:vAlign w:val="center"/>
          </w:tcPr>
          <w:p w14:paraId="68D7BD53">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无粘贴物、无灰尘、无污渍、无水渍、无水泥迹、无胶渍、无划痕、无印迹、无垃圾杂物、金属制品无锈渍，面层洁净、明亮、显本色。</w:t>
            </w:r>
          </w:p>
        </w:tc>
      </w:tr>
      <w:tr w14:paraId="37A56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07902EDE">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4EB97301">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淋浴屏风</w:t>
            </w:r>
          </w:p>
        </w:tc>
        <w:tc>
          <w:tcPr>
            <w:tcW w:w="7567" w:type="dxa"/>
            <w:vAlign w:val="center"/>
          </w:tcPr>
          <w:p w14:paraId="1E0A3984">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无粘贴物、无灰尘、无污渍、无水渍、无划痕、无印迹、金属制品无锈渍、玻璃洁净明亮。</w:t>
            </w:r>
          </w:p>
        </w:tc>
      </w:tr>
      <w:tr w14:paraId="5C07C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5875720F">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0F3241E6">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线管及管道</w:t>
            </w:r>
          </w:p>
        </w:tc>
        <w:tc>
          <w:tcPr>
            <w:tcW w:w="7567" w:type="dxa"/>
            <w:vAlign w:val="center"/>
          </w:tcPr>
          <w:p w14:paraId="419A7252">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无粘贴物、内部无杂物、无泥沙、无污渍，外部表面清洁、金属制品无锈渍。</w:t>
            </w:r>
          </w:p>
        </w:tc>
      </w:tr>
      <w:tr w14:paraId="32EF9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495F34EC">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2AF9F3ED">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玻璃</w:t>
            </w:r>
          </w:p>
        </w:tc>
        <w:tc>
          <w:tcPr>
            <w:tcW w:w="7567" w:type="dxa"/>
            <w:vAlign w:val="center"/>
          </w:tcPr>
          <w:p w14:paraId="4FD9EBA4">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1）室内所有玻璃内外洁净光亮无尘，无水迹、胶迹及指纹印迹，用白手套套擦拭无污迹。（2）玻璃边框呈本色，无胶迹、无涂料污染，光亮无尘；上下左右框槽内无污迹、无灰。（3）通风窗侧视无灰尘、呈本色。</w:t>
            </w:r>
          </w:p>
        </w:tc>
      </w:tr>
      <w:tr w14:paraId="3A878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061C7CA8">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3E4B2D6E">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空调机位</w:t>
            </w:r>
          </w:p>
        </w:tc>
        <w:tc>
          <w:tcPr>
            <w:tcW w:w="7567" w:type="dxa"/>
            <w:vAlign w:val="center"/>
          </w:tcPr>
          <w:p w14:paraId="727A7DDD">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无杂物、百叶隔栅无涂料、胶迹污染、无灰尘。</w:t>
            </w:r>
          </w:p>
        </w:tc>
      </w:tr>
      <w:tr w14:paraId="41FF5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19B3637B">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69275D4F">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空调</w:t>
            </w:r>
          </w:p>
        </w:tc>
        <w:tc>
          <w:tcPr>
            <w:tcW w:w="7567" w:type="dxa"/>
            <w:vAlign w:val="center"/>
          </w:tcPr>
          <w:p w14:paraId="4DA7613F">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面板呈本色，无灰无污，白手套擦拭无污迹。</w:t>
            </w:r>
          </w:p>
        </w:tc>
      </w:tr>
      <w:tr w14:paraId="45ADB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321641F5">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2297D750">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可视对讲、报警安防</w:t>
            </w:r>
          </w:p>
        </w:tc>
        <w:tc>
          <w:tcPr>
            <w:tcW w:w="7567" w:type="dxa"/>
            <w:vAlign w:val="center"/>
          </w:tcPr>
          <w:p w14:paraId="588A8512">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无灰，无污，呈本色。</w:t>
            </w:r>
          </w:p>
        </w:tc>
      </w:tr>
      <w:tr w14:paraId="5A12F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710B1574">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44745609">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龙头</w:t>
            </w:r>
          </w:p>
        </w:tc>
        <w:tc>
          <w:tcPr>
            <w:tcW w:w="7567" w:type="dxa"/>
            <w:vAlign w:val="center"/>
          </w:tcPr>
          <w:p w14:paraId="2C6745CA">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无水迹，呈本色，无锈迹。</w:t>
            </w:r>
          </w:p>
        </w:tc>
      </w:tr>
      <w:tr w14:paraId="15B93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426D8CBB">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5AD5600A">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拖把池</w:t>
            </w:r>
          </w:p>
        </w:tc>
        <w:tc>
          <w:tcPr>
            <w:tcW w:w="7567" w:type="dxa"/>
            <w:vAlign w:val="center"/>
          </w:tcPr>
          <w:p w14:paraId="6070B839">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呈本色无污无垢。</w:t>
            </w:r>
          </w:p>
        </w:tc>
      </w:tr>
      <w:tr w14:paraId="545AB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7563E3DA">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2BDE95C6">
            <w:pPr>
              <w:adjustRightInd w:val="0"/>
              <w:snapToGrid w:val="0"/>
              <w:spacing w:line="360" w:lineRule="auto"/>
              <w:ind w:left="-3" w:leftChars="-4" w:hanging="7" w:hangingChars="3"/>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灯罩</w:t>
            </w:r>
          </w:p>
        </w:tc>
        <w:tc>
          <w:tcPr>
            <w:tcW w:w="7567" w:type="dxa"/>
            <w:vAlign w:val="center"/>
          </w:tcPr>
          <w:p w14:paraId="708D341D">
            <w:pPr>
              <w:adjustRightInd w:val="0"/>
              <w:snapToGrid w:val="0"/>
              <w:spacing w:line="360" w:lineRule="auto"/>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无污迹、无涂料污染、无虫。</w:t>
            </w:r>
          </w:p>
        </w:tc>
      </w:tr>
      <w:tr w14:paraId="4DA0A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59104CF4">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1E01DE91">
            <w:pPr>
              <w:adjustRightInd w:val="0"/>
              <w:snapToGrid w:val="0"/>
              <w:spacing w:line="360" w:lineRule="auto"/>
              <w:ind w:left="-3" w:leftChars="-4" w:hanging="7" w:hangingChars="3"/>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空调孔</w:t>
            </w:r>
          </w:p>
        </w:tc>
        <w:tc>
          <w:tcPr>
            <w:tcW w:w="7567" w:type="dxa"/>
            <w:vAlign w:val="center"/>
          </w:tcPr>
          <w:p w14:paraId="11949A37">
            <w:pPr>
              <w:adjustRightInd w:val="0"/>
              <w:snapToGrid w:val="0"/>
              <w:spacing w:line="360" w:lineRule="auto"/>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无杂物、无灰尘。</w:t>
            </w:r>
          </w:p>
        </w:tc>
      </w:tr>
      <w:tr w14:paraId="4F64D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60E9A66C">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7BBFFAAD">
            <w:pPr>
              <w:adjustRightInd w:val="0"/>
              <w:snapToGrid w:val="0"/>
              <w:spacing w:line="360" w:lineRule="auto"/>
              <w:ind w:left="-3" w:leftChars="-4" w:hanging="7" w:hangingChars="3"/>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报警按钮</w:t>
            </w:r>
          </w:p>
        </w:tc>
        <w:tc>
          <w:tcPr>
            <w:tcW w:w="7567" w:type="dxa"/>
            <w:vAlign w:val="center"/>
          </w:tcPr>
          <w:p w14:paraId="58446F29">
            <w:pPr>
              <w:adjustRightInd w:val="0"/>
              <w:snapToGrid w:val="0"/>
              <w:spacing w:line="360" w:lineRule="auto"/>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无涂料污染，处于复位状态。</w:t>
            </w:r>
          </w:p>
        </w:tc>
      </w:tr>
      <w:tr w14:paraId="4E6CC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7DC7FD0A">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2F97E3B6">
            <w:pPr>
              <w:adjustRightInd w:val="0"/>
              <w:snapToGrid w:val="0"/>
              <w:spacing w:line="360" w:lineRule="auto"/>
              <w:ind w:left="-3" w:leftChars="-4" w:hanging="7" w:hangingChars="3"/>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窗台</w:t>
            </w:r>
          </w:p>
        </w:tc>
        <w:tc>
          <w:tcPr>
            <w:tcW w:w="7567" w:type="dxa"/>
            <w:vAlign w:val="center"/>
          </w:tcPr>
          <w:p w14:paraId="0745BF75">
            <w:pPr>
              <w:adjustRightInd w:val="0"/>
              <w:snapToGrid w:val="0"/>
              <w:spacing w:line="360" w:lineRule="auto"/>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无杂物、无污迹、无灰尘。</w:t>
            </w:r>
          </w:p>
        </w:tc>
      </w:tr>
      <w:tr w14:paraId="41964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582EBF65">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4600E0FA">
            <w:pPr>
              <w:adjustRightInd w:val="0"/>
              <w:snapToGrid w:val="0"/>
              <w:spacing w:line="360" w:lineRule="auto"/>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小家电（脱排、灶具、燃气热水器）</w:t>
            </w:r>
          </w:p>
        </w:tc>
        <w:tc>
          <w:tcPr>
            <w:tcW w:w="7567" w:type="dxa"/>
            <w:vAlign w:val="center"/>
          </w:tcPr>
          <w:p w14:paraId="078F93F1">
            <w:pPr>
              <w:adjustRightInd w:val="0"/>
              <w:snapToGrid w:val="0"/>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抽油烟机、灶台面呈本色，无油迹、光亮，用白色手套擦拭无污迹。</w:t>
            </w:r>
          </w:p>
        </w:tc>
      </w:tr>
      <w:tr w14:paraId="7A8F7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255ECE7A">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4DA59C58">
            <w:pPr>
              <w:adjustRightInd w:val="0"/>
              <w:snapToGrid w:val="0"/>
              <w:spacing w:line="360" w:lineRule="auto"/>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不锈钢水槽</w:t>
            </w:r>
          </w:p>
        </w:tc>
        <w:tc>
          <w:tcPr>
            <w:tcW w:w="7567" w:type="dxa"/>
            <w:vAlign w:val="center"/>
          </w:tcPr>
          <w:p w14:paraId="4773B05D">
            <w:pPr>
              <w:adjustRightInd w:val="0"/>
              <w:snapToGrid w:val="0"/>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不锈钢面盆呈本色，无油迹、光亮，用白色手套擦拭无污迹。</w:t>
            </w:r>
          </w:p>
        </w:tc>
      </w:tr>
      <w:tr w14:paraId="7EE5C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25C8140A">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1ED3EE9A">
            <w:pPr>
              <w:adjustRightInd w:val="0"/>
              <w:snapToGrid w:val="0"/>
              <w:spacing w:line="360" w:lineRule="auto"/>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浴霸</w:t>
            </w:r>
          </w:p>
        </w:tc>
        <w:tc>
          <w:tcPr>
            <w:tcW w:w="7567" w:type="dxa"/>
            <w:vAlign w:val="center"/>
          </w:tcPr>
          <w:p w14:paraId="7D23CFE2">
            <w:pPr>
              <w:adjustRightInd w:val="0"/>
              <w:snapToGrid w:val="0"/>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侧面无灰无污，呈本色。</w:t>
            </w:r>
          </w:p>
        </w:tc>
      </w:tr>
      <w:tr w14:paraId="13A79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06C1CF19">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7A9088CF">
            <w:pPr>
              <w:adjustRightInd w:val="0"/>
              <w:snapToGrid w:val="0"/>
              <w:spacing w:line="360" w:lineRule="auto"/>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镜面梳妆柜</w:t>
            </w:r>
          </w:p>
        </w:tc>
        <w:tc>
          <w:tcPr>
            <w:tcW w:w="7567" w:type="dxa"/>
            <w:vAlign w:val="center"/>
          </w:tcPr>
          <w:p w14:paraId="2CAFC781">
            <w:pPr>
              <w:adjustRightInd w:val="0"/>
              <w:snapToGrid w:val="0"/>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镜面洁净光亮，侧面无灰无污。</w:t>
            </w:r>
          </w:p>
        </w:tc>
      </w:tr>
      <w:tr w14:paraId="0BE1B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3B32E9D8">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08E3A41C">
            <w:pPr>
              <w:adjustRightInd w:val="0"/>
              <w:snapToGrid w:val="0"/>
              <w:spacing w:line="360" w:lineRule="auto"/>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浴巾架</w:t>
            </w:r>
          </w:p>
        </w:tc>
        <w:tc>
          <w:tcPr>
            <w:tcW w:w="7567" w:type="dxa"/>
            <w:vAlign w:val="center"/>
          </w:tcPr>
          <w:p w14:paraId="5A9DA907">
            <w:pPr>
              <w:adjustRightInd w:val="0"/>
              <w:snapToGrid w:val="0"/>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无灰无污，不锈钢呈本色，并且无水迹。</w:t>
            </w:r>
          </w:p>
        </w:tc>
      </w:tr>
      <w:tr w14:paraId="3D39C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4D403982">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7A2FBAE8">
            <w:pPr>
              <w:adjustRightInd w:val="0"/>
              <w:snapToGrid w:val="0"/>
              <w:spacing w:line="360" w:lineRule="auto"/>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毛巾杆</w:t>
            </w:r>
          </w:p>
        </w:tc>
        <w:tc>
          <w:tcPr>
            <w:tcW w:w="7567" w:type="dxa"/>
            <w:vAlign w:val="center"/>
          </w:tcPr>
          <w:p w14:paraId="3D79CC9D">
            <w:pPr>
              <w:adjustRightInd w:val="0"/>
              <w:snapToGrid w:val="0"/>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无灰无污，不锈钢呈本色，并且无水迹。</w:t>
            </w:r>
          </w:p>
        </w:tc>
      </w:tr>
      <w:tr w14:paraId="72D78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4C31E7DE">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318AA3A8">
            <w:pPr>
              <w:adjustRightInd w:val="0"/>
              <w:snapToGrid w:val="0"/>
              <w:spacing w:line="360" w:lineRule="auto"/>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台盆</w:t>
            </w:r>
          </w:p>
        </w:tc>
        <w:tc>
          <w:tcPr>
            <w:tcW w:w="7567" w:type="dxa"/>
            <w:vAlign w:val="center"/>
          </w:tcPr>
          <w:p w14:paraId="166D091A">
            <w:pPr>
              <w:adjustRightInd w:val="0"/>
              <w:snapToGrid w:val="0"/>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无水迹，呈本色，无锈蚀。</w:t>
            </w:r>
          </w:p>
        </w:tc>
      </w:tr>
      <w:tr w14:paraId="3AAEA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57170839">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29895BF3">
            <w:pPr>
              <w:adjustRightInd w:val="0"/>
              <w:snapToGrid w:val="0"/>
              <w:spacing w:line="360" w:lineRule="auto"/>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储藏间</w:t>
            </w:r>
          </w:p>
        </w:tc>
        <w:tc>
          <w:tcPr>
            <w:tcW w:w="7567" w:type="dxa"/>
            <w:vAlign w:val="center"/>
          </w:tcPr>
          <w:p w14:paraId="17929B54">
            <w:pPr>
              <w:adjustRightInd w:val="0"/>
              <w:snapToGrid w:val="0"/>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无死角，无灰，用白手套擦拭无灰无污。</w:t>
            </w:r>
          </w:p>
        </w:tc>
      </w:tr>
      <w:tr w14:paraId="41CDF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493ABDE5">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666D0086">
            <w:pPr>
              <w:adjustRightInd w:val="0"/>
              <w:snapToGrid w:val="0"/>
              <w:spacing w:line="360" w:lineRule="auto"/>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晾衣架</w:t>
            </w:r>
          </w:p>
        </w:tc>
        <w:tc>
          <w:tcPr>
            <w:tcW w:w="7567" w:type="dxa"/>
            <w:vAlign w:val="center"/>
          </w:tcPr>
          <w:p w14:paraId="527851B9">
            <w:pPr>
              <w:adjustRightInd w:val="0"/>
              <w:snapToGrid w:val="0"/>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呈本色，无油迹，无灰，白手套擦拭无灰。</w:t>
            </w:r>
          </w:p>
        </w:tc>
      </w:tr>
      <w:tr w14:paraId="2FD61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restart"/>
            <w:vAlign w:val="center"/>
          </w:tcPr>
          <w:p w14:paraId="25C2EB7D">
            <w:pPr>
              <w:widowControl/>
              <w:spacing w:line="360" w:lineRule="auto"/>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公共</w:t>
            </w:r>
          </w:p>
          <w:p w14:paraId="61373D9F">
            <w:pPr>
              <w:widowControl/>
              <w:spacing w:line="360" w:lineRule="auto"/>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部位</w:t>
            </w:r>
          </w:p>
        </w:tc>
        <w:tc>
          <w:tcPr>
            <w:tcW w:w="1552" w:type="dxa"/>
            <w:vAlign w:val="center"/>
          </w:tcPr>
          <w:p w14:paraId="1D2084EA">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电梯（含轿厢、门扇、门套及控制面板）</w:t>
            </w:r>
          </w:p>
        </w:tc>
        <w:tc>
          <w:tcPr>
            <w:tcW w:w="7567" w:type="dxa"/>
            <w:vAlign w:val="center"/>
          </w:tcPr>
          <w:p w14:paraId="6920D7E4">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无粘贴物、无垃圾杂物、无灰尘、无污渍、无水泥渍、无划痕、金属制品无锈渍，面层清洁、明亮</w:t>
            </w:r>
          </w:p>
        </w:tc>
      </w:tr>
      <w:tr w14:paraId="1C914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863" w:type="dxa"/>
            <w:vMerge w:val="continue"/>
            <w:vAlign w:val="center"/>
          </w:tcPr>
          <w:p w14:paraId="53E6F5E0">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4CD7F3DE">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楼地面（入户大堂及电梯厅）</w:t>
            </w:r>
          </w:p>
        </w:tc>
        <w:tc>
          <w:tcPr>
            <w:tcW w:w="7567" w:type="dxa"/>
            <w:vAlign w:val="center"/>
          </w:tcPr>
          <w:p w14:paraId="6BF2895C">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无积水、无泥沙、无灰尘、无污渍、无拖痕、无垃圾杂物、无建筑装修材料残留、无胶渍等异物、无涂料斑点、无异色污染，石材、瓷砖地面（含踢脚线）需保持光亮。</w:t>
            </w:r>
          </w:p>
        </w:tc>
      </w:tr>
      <w:tr w14:paraId="2954E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63" w:type="dxa"/>
            <w:vMerge w:val="continue"/>
            <w:vAlign w:val="center"/>
          </w:tcPr>
          <w:p w14:paraId="515326A1">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1BBFDD6D">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墙面（入户大堂及电梯厅）</w:t>
            </w:r>
          </w:p>
        </w:tc>
        <w:tc>
          <w:tcPr>
            <w:tcW w:w="7567" w:type="dxa"/>
            <w:vAlign w:val="center"/>
          </w:tcPr>
          <w:p w14:paraId="57A8FAB7">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无粘贴物、无灰尘、无污渍、无建筑装修材料残留、无印迹、无划痕、无胶渍等异物、无异色污染，石材、瓷砖墙面需保持光亮，木制品应显本色。</w:t>
            </w:r>
          </w:p>
        </w:tc>
      </w:tr>
      <w:tr w14:paraId="1EFC4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040D9C83">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5A6633EB">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天棚（入户大堂及电梯厅）</w:t>
            </w:r>
          </w:p>
        </w:tc>
        <w:tc>
          <w:tcPr>
            <w:tcW w:w="7567" w:type="dxa"/>
            <w:vAlign w:val="center"/>
          </w:tcPr>
          <w:p w14:paraId="65B35FE3">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无蛛网、无灰尘、无划痕、无污渍、无建筑装修材料残留，阴阳角无暗灰、无异色污染。</w:t>
            </w:r>
          </w:p>
        </w:tc>
      </w:tr>
      <w:tr w14:paraId="6E946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581CE74F">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294C6240">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防火门</w:t>
            </w:r>
          </w:p>
        </w:tc>
        <w:tc>
          <w:tcPr>
            <w:tcW w:w="7567" w:type="dxa"/>
            <w:vAlign w:val="center"/>
          </w:tcPr>
          <w:p w14:paraId="6B5017A4">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无粘贴物、无灰尘、无划痕、无污渍、无水泥迹、无涂料斑点（包括门吸），木制品应显本色、金属制品无锈渍。</w:t>
            </w:r>
          </w:p>
        </w:tc>
      </w:tr>
      <w:tr w14:paraId="2AA5F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47CD156A">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500FAB09">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消火栓箱</w:t>
            </w:r>
          </w:p>
        </w:tc>
        <w:tc>
          <w:tcPr>
            <w:tcW w:w="7567" w:type="dxa"/>
            <w:vAlign w:val="center"/>
          </w:tcPr>
          <w:p w14:paraId="11A86099">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无粘贴物、无灰尘、无划痕、无污渍、无水泥迹、无涂料斑点、金属制品无锈渍。</w:t>
            </w:r>
          </w:p>
        </w:tc>
      </w:tr>
      <w:tr w14:paraId="4BE71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085B3ADB">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1731A9CE">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楼地面（楼梯）</w:t>
            </w:r>
          </w:p>
        </w:tc>
        <w:tc>
          <w:tcPr>
            <w:tcW w:w="7567" w:type="dxa"/>
            <w:vAlign w:val="center"/>
          </w:tcPr>
          <w:p w14:paraId="7F9E6602">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无灰尘、无垃圾杂物、无污渍、无涂料斑点，石材、瓷砖地面需保持光亮，踢脚线上无涂料和水泥迹。</w:t>
            </w:r>
          </w:p>
        </w:tc>
      </w:tr>
      <w:tr w14:paraId="5F804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356D04F1">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33CC9BEF">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墙面（楼梯）</w:t>
            </w:r>
          </w:p>
        </w:tc>
        <w:tc>
          <w:tcPr>
            <w:tcW w:w="7567" w:type="dxa"/>
            <w:vAlign w:val="center"/>
          </w:tcPr>
          <w:p w14:paraId="07A4E791">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无粘贴物、无灰尘、无污渍、无建筑装修材料残留、无印迹、无划痕、无胶渍等异物、无异色污染，瓷砖墙面需保持光亮。</w:t>
            </w:r>
          </w:p>
        </w:tc>
      </w:tr>
      <w:tr w14:paraId="64C66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754EA217">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5B3935C5">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天棚（楼梯）</w:t>
            </w:r>
          </w:p>
        </w:tc>
        <w:tc>
          <w:tcPr>
            <w:tcW w:w="7567" w:type="dxa"/>
            <w:vAlign w:val="center"/>
          </w:tcPr>
          <w:p w14:paraId="65576489">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无蛛网、无灰尘、无划痕、无污渍、无建筑装修材料残留，阴阳角无暗灰、无异色污染。</w:t>
            </w:r>
          </w:p>
        </w:tc>
      </w:tr>
      <w:tr w14:paraId="7285D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6C96B682">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0814803E">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开关面板</w:t>
            </w:r>
          </w:p>
        </w:tc>
        <w:tc>
          <w:tcPr>
            <w:tcW w:w="7567" w:type="dxa"/>
            <w:vAlign w:val="center"/>
          </w:tcPr>
          <w:p w14:paraId="276A3744">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无灰尘、无划痕、无污渍、无水泥迹、无涂料斑点。</w:t>
            </w:r>
          </w:p>
        </w:tc>
      </w:tr>
      <w:tr w14:paraId="3855A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7F0490B7">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44148A81">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电箱</w:t>
            </w:r>
          </w:p>
        </w:tc>
        <w:tc>
          <w:tcPr>
            <w:tcW w:w="7567" w:type="dxa"/>
            <w:vAlign w:val="center"/>
          </w:tcPr>
          <w:p w14:paraId="542576A5">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无粘贴物、无灰尘、无划痕、无污渍、无水泥迹、无涂料斑点、金属制品无锈渍。</w:t>
            </w:r>
          </w:p>
        </w:tc>
      </w:tr>
      <w:tr w14:paraId="49F95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20A63774">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1B029036">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栏杆以及扶手</w:t>
            </w:r>
          </w:p>
        </w:tc>
        <w:tc>
          <w:tcPr>
            <w:tcW w:w="7567" w:type="dxa"/>
            <w:vAlign w:val="center"/>
          </w:tcPr>
          <w:p w14:paraId="7BF0F800">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无粘贴物、无灰尘、无污渍、无划痕、无水泥迹、无印迹、无涂料斑点、木制品应显本色、金属制品无锈渍。</w:t>
            </w:r>
          </w:p>
        </w:tc>
      </w:tr>
      <w:tr w14:paraId="4D551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5D712704">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14D9FA73">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单元门</w:t>
            </w:r>
          </w:p>
        </w:tc>
        <w:tc>
          <w:tcPr>
            <w:tcW w:w="7567" w:type="dxa"/>
            <w:vAlign w:val="center"/>
          </w:tcPr>
          <w:p w14:paraId="69E21B75">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无粘贴物、无灰尘、无划痕、无污渍、无水泥迹、无涂料斑点（包括门吸），木制品应显本色、金属制品无锈渍。</w:t>
            </w:r>
          </w:p>
        </w:tc>
      </w:tr>
      <w:tr w14:paraId="332D5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1BF3D498">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683F1E50">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线管及管道</w:t>
            </w:r>
          </w:p>
        </w:tc>
        <w:tc>
          <w:tcPr>
            <w:tcW w:w="7567" w:type="dxa"/>
            <w:vAlign w:val="center"/>
          </w:tcPr>
          <w:p w14:paraId="71D892AE">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内部无杂物、无泥沙、无污渍，外部表面清洁、金属制品无锈渍。</w:t>
            </w:r>
          </w:p>
        </w:tc>
      </w:tr>
      <w:tr w14:paraId="3BC32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16F9FC5C">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38760B65">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指示牌</w:t>
            </w:r>
          </w:p>
        </w:tc>
        <w:tc>
          <w:tcPr>
            <w:tcW w:w="7567" w:type="dxa"/>
            <w:vAlign w:val="center"/>
          </w:tcPr>
          <w:p w14:paraId="4C1BBE69">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无粘贴物、无灰尘、无划痕、无污渍、无水泥迹、无涂料斑点、金属制品无锈渍、无印迹。</w:t>
            </w:r>
          </w:p>
        </w:tc>
      </w:tr>
      <w:tr w14:paraId="67684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760B5057">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0F81310F">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信报箱</w:t>
            </w:r>
          </w:p>
        </w:tc>
        <w:tc>
          <w:tcPr>
            <w:tcW w:w="7567" w:type="dxa"/>
            <w:vAlign w:val="center"/>
          </w:tcPr>
          <w:p w14:paraId="2A4846A7">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无粘贴物、无灰尘、无划痕、无污渍、无水泥迹、无涂料斑点、金属制品无锈渍、无印迹。</w:t>
            </w:r>
          </w:p>
        </w:tc>
      </w:tr>
      <w:tr w14:paraId="3F39C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514D4423">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0EF039CC">
            <w:pPr>
              <w:adjustRightInd w:val="0"/>
              <w:snapToGrid w:val="0"/>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玻璃</w:t>
            </w:r>
          </w:p>
        </w:tc>
        <w:tc>
          <w:tcPr>
            <w:tcW w:w="7567" w:type="dxa"/>
            <w:vAlign w:val="center"/>
          </w:tcPr>
          <w:p w14:paraId="2A3F297C">
            <w:pPr>
              <w:adjustRightInd w:val="0"/>
              <w:snapToGrid w:val="0"/>
              <w:spacing w:line="360" w:lineRule="auto"/>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1）室内所有玻璃内外洁净光亮无尘，无水迹、胶迹及指纹印迹，用白手套套擦拭无污迹。（2）玻璃边框呈本色，无胶迹、无涂料污染，光亮无尘；上下左右框槽内无污迹、无灰。（3）通风窗侧视无灰尘、呈本色。</w:t>
            </w:r>
          </w:p>
        </w:tc>
      </w:tr>
      <w:tr w14:paraId="14582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42AD0E81">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3EF0AF9A">
            <w:pPr>
              <w:adjustRightInd w:val="0"/>
              <w:snapToGrid w:val="0"/>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灯罩</w:t>
            </w:r>
          </w:p>
        </w:tc>
        <w:tc>
          <w:tcPr>
            <w:tcW w:w="7567" w:type="dxa"/>
            <w:vAlign w:val="center"/>
          </w:tcPr>
          <w:p w14:paraId="3EF18575">
            <w:pPr>
              <w:adjustRightInd w:val="0"/>
              <w:snapToGrid w:val="0"/>
              <w:spacing w:line="360" w:lineRule="auto"/>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灯罩外无污迹、无涂料污染、灯罩内无蚊虫残留。</w:t>
            </w:r>
          </w:p>
        </w:tc>
      </w:tr>
      <w:tr w14:paraId="10787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restart"/>
            <w:vAlign w:val="center"/>
          </w:tcPr>
          <w:p w14:paraId="60783992">
            <w:pPr>
              <w:widowControl/>
              <w:spacing w:line="360" w:lineRule="auto"/>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室外</w:t>
            </w:r>
          </w:p>
          <w:p w14:paraId="6020292A">
            <w:pPr>
              <w:widowControl/>
              <w:spacing w:line="360" w:lineRule="auto"/>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部位</w:t>
            </w:r>
          </w:p>
        </w:tc>
        <w:tc>
          <w:tcPr>
            <w:tcW w:w="1552" w:type="dxa"/>
            <w:vAlign w:val="center"/>
          </w:tcPr>
          <w:p w14:paraId="211A0E6F">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外墙面</w:t>
            </w:r>
          </w:p>
        </w:tc>
        <w:tc>
          <w:tcPr>
            <w:tcW w:w="7567" w:type="dxa"/>
            <w:vAlign w:val="center"/>
          </w:tcPr>
          <w:p w14:paraId="17526BF3">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无粘贴物、无灰尘、无污渍、无建筑装修材料残留、无印迹、无划痕、无胶渍等异物、无异色污染，石材、瓷砖墙面需保持光亮。</w:t>
            </w:r>
          </w:p>
        </w:tc>
      </w:tr>
      <w:tr w14:paraId="456CF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16CDC374">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176E5F16">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玻璃幕墙、门窗</w:t>
            </w:r>
          </w:p>
        </w:tc>
        <w:tc>
          <w:tcPr>
            <w:tcW w:w="7567" w:type="dxa"/>
            <w:vAlign w:val="center"/>
          </w:tcPr>
          <w:p w14:paraId="7260FC1E">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无粘贴物、无灰尘、无污渍、无水渍、无划痕、无印迹、金属制品无锈渍、玻璃洁净明亮。</w:t>
            </w:r>
          </w:p>
        </w:tc>
      </w:tr>
      <w:tr w14:paraId="22945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1B59E94D">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17F1C2D0">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阳光棚或雨棚</w:t>
            </w:r>
          </w:p>
        </w:tc>
        <w:tc>
          <w:tcPr>
            <w:tcW w:w="7567" w:type="dxa"/>
            <w:vAlign w:val="center"/>
          </w:tcPr>
          <w:p w14:paraId="744B9B2C">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无粘贴物、无灰尘、无污渍、无水渍、无划痕、无印迹、金属制品无锈渍、玻璃洁净明亮。</w:t>
            </w:r>
          </w:p>
        </w:tc>
      </w:tr>
      <w:tr w14:paraId="795D4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010ACF27">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6E328D7E">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百叶窗</w:t>
            </w:r>
          </w:p>
        </w:tc>
        <w:tc>
          <w:tcPr>
            <w:tcW w:w="7567" w:type="dxa"/>
            <w:vAlign w:val="center"/>
          </w:tcPr>
          <w:p w14:paraId="0A953D06">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无粘贴物、无灰尘、无污渍、无水渍、无划痕、无印迹、金属制品无锈渍、玻璃洁净明亮。</w:t>
            </w:r>
          </w:p>
        </w:tc>
      </w:tr>
      <w:tr w14:paraId="498DA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69A73218">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3C9D6B03">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屋顶（含天沟）</w:t>
            </w:r>
          </w:p>
        </w:tc>
        <w:tc>
          <w:tcPr>
            <w:tcW w:w="7567" w:type="dxa"/>
            <w:vAlign w:val="center"/>
          </w:tcPr>
          <w:p w14:paraId="510EC81E">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无积水、无泥沙、无垃圾杂物、无建筑装修材料残留，面层显本色。</w:t>
            </w:r>
          </w:p>
        </w:tc>
      </w:tr>
      <w:tr w14:paraId="0CE2D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40EC4B04">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0379244F">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室外地面</w:t>
            </w:r>
          </w:p>
        </w:tc>
        <w:tc>
          <w:tcPr>
            <w:tcW w:w="7567" w:type="dxa"/>
            <w:vAlign w:val="center"/>
          </w:tcPr>
          <w:p w14:paraId="3D727012">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无粘贴物、无垃圾、无积砂、无印迹、无异色污染。</w:t>
            </w:r>
          </w:p>
        </w:tc>
      </w:tr>
      <w:tr w14:paraId="1662C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764BBD19">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50CD972A">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室外道路</w:t>
            </w:r>
          </w:p>
        </w:tc>
        <w:tc>
          <w:tcPr>
            <w:tcW w:w="7567" w:type="dxa"/>
            <w:vAlign w:val="center"/>
          </w:tcPr>
          <w:p w14:paraId="1E6AFF4B">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无粘贴物、无垃圾、无积砂、无异色污染。</w:t>
            </w:r>
          </w:p>
        </w:tc>
      </w:tr>
      <w:tr w14:paraId="42607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743F7806">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1F9AB531">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告示牌</w:t>
            </w:r>
          </w:p>
        </w:tc>
        <w:tc>
          <w:tcPr>
            <w:tcW w:w="7567" w:type="dxa"/>
            <w:vAlign w:val="center"/>
          </w:tcPr>
          <w:p w14:paraId="1E218525">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无粘贴物、无灰尘、无划痕、无污渍、无水泥迹、无涂料斑点、金属制品无锈渍、无印迹。</w:t>
            </w:r>
          </w:p>
        </w:tc>
      </w:tr>
      <w:tr w14:paraId="48916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41F6AAC4">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0D2502EA">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水篦子</w:t>
            </w:r>
          </w:p>
        </w:tc>
        <w:tc>
          <w:tcPr>
            <w:tcW w:w="7567" w:type="dxa"/>
            <w:vAlign w:val="center"/>
          </w:tcPr>
          <w:p w14:paraId="7C1EB0DC">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无垃圾杂物、无积砂、金属无锈渍、表面清洁。</w:t>
            </w:r>
          </w:p>
        </w:tc>
      </w:tr>
      <w:tr w14:paraId="02C2A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863" w:type="dxa"/>
            <w:vMerge w:val="continue"/>
            <w:vAlign w:val="center"/>
          </w:tcPr>
          <w:p w14:paraId="44908D19">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57A72EAA">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线管及管道</w:t>
            </w:r>
          </w:p>
        </w:tc>
        <w:tc>
          <w:tcPr>
            <w:tcW w:w="7567" w:type="dxa"/>
            <w:vAlign w:val="center"/>
          </w:tcPr>
          <w:p w14:paraId="7C8EC3FC">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内部无杂物、无泥沙、无污渍，外部表面清洁、金属制品无锈渍。</w:t>
            </w:r>
          </w:p>
        </w:tc>
      </w:tr>
      <w:tr w14:paraId="6A9C7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181C1323">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5F1C1016">
            <w:pPr>
              <w:widowControl/>
              <w:spacing w:line="360" w:lineRule="auto"/>
              <w:jc w:val="left"/>
              <w:rPr>
                <w:rFonts w:hint="eastAsia" w:asciiTheme="minorEastAsia" w:hAnsiTheme="minorEastAsia" w:eastAsiaTheme="minorEastAsia" w:cstheme="minorEastAsia"/>
                <w:color w:val="auto"/>
                <w:kern w:val="0"/>
                <w:szCs w:val="24"/>
                <w:highlight w:val="none"/>
              </w:rPr>
            </w:pPr>
          </w:p>
          <w:p w14:paraId="233D0DAB">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消火栓</w:t>
            </w:r>
          </w:p>
          <w:p w14:paraId="597B3BD8">
            <w:pPr>
              <w:widowControl/>
              <w:spacing w:line="360" w:lineRule="auto"/>
              <w:jc w:val="left"/>
              <w:rPr>
                <w:rFonts w:hint="eastAsia" w:asciiTheme="minorEastAsia" w:hAnsiTheme="minorEastAsia" w:eastAsiaTheme="minorEastAsia" w:cstheme="minorEastAsia"/>
                <w:color w:val="auto"/>
                <w:kern w:val="0"/>
                <w:szCs w:val="24"/>
                <w:highlight w:val="none"/>
              </w:rPr>
            </w:pPr>
          </w:p>
        </w:tc>
        <w:tc>
          <w:tcPr>
            <w:tcW w:w="7567" w:type="dxa"/>
            <w:vAlign w:val="center"/>
          </w:tcPr>
          <w:p w14:paraId="696CA96B">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无粘贴物、无灰尘、无划痕、无污渍、无水泥迹、无涂料斑点、金属制品无锈渍。</w:t>
            </w:r>
          </w:p>
        </w:tc>
      </w:tr>
      <w:tr w14:paraId="3D03F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63" w:type="dxa"/>
            <w:vMerge w:val="restart"/>
            <w:vAlign w:val="center"/>
          </w:tcPr>
          <w:p w14:paraId="346B03D1">
            <w:pPr>
              <w:widowControl/>
              <w:spacing w:line="360" w:lineRule="auto"/>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其他</w:t>
            </w:r>
          </w:p>
        </w:tc>
        <w:tc>
          <w:tcPr>
            <w:tcW w:w="1552" w:type="dxa"/>
            <w:vAlign w:val="center"/>
          </w:tcPr>
          <w:p w14:paraId="3DBFCCAF">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卫浴洁具</w:t>
            </w:r>
          </w:p>
        </w:tc>
        <w:tc>
          <w:tcPr>
            <w:tcW w:w="7567" w:type="dxa"/>
            <w:vAlign w:val="center"/>
          </w:tcPr>
          <w:p w14:paraId="7EE4DBDE">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无粘贴物、无灰尘、无污渍、无水渍、无水泥迹、无胶渍、无划痕、无印迹、无垃圾杂物、金属制品无锈渍，表面洁净、明亮、显本色。</w:t>
            </w:r>
          </w:p>
        </w:tc>
      </w:tr>
      <w:tr w14:paraId="70AF6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3A22262A">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Merge w:val="restart"/>
            <w:vAlign w:val="center"/>
          </w:tcPr>
          <w:p w14:paraId="1CF1CF67">
            <w:pPr>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灯具</w:t>
            </w:r>
          </w:p>
        </w:tc>
        <w:tc>
          <w:tcPr>
            <w:tcW w:w="7567" w:type="dxa"/>
            <w:vAlign w:val="center"/>
          </w:tcPr>
          <w:p w14:paraId="6E0C9121">
            <w:pPr>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灯具、灯座呈本色，无涂料污染、无灰尘，要求目测洁净光亮。</w:t>
            </w:r>
          </w:p>
        </w:tc>
      </w:tr>
      <w:tr w14:paraId="6432D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47675C80">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Merge w:val="continue"/>
            <w:vAlign w:val="center"/>
          </w:tcPr>
          <w:p w14:paraId="7FCE9AE3">
            <w:pPr>
              <w:widowControl/>
              <w:spacing w:line="360" w:lineRule="auto"/>
              <w:jc w:val="left"/>
              <w:rPr>
                <w:rFonts w:hint="eastAsia" w:asciiTheme="minorEastAsia" w:hAnsiTheme="minorEastAsia" w:eastAsiaTheme="minorEastAsia" w:cstheme="minorEastAsia"/>
                <w:color w:val="auto"/>
                <w:kern w:val="0"/>
                <w:szCs w:val="24"/>
                <w:highlight w:val="none"/>
              </w:rPr>
            </w:pPr>
          </w:p>
        </w:tc>
        <w:tc>
          <w:tcPr>
            <w:tcW w:w="7567" w:type="dxa"/>
            <w:vAlign w:val="center"/>
          </w:tcPr>
          <w:p w14:paraId="135DE444">
            <w:pPr>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1）室内所有玻璃内外洁净光亮无尘，无水迹、胶迹及指纹印迹，用白手套套擦拭无污迹。（2）玻璃边框呈本色，无胶迹、无涂料污染，光亮无尘；上下左右框槽内无污迹、无灰。（3）通风窗侧视无灰尘、呈本色。</w:t>
            </w:r>
          </w:p>
        </w:tc>
      </w:tr>
      <w:tr w14:paraId="6269F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63" w:type="dxa"/>
            <w:vMerge w:val="continue"/>
            <w:vAlign w:val="center"/>
          </w:tcPr>
          <w:p w14:paraId="7EBF3C4E">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51986DE7">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柜子（如有）</w:t>
            </w:r>
          </w:p>
        </w:tc>
        <w:tc>
          <w:tcPr>
            <w:tcW w:w="7567" w:type="dxa"/>
            <w:vAlign w:val="center"/>
          </w:tcPr>
          <w:p w14:paraId="54024504">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无粘贴物、无灰尘、无污渍、无水渍、无水泥迹、无胶渍、无划痕、无印迹、无垃圾杂物、金属制品无锈渍，表面洁净、明亮、显本色。</w:t>
            </w:r>
          </w:p>
        </w:tc>
      </w:tr>
      <w:tr w14:paraId="79AB4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863" w:type="dxa"/>
            <w:vMerge w:val="restart"/>
            <w:vAlign w:val="center"/>
          </w:tcPr>
          <w:p w14:paraId="18BA0667">
            <w:pPr>
              <w:widowControl/>
              <w:spacing w:line="360" w:lineRule="auto"/>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地下</w:t>
            </w:r>
          </w:p>
          <w:p w14:paraId="538444C7">
            <w:pPr>
              <w:widowControl/>
              <w:spacing w:line="360" w:lineRule="auto"/>
              <w:jc w:val="center"/>
              <w:rPr>
                <w:rFonts w:hint="eastAsia" w:asciiTheme="minorEastAsia" w:hAnsiTheme="minorEastAsia" w:eastAsiaTheme="minorEastAsia" w:cstheme="minorEastAsia"/>
                <w:b/>
                <w:bCs/>
                <w:color w:val="auto"/>
                <w:kern w:val="0"/>
                <w:szCs w:val="24"/>
                <w:highlight w:val="none"/>
              </w:rPr>
            </w:pPr>
            <w:r>
              <w:rPr>
                <w:rFonts w:hint="eastAsia" w:asciiTheme="minorEastAsia" w:hAnsiTheme="minorEastAsia" w:eastAsiaTheme="minorEastAsia" w:cstheme="minorEastAsia"/>
                <w:b/>
                <w:bCs/>
                <w:color w:val="auto"/>
                <w:kern w:val="0"/>
                <w:szCs w:val="24"/>
                <w:highlight w:val="none"/>
              </w:rPr>
              <w:t>车库</w:t>
            </w:r>
          </w:p>
        </w:tc>
        <w:tc>
          <w:tcPr>
            <w:tcW w:w="1552" w:type="dxa"/>
            <w:vAlign w:val="center"/>
          </w:tcPr>
          <w:p w14:paraId="780CB206">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地面</w:t>
            </w:r>
          </w:p>
        </w:tc>
        <w:tc>
          <w:tcPr>
            <w:tcW w:w="7567" w:type="dxa"/>
            <w:vAlign w:val="center"/>
          </w:tcPr>
          <w:p w14:paraId="363EA9D1">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无泥沙、无灰尘、无垃圾杂物、无污渍、无建筑装修材料残留，踢脚线上无涂料和水泥渍，金刚砂、地坪漆地面需保持整洁、光亮、无划痕。</w:t>
            </w:r>
          </w:p>
        </w:tc>
      </w:tr>
      <w:tr w14:paraId="75B48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1A76F213">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2B1C3711">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墙面</w:t>
            </w:r>
          </w:p>
        </w:tc>
        <w:tc>
          <w:tcPr>
            <w:tcW w:w="7567" w:type="dxa"/>
            <w:vAlign w:val="center"/>
          </w:tcPr>
          <w:p w14:paraId="2A98967E">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无粘贴物、无灰尘、无污渍、无建筑装修材料残留、无印迹、无划痕、无胶渍等异物、无异色污染。</w:t>
            </w:r>
          </w:p>
        </w:tc>
      </w:tr>
      <w:tr w14:paraId="63EC8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78E7FF84">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4618988A">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天棚</w:t>
            </w:r>
          </w:p>
        </w:tc>
        <w:tc>
          <w:tcPr>
            <w:tcW w:w="7567" w:type="dxa"/>
            <w:vAlign w:val="center"/>
          </w:tcPr>
          <w:p w14:paraId="0AF398F8">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无蛛网、无灰尘、无划痕、无污渍、无建筑装修材料残留，阴阳角无暗灰、无异色污染。</w:t>
            </w:r>
          </w:p>
        </w:tc>
      </w:tr>
      <w:tr w14:paraId="6DE67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5FF98C3E">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7FBDD1DA">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各类管道</w:t>
            </w:r>
          </w:p>
        </w:tc>
        <w:tc>
          <w:tcPr>
            <w:tcW w:w="7567" w:type="dxa"/>
            <w:vAlign w:val="center"/>
          </w:tcPr>
          <w:p w14:paraId="5CCCB282">
            <w:pPr>
              <w:widowControl/>
              <w:spacing w:line="360" w:lineRule="auto"/>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无涂料、胶迹污染，无灰尘，目测洁净。</w:t>
            </w:r>
          </w:p>
        </w:tc>
      </w:tr>
      <w:tr w14:paraId="14F84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63" w:type="dxa"/>
            <w:vMerge w:val="continue"/>
            <w:vAlign w:val="center"/>
          </w:tcPr>
          <w:p w14:paraId="3B5F00E7">
            <w:pPr>
              <w:widowControl/>
              <w:spacing w:line="360" w:lineRule="auto"/>
              <w:jc w:val="left"/>
              <w:rPr>
                <w:rFonts w:hint="eastAsia" w:asciiTheme="minorEastAsia" w:hAnsiTheme="minorEastAsia" w:eastAsiaTheme="minorEastAsia" w:cstheme="minorEastAsia"/>
                <w:b/>
                <w:bCs/>
                <w:color w:val="auto"/>
                <w:kern w:val="0"/>
                <w:szCs w:val="24"/>
                <w:highlight w:val="none"/>
              </w:rPr>
            </w:pPr>
          </w:p>
        </w:tc>
        <w:tc>
          <w:tcPr>
            <w:tcW w:w="1552" w:type="dxa"/>
            <w:vAlign w:val="center"/>
          </w:tcPr>
          <w:p w14:paraId="7E94F15D">
            <w:pPr>
              <w:widowControl/>
              <w:spacing w:line="360" w:lineRule="auto"/>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水泵房、设备间等</w:t>
            </w:r>
          </w:p>
        </w:tc>
        <w:tc>
          <w:tcPr>
            <w:tcW w:w="7567" w:type="dxa"/>
            <w:vAlign w:val="center"/>
          </w:tcPr>
          <w:p w14:paraId="1ECF9C0E">
            <w:pPr>
              <w:widowControl/>
              <w:spacing w:line="360" w:lineRule="auto"/>
              <w:ind w:firstLine="33" w:firstLineChars="14"/>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地面无涂料污染，内外无垃圾灰尘。</w:t>
            </w:r>
          </w:p>
        </w:tc>
      </w:tr>
    </w:tbl>
    <w:p w14:paraId="3EDEC026">
      <w:pPr>
        <w:pStyle w:val="54"/>
        <w:spacing w:line="360" w:lineRule="auto"/>
        <w:rPr>
          <w:rFonts w:hint="eastAsia" w:asciiTheme="minorEastAsia" w:hAnsiTheme="minorEastAsia" w:eastAsiaTheme="minorEastAsia" w:cstheme="minorEastAsia"/>
          <w:color w:val="auto"/>
          <w:spacing w:val="8"/>
          <w:szCs w:val="24"/>
          <w:highlight w:val="none"/>
        </w:rPr>
      </w:pPr>
    </w:p>
    <w:p w14:paraId="4F6405FC">
      <w:pPr>
        <w:pStyle w:val="54"/>
        <w:spacing w:line="360" w:lineRule="auto"/>
        <w:rPr>
          <w:rFonts w:hint="eastAsia" w:asciiTheme="minorEastAsia" w:hAnsiTheme="minorEastAsia" w:eastAsiaTheme="minorEastAsia" w:cstheme="minorEastAsia"/>
          <w:color w:val="auto"/>
          <w:spacing w:val="8"/>
          <w:szCs w:val="24"/>
          <w:highlight w:val="none"/>
        </w:rPr>
      </w:pPr>
    </w:p>
    <w:p w14:paraId="761CF41C">
      <w:pPr>
        <w:pStyle w:val="54"/>
        <w:spacing w:line="360" w:lineRule="auto"/>
        <w:rPr>
          <w:rFonts w:hint="eastAsia" w:asciiTheme="minorEastAsia" w:hAnsiTheme="minorEastAsia" w:eastAsiaTheme="minorEastAsia" w:cstheme="minorEastAsia"/>
          <w:color w:val="auto"/>
          <w:spacing w:val="8"/>
          <w:szCs w:val="24"/>
          <w:highlight w:val="none"/>
        </w:rPr>
      </w:pPr>
    </w:p>
    <w:p w14:paraId="47440108">
      <w:pPr>
        <w:pStyle w:val="54"/>
        <w:tabs>
          <w:tab w:val="left" w:pos="1340"/>
        </w:tabs>
        <w:spacing w:line="360" w:lineRule="auto"/>
        <w:rPr>
          <w:rFonts w:hint="eastAsia" w:asciiTheme="minorEastAsia" w:hAnsiTheme="minorEastAsia" w:eastAsiaTheme="minorEastAsia" w:cstheme="minorEastAsia"/>
          <w:color w:val="auto"/>
          <w:spacing w:val="8"/>
          <w:szCs w:val="24"/>
          <w:highlight w:val="none"/>
          <w:lang w:eastAsia="zh-CN"/>
        </w:rPr>
      </w:pPr>
      <w:r>
        <w:rPr>
          <w:rFonts w:hint="eastAsia" w:asciiTheme="minorEastAsia" w:hAnsiTheme="minorEastAsia" w:eastAsiaTheme="minorEastAsia" w:cstheme="minorEastAsia"/>
          <w:color w:val="auto"/>
          <w:spacing w:val="8"/>
          <w:szCs w:val="24"/>
          <w:highlight w:val="none"/>
          <w:lang w:eastAsia="zh-CN"/>
        </w:rPr>
        <w:tab/>
      </w:r>
    </w:p>
    <w:p w14:paraId="135A0718">
      <w:pPr>
        <w:pStyle w:val="54"/>
        <w:tabs>
          <w:tab w:val="left" w:pos="1340"/>
        </w:tabs>
        <w:spacing w:line="360" w:lineRule="auto"/>
        <w:rPr>
          <w:rFonts w:hint="eastAsia" w:asciiTheme="minorEastAsia" w:hAnsiTheme="minorEastAsia" w:eastAsiaTheme="minorEastAsia" w:cstheme="minorEastAsia"/>
          <w:color w:val="auto"/>
          <w:spacing w:val="8"/>
          <w:szCs w:val="24"/>
          <w:highlight w:val="none"/>
          <w:lang w:eastAsia="zh-CN"/>
        </w:rPr>
      </w:pPr>
    </w:p>
    <w:p w14:paraId="3FFBCABF">
      <w:pPr>
        <w:pStyle w:val="54"/>
        <w:tabs>
          <w:tab w:val="left" w:pos="1340"/>
        </w:tabs>
        <w:spacing w:line="360" w:lineRule="auto"/>
        <w:rPr>
          <w:rFonts w:hint="eastAsia" w:asciiTheme="minorEastAsia" w:hAnsiTheme="minorEastAsia" w:eastAsiaTheme="minorEastAsia" w:cstheme="minorEastAsia"/>
          <w:color w:val="auto"/>
          <w:spacing w:val="8"/>
          <w:szCs w:val="24"/>
          <w:highlight w:val="none"/>
          <w:lang w:eastAsia="zh-CN"/>
        </w:rPr>
      </w:pPr>
    </w:p>
    <w:p w14:paraId="463EB5F5">
      <w:pPr>
        <w:pStyle w:val="54"/>
        <w:tabs>
          <w:tab w:val="left" w:pos="1340"/>
        </w:tabs>
        <w:spacing w:line="360" w:lineRule="auto"/>
        <w:rPr>
          <w:rFonts w:hint="eastAsia" w:asciiTheme="minorEastAsia" w:hAnsiTheme="minorEastAsia" w:eastAsiaTheme="minorEastAsia" w:cstheme="minorEastAsia"/>
          <w:color w:val="auto"/>
          <w:spacing w:val="8"/>
          <w:szCs w:val="24"/>
          <w:highlight w:val="none"/>
          <w:lang w:eastAsia="zh-CN"/>
        </w:rPr>
      </w:pPr>
    </w:p>
    <w:p w14:paraId="4804D684">
      <w:pPr>
        <w:pStyle w:val="54"/>
        <w:tabs>
          <w:tab w:val="left" w:pos="1340"/>
        </w:tabs>
        <w:spacing w:line="360" w:lineRule="auto"/>
        <w:rPr>
          <w:rFonts w:hint="eastAsia" w:asciiTheme="minorEastAsia" w:hAnsiTheme="minorEastAsia" w:eastAsiaTheme="minorEastAsia" w:cstheme="minorEastAsia"/>
          <w:color w:val="auto"/>
          <w:spacing w:val="8"/>
          <w:szCs w:val="24"/>
          <w:highlight w:val="none"/>
          <w:lang w:eastAsia="zh-CN"/>
        </w:rPr>
      </w:pPr>
    </w:p>
    <w:p w14:paraId="62831ED6">
      <w:pPr>
        <w:pStyle w:val="54"/>
        <w:tabs>
          <w:tab w:val="left" w:pos="1340"/>
        </w:tabs>
        <w:spacing w:line="360" w:lineRule="auto"/>
        <w:rPr>
          <w:rFonts w:hint="eastAsia" w:asciiTheme="minorEastAsia" w:hAnsiTheme="minorEastAsia" w:eastAsiaTheme="minorEastAsia" w:cstheme="minorEastAsia"/>
          <w:color w:val="auto"/>
          <w:spacing w:val="8"/>
          <w:szCs w:val="24"/>
          <w:highlight w:val="none"/>
          <w:lang w:eastAsia="zh-CN"/>
        </w:rPr>
      </w:pPr>
    </w:p>
    <w:p w14:paraId="5434E0A7">
      <w:pPr>
        <w:pStyle w:val="54"/>
        <w:tabs>
          <w:tab w:val="left" w:pos="1340"/>
        </w:tabs>
        <w:spacing w:line="360" w:lineRule="auto"/>
        <w:rPr>
          <w:rFonts w:hint="eastAsia" w:asciiTheme="minorEastAsia" w:hAnsiTheme="minorEastAsia" w:eastAsiaTheme="minorEastAsia" w:cstheme="minorEastAsia"/>
          <w:color w:val="auto"/>
          <w:spacing w:val="8"/>
          <w:szCs w:val="24"/>
          <w:highlight w:val="none"/>
          <w:lang w:eastAsia="zh-CN"/>
        </w:rPr>
      </w:pPr>
    </w:p>
    <w:p w14:paraId="2A2CF137">
      <w:pPr>
        <w:pStyle w:val="54"/>
        <w:tabs>
          <w:tab w:val="left" w:pos="1340"/>
        </w:tabs>
        <w:spacing w:line="360" w:lineRule="auto"/>
        <w:rPr>
          <w:rFonts w:hint="eastAsia" w:asciiTheme="minorEastAsia" w:hAnsiTheme="minorEastAsia" w:eastAsiaTheme="minorEastAsia" w:cstheme="minorEastAsia"/>
          <w:color w:val="auto"/>
          <w:spacing w:val="8"/>
          <w:szCs w:val="24"/>
          <w:highlight w:val="none"/>
          <w:lang w:eastAsia="zh-CN"/>
        </w:rPr>
      </w:pPr>
    </w:p>
    <w:p w14:paraId="5DCABAB5">
      <w:pPr>
        <w:pStyle w:val="54"/>
        <w:tabs>
          <w:tab w:val="left" w:pos="1340"/>
        </w:tabs>
        <w:spacing w:line="360" w:lineRule="auto"/>
        <w:rPr>
          <w:rFonts w:hint="eastAsia" w:asciiTheme="minorEastAsia" w:hAnsiTheme="minorEastAsia" w:eastAsiaTheme="minorEastAsia" w:cstheme="minorEastAsia"/>
          <w:color w:val="auto"/>
          <w:spacing w:val="8"/>
          <w:szCs w:val="24"/>
          <w:highlight w:val="none"/>
          <w:lang w:eastAsia="zh-CN"/>
        </w:rPr>
      </w:pPr>
    </w:p>
    <w:p w14:paraId="5ABEDBC6">
      <w:pPr>
        <w:pStyle w:val="54"/>
        <w:tabs>
          <w:tab w:val="left" w:pos="1340"/>
        </w:tabs>
        <w:spacing w:line="360" w:lineRule="auto"/>
        <w:rPr>
          <w:rFonts w:hint="eastAsia" w:asciiTheme="minorEastAsia" w:hAnsiTheme="minorEastAsia" w:eastAsiaTheme="minorEastAsia" w:cstheme="minorEastAsia"/>
          <w:color w:val="auto"/>
          <w:spacing w:val="8"/>
          <w:szCs w:val="24"/>
          <w:highlight w:val="none"/>
          <w:lang w:eastAsia="zh-CN"/>
        </w:rPr>
      </w:pPr>
    </w:p>
    <w:p w14:paraId="03351F51">
      <w:pPr>
        <w:pStyle w:val="54"/>
        <w:spacing w:line="360" w:lineRule="auto"/>
        <w:rPr>
          <w:rFonts w:hint="eastAsia" w:asciiTheme="minorEastAsia" w:hAnsiTheme="minorEastAsia" w:eastAsiaTheme="minorEastAsia" w:cstheme="minorEastAsia"/>
          <w:color w:val="auto"/>
          <w:spacing w:val="8"/>
          <w:szCs w:val="24"/>
          <w:highlight w:val="none"/>
        </w:rPr>
      </w:pPr>
    </w:p>
    <w:p w14:paraId="395BA370">
      <w:pPr>
        <w:pStyle w:val="54"/>
        <w:spacing w:line="360" w:lineRule="auto"/>
        <w:rPr>
          <w:rFonts w:hint="eastAsia" w:asciiTheme="minorEastAsia" w:hAnsiTheme="minorEastAsia" w:eastAsiaTheme="minorEastAsia" w:cstheme="minorEastAsia"/>
          <w:color w:val="auto"/>
          <w:spacing w:val="8"/>
          <w:szCs w:val="24"/>
          <w:highlight w:val="none"/>
        </w:rPr>
      </w:pPr>
    </w:p>
    <w:p w14:paraId="13F7F945">
      <w:pPr>
        <w:pStyle w:val="54"/>
        <w:spacing w:line="360" w:lineRule="auto"/>
        <w:rPr>
          <w:rFonts w:hint="eastAsia" w:asciiTheme="minorEastAsia" w:hAnsiTheme="minorEastAsia" w:eastAsiaTheme="minorEastAsia" w:cstheme="minorEastAsia"/>
          <w:bCs/>
          <w:color w:val="auto"/>
          <w:spacing w:val="8"/>
          <w:szCs w:val="24"/>
          <w:highlight w:val="none"/>
        </w:rPr>
      </w:pPr>
    </w:p>
    <w:p w14:paraId="16CDF4BF">
      <w:pPr>
        <w:pStyle w:val="54"/>
        <w:spacing w:line="360" w:lineRule="auto"/>
        <w:rPr>
          <w:rFonts w:hint="eastAsia" w:hAnsi="宋体" w:cs="宋体"/>
          <w:b w:val="0"/>
          <w:color w:val="auto"/>
          <w:szCs w:val="24"/>
          <w:highlight w:val="none"/>
        </w:rPr>
      </w:pPr>
      <w:r>
        <w:rPr>
          <w:rFonts w:hint="eastAsia" w:asciiTheme="minorEastAsia" w:hAnsiTheme="minorEastAsia" w:eastAsiaTheme="minorEastAsia" w:cstheme="minorEastAsia"/>
          <w:bCs/>
          <w:color w:val="auto"/>
          <w:szCs w:val="28"/>
          <w:highlight w:val="none"/>
        </w:rPr>
        <w:t>附件六、</w:t>
      </w:r>
      <w:r>
        <w:rPr>
          <w:rFonts w:hint="eastAsia" w:hAnsi="宋体" w:cs="宋体"/>
          <w:bCs/>
          <w:color w:val="auto"/>
          <w:szCs w:val="28"/>
          <w:highlight w:val="none"/>
        </w:rPr>
        <w:t>《成品保护标准》：</w:t>
      </w:r>
      <w:r>
        <w:rPr>
          <w:rFonts w:hint="eastAsia" w:hAnsi="宋体" w:cs="宋体"/>
          <w:b w:val="0"/>
          <w:color w:val="auto"/>
          <w:szCs w:val="24"/>
          <w:highlight w:val="none"/>
        </w:rPr>
        <w:t>详见《浩德地产精装修品质管控标准（V1.0版）》第五部分“成品保护10类”。</w:t>
      </w:r>
    </w:p>
    <w:p w14:paraId="2437B3A0">
      <w:pPr>
        <w:pStyle w:val="54"/>
        <w:spacing w:line="360" w:lineRule="auto"/>
        <w:rPr>
          <w:color w:val="auto"/>
          <w:highlight w:val="none"/>
        </w:rPr>
      </w:pPr>
      <w:r>
        <w:rPr>
          <w:color w:val="auto"/>
          <w:highlight w:val="none"/>
        </w:rPr>
        <w:drawing>
          <wp:inline distT="0" distB="0" distL="114300" distR="114300">
            <wp:extent cx="6312535" cy="3220720"/>
            <wp:effectExtent l="0" t="0" r="12065" b="1016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
                    <a:stretch>
                      <a:fillRect/>
                    </a:stretch>
                  </pic:blipFill>
                  <pic:spPr>
                    <a:xfrm>
                      <a:off x="0" y="0"/>
                      <a:ext cx="6312535" cy="3220720"/>
                    </a:xfrm>
                    <a:prstGeom prst="rect">
                      <a:avLst/>
                    </a:prstGeom>
                    <a:noFill/>
                    <a:ln>
                      <a:noFill/>
                    </a:ln>
                  </pic:spPr>
                </pic:pic>
              </a:graphicData>
            </a:graphic>
          </wp:inline>
        </w:drawing>
      </w:r>
    </w:p>
    <w:p w14:paraId="7FA1B253">
      <w:pPr>
        <w:pStyle w:val="54"/>
        <w:spacing w:line="360" w:lineRule="auto"/>
        <w:rPr>
          <w:color w:val="auto"/>
          <w:highlight w:val="none"/>
        </w:rPr>
      </w:pPr>
      <w:r>
        <w:rPr>
          <w:color w:val="auto"/>
          <w:highlight w:val="none"/>
        </w:rPr>
        <w:drawing>
          <wp:inline distT="0" distB="0" distL="114300" distR="114300">
            <wp:extent cx="6327775" cy="3560445"/>
            <wp:effectExtent l="0" t="0" r="12065" b="571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8"/>
                    <a:stretch>
                      <a:fillRect/>
                    </a:stretch>
                  </pic:blipFill>
                  <pic:spPr>
                    <a:xfrm>
                      <a:off x="0" y="0"/>
                      <a:ext cx="6327775" cy="3560445"/>
                    </a:xfrm>
                    <a:prstGeom prst="rect">
                      <a:avLst/>
                    </a:prstGeom>
                    <a:noFill/>
                    <a:ln>
                      <a:noFill/>
                    </a:ln>
                  </pic:spPr>
                </pic:pic>
              </a:graphicData>
            </a:graphic>
          </wp:inline>
        </w:drawing>
      </w:r>
    </w:p>
    <w:p w14:paraId="1EB30D15">
      <w:pPr>
        <w:pStyle w:val="54"/>
        <w:spacing w:line="360" w:lineRule="auto"/>
        <w:rPr>
          <w:rFonts w:hint="eastAsia" w:hAnsi="宋体" w:cs="宋体"/>
          <w:bCs/>
          <w:color w:val="auto"/>
          <w:szCs w:val="28"/>
          <w:highlight w:val="none"/>
        </w:rPr>
      </w:pPr>
      <w:r>
        <w:rPr>
          <w:color w:val="auto"/>
          <w:highlight w:val="none"/>
        </w:rPr>
        <w:drawing>
          <wp:inline distT="0" distB="0" distL="114300" distR="114300">
            <wp:extent cx="6372860" cy="3578225"/>
            <wp:effectExtent l="0" t="0" r="12700" b="317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9"/>
                    <a:stretch>
                      <a:fillRect/>
                    </a:stretch>
                  </pic:blipFill>
                  <pic:spPr>
                    <a:xfrm>
                      <a:off x="0" y="0"/>
                      <a:ext cx="6372860" cy="3578225"/>
                    </a:xfrm>
                    <a:prstGeom prst="rect">
                      <a:avLst/>
                    </a:prstGeom>
                    <a:noFill/>
                    <a:ln>
                      <a:noFill/>
                    </a:ln>
                  </pic:spPr>
                </pic:pic>
              </a:graphicData>
            </a:graphic>
          </wp:inline>
        </w:drawing>
      </w:r>
    </w:p>
    <w:p w14:paraId="68299E4D">
      <w:pPr>
        <w:pStyle w:val="54"/>
        <w:spacing w:line="360" w:lineRule="auto"/>
        <w:rPr>
          <w:rFonts w:hint="eastAsia" w:hAnsi="宋体" w:cs="宋体"/>
          <w:bCs/>
          <w:color w:val="auto"/>
          <w:szCs w:val="28"/>
          <w:highlight w:val="none"/>
        </w:rPr>
      </w:pPr>
      <w:r>
        <w:rPr>
          <w:color w:val="auto"/>
          <w:highlight w:val="none"/>
        </w:rPr>
        <w:drawing>
          <wp:inline distT="0" distB="0" distL="114300" distR="114300">
            <wp:extent cx="6491605" cy="3650615"/>
            <wp:effectExtent l="0" t="0" r="635" b="698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0"/>
                    <a:stretch>
                      <a:fillRect/>
                    </a:stretch>
                  </pic:blipFill>
                  <pic:spPr>
                    <a:xfrm>
                      <a:off x="0" y="0"/>
                      <a:ext cx="6491605" cy="3650615"/>
                    </a:xfrm>
                    <a:prstGeom prst="rect">
                      <a:avLst/>
                    </a:prstGeom>
                    <a:noFill/>
                    <a:ln>
                      <a:noFill/>
                    </a:ln>
                  </pic:spPr>
                </pic:pic>
              </a:graphicData>
            </a:graphic>
          </wp:inline>
        </w:drawing>
      </w:r>
    </w:p>
    <w:p w14:paraId="09F6C8E6">
      <w:pPr>
        <w:pStyle w:val="54"/>
        <w:spacing w:line="360" w:lineRule="auto"/>
        <w:rPr>
          <w:rFonts w:hint="eastAsia" w:hAnsi="宋体" w:cs="宋体"/>
          <w:bCs/>
          <w:color w:val="auto"/>
          <w:szCs w:val="28"/>
          <w:highlight w:val="none"/>
        </w:rPr>
      </w:pPr>
      <w:r>
        <w:rPr>
          <w:color w:val="auto"/>
          <w:highlight w:val="none"/>
        </w:rPr>
        <w:drawing>
          <wp:inline distT="0" distB="0" distL="114300" distR="114300">
            <wp:extent cx="6245225" cy="3518535"/>
            <wp:effectExtent l="0" t="0" r="3175" b="190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1"/>
                    <a:stretch>
                      <a:fillRect/>
                    </a:stretch>
                  </pic:blipFill>
                  <pic:spPr>
                    <a:xfrm>
                      <a:off x="0" y="0"/>
                      <a:ext cx="6245225" cy="3518535"/>
                    </a:xfrm>
                    <a:prstGeom prst="rect">
                      <a:avLst/>
                    </a:prstGeom>
                    <a:noFill/>
                    <a:ln>
                      <a:noFill/>
                    </a:ln>
                  </pic:spPr>
                </pic:pic>
              </a:graphicData>
            </a:graphic>
          </wp:inline>
        </w:drawing>
      </w:r>
    </w:p>
    <w:p w14:paraId="1B98F7E6">
      <w:pPr>
        <w:spacing w:line="360" w:lineRule="auto"/>
        <w:rPr>
          <w:color w:val="auto"/>
          <w:highlight w:val="none"/>
        </w:rPr>
      </w:pPr>
      <w:r>
        <w:rPr>
          <w:color w:val="auto"/>
          <w:highlight w:val="none"/>
        </w:rPr>
        <w:drawing>
          <wp:inline distT="0" distB="0" distL="114300" distR="114300">
            <wp:extent cx="6210935" cy="3489325"/>
            <wp:effectExtent l="0" t="0" r="6985" b="635"/>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12"/>
                    <a:stretch>
                      <a:fillRect/>
                    </a:stretch>
                  </pic:blipFill>
                  <pic:spPr>
                    <a:xfrm>
                      <a:off x="0" y="0"/>
                      <a:ext cx="6210935" cy="3489325"/>
                    </a:xfrm>
                    <a:prstGeom prst="rect">
                      <a:avLst/>
                    </a:prstGeom>
                    <a:noFill/>
                    <a:ln>
                      <a:noFill/>
                    </a:ln>
                  </pic:spPr>
                </pic:pic>
              </a:graphicData>
            </a:graphic>
          </wp:inline>
        </w:drawing>
      </w:r>
    </w:p>
    <w:p w14:paraId="0468800D">
      <w:pPr>
        <w:spacing w:line="360" w:lineRule="auto"/>
        <w:jc w:val="both"/>
        <w:rPr>
          <w:rFonts w:hint="eastAsia" w:asciiTheme="minorEastAsia" w:hAnsiTheme="minorEastAsia" w:eastAsiaTheme="minorEastAsia" w:cstheme="minorEastAsia"/>
          <w:b/>
          <w:bCs/>
          <w:color w:val="auto"/>
          <w:spacing w:val="8"/>
          <w:szCs w:val="24"/>
          <w:highlight w:val="none"/>
        </w:rPr>
      </w:pPr>
    </w:p>
    <w:p w14:paraId="36B45DD9">
      <w:pPr>
        <w:spacing w:line="360" w:lineRule="auto"/>
        <w:jc w:val="both"/>
        <w:rPr>
          <w:rFonts w:hint="eastAsia" w:asciiTheme="minorEastAsia" w:hAnsiTheme="minorEastAsia" w:eastAsiaTheme="minorEastAsia" w:cstheme="minorEastAsia"/>
          <w:b/>
          <w:bCs/>
          <w:color w:val="auto"/>
          <w:spacing w:val="8"/>
          <w:szCs w:val="24"/>
          <w:highlight w:val="none"/>
        </w:rPr>
      </w:pPr>
    </w:p>
    <w:p w14:paraId="5D5DE64F">
      <w:pPr>
        <w:spacing w:line="360" w:lineRule="auto"/>
        <w:jc w:val="both"/>
        <w:rPr>
          <w:rFonts w:hint="eastAsia" w:asciiTheme="minorEastAsia" w:hAnsiTheme="minorEastAsia" w:eastAsiaTheme="minorEastAsia" w:cstheme="minorEastAsia"/>
          <w:b/>
          <w:bCs/>
          <w:color w:val="auto"/>
          <w:spacing w:val="8"/>
          <w:szCs w:val="24"/>
          <w:highlight w:val="none"/>
        </w:rPr>
      </w:pPr>
    </w:p>
    <w:p w14:paraId="32AC93E0">
      <w:pPr>
        <w:spacing w:line="360" w:lineRule="auto"/>
        <w:jc w:val="both"/>
        <w:rPr>
          <w:rFonts w:hint="eastAsia" w:asciiTheme="minorEastAsia" w:hAnsiTheme="minorEastAsia" w:eastAsiaTheme="minorEastAsia" w:cstheme="minorEastAsia"/>
          <w:b/>
          <w:bCs/>
          <w:color w:val="auto"/>
          <w:spacing w:val="8"/>
          <w:szCs w:val="24"/>
          <w:highlight w:val="none"/>
        </w:rPr>
      </w:pPr>
    </w:p>
    <w:p w14:paraId="27C86AEC">
      <w:pPr>
        <w:spacing w:line="360" w:lineRule="auto"/>
        <w:jc w:val="both"/>
        <w:rPr>
          <w:rFonts w:hint="eastAsia" w:asciiTheme="minorEastAsia" w:hAnsiTheme="minorEastAsia" w:eastAsiaTheme="minorEastAsia" w:cstheme="minorEastAsia"/>
          <w:b/>
          <w:bCs/>
          <w:color w:val="auto"/>
          <w:spacing w:val="8"/>
          <w:szCs w:val="24"/>
          <w:highlight w:val="none"/>
        </w:rPr>
      </w:pPr>
    </w:p>
    <w:p w14:paraId="13380E72">
      <w:pPr>
        <w:spacing w:line="360" w:lineRule="auto"/>
        <w:jc w:val="both"/>
        <w:rPr>
          <w:rFonts w:hint="eastAsia" w:asciiTheme="minorEastAsia" w:hAnsiTheme="minorEastAsia" w:eastAsiaTheme="minorEastAsia" w:cstheme="minorEastAsia"/>
          <w:b/>
          <w:bCs/>
          <w:color w:val="auto"/>
          <w:spacing w:val="8"/>
          <w:szCs w:val="24"/>
          <w:highlight w:val="none"/>
        </w:rPr>
      </w:pPr>
    </w:p>
    <w:p w14:paraId="3358A701">
      <w:pPr>
        <w:spacing w:line="360" w:lineRule="auto"/>
        <w:jc w:val="both"/>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
          <w:bCs/>
          <w:color w:val="auto"/>
          <w:spacing w:val="8"/>
          <w:szCs w:val="24"/>
          <w:highlight w:val="none"/>
        </w:rPr>
        <w:t>附件七、</w:t>
      </w:r>
      <w:r>
        <w:rPr>
          <w:rFonts w:hint="eastAsia" w:asciiTheme="minorEastAsia" w:hAnsiTheme="minorEastAsia" w:eastAsiaTheme="minorEastAsia" w:cstheme="minorEastAsia"/>
          <w:b/>
          <w:bCs/>
          <w:color w:val="auto"/>
          <w:spacing w:val="8"/>
          <w:szCs w:val="24"/>
          <w:highlight w:val="none"/>
          <w:lang w:eastAsia="zh-CN"/>
        </w:rPr>
        <w:t>招标答疑及回复（已计入合同清单，</w:t>
      </w:r>
      <w:r>
        <w:rPr>
          <w:rFonts w:hint="eastAsia" w:asciiTheme="minorEastAsia" w:hAnsiTheme="minorEastAsia" w:eastAsiaTheme="minorEastAsia" w:cstheme="minorEastAsia"/>
          <w:b/>
          <w:bCs/>
          <w:color w:val="auto"/>
          <w:spacing w:val="8"/>
          <w:szCs w:val="24"/>
          <w:highlight w:val="none"/>
          <w:lang w:val="en-US" w:eastAsia="zh-CN"/>
        </w:rPr>
        <w:t>备注：该附件内容若与合同条款内容不一致的，以合同条款内容为准</w:t>
      </w:r>
      <w:r>
        <w:rPr>
          <w:rFonts w:hint="eastAsia" w:asciiTheme="minorEastAsia" w:hAnsiTheme="minorEastAsia" w:eastAsiaTheme="minorEastAsia" w:cstheme="minorEastAsia"/>
          <w:b/>
          <w:bCs/>
          <w:color w:val="auto"/>
          <w:spacing w:val="8"/>
          <w:szCs w:val="24"/>
          <w:highlight w:val="none"/>
          <w:lang w:eastAsia="zh-CN"/>
        </w:rPr>
        <w:t>）</w:t>
      </w:r>
    </w:p>
    <w:p w14:paraId="61F2B21F">
      <w:pPr>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rPr>
        <w:t>开元壹号天逸项目公区、大堂及门头精装修工程答疑</w:t>
      </w:r>
      <w:r>
        <w:rPr>
          <w:rFonts w:hint="eastAsia" w:ascii="宋体" w:hAnsi="宋体" w:eastAsia="宋体" w:cs="宋体"/>
          <w:b/>
          <w:bCs/>
          <w:sz w:val="24"/>
          <w:szCs w:val="24"/>
          <w:highlight w:val="none"/>
          <w:lang w:eastAsia="zh-CN"/>
        </w:rPr>
        <w:t>及回复</w:t>
      </w:r>
    </w:p>
    <w:p w14:paraId="33A9B340">
      <w:pPr>
        <w:numPr>
          <w:ilvl w:val="0"/>
          <w:numId w:val="42"/>
        </w:numPr>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根据清单显示，项目使用材料种类较多，是否能提供一份材料物料表？便于后期主材认样以及进行主材报价。</w:t>
      </w:r>
    </w:p>
    <w:p w14:paraId="6DCAA7FD">
      <w:pPr>
        <w:ind w:left="36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回复：</w:t>
      </w:r>
      <w:r>
        <w:rPr>
          <w:rFonts w:hint="eastAsia" w:ascii="宋体" w:hAnsi="宋体" w:eastAsia="宋体" w:cs="宋体"/>
          <w:sz w:val="24"/>
          <w:szCs w:val="24"/>
          <w:highlight w:val="none"/>
          <w:lang w:val="en-US" w:eastAsia="zh-CN"/>
        </w:rPr>
        <w:t>不能</w:t>
      </w:r>
    </w:p>
    <w:p w14:paraId="60B3331E">
      <w:pPr>
        <w:numPr>
          <w:ilvl w:val="0"/>
          <w:numId w:val="42"/>
        </w:numPr>
        <w:jc w:val="left"/>
        <w:rPr>
          <w:rFonts w:hint="eastAsia" w:ascii="宋体" w:hAnsi="宋体" w:eastAsia="宋体" w:cs="宋体"/>
          <w:sz w:val="24"/>
          <w:szCs w:val="24"/>
          <w:highlight w:val="none"/>
        </w:rPr>
      </w:pPr>
      <w:r>
        <w:rPr>
          <w:rFonts w:hint="eastAsia" w:ascii="宋体" w:hAnsi="宋体" w:eastAsia="宋体" w:cs="宋体"/>
          <w:sz w:val="24"/>
          <w:szCs w:val="24"/>
          <w:highlight w:val="none"/>
        </w:rPr>
        <w:drawing>
          <wp:anchor distT="0" distB="0" distL="114300" distR="114300" simplePos="0" relativeHeight="251661312" behindDoc="0" locked="0" layoutInCell="1" allowOverlap="1">
            <wp:simplePos x="0" y="0"/>
            <wp:positionH relativeFrom="column">
              <wp:posOffset>16510</wp:posOffset>
            </wp:positionH>
            <wp:positionV relativeFrom="paragraph">
              <wp:posOffset>615950</wp:posOffset>
            </wp:positionV>
            <wp:extent cx="2536825" cy="1088390"/>
            <wp:effectExtent l="0" t="0" r="8255" b="8890"/>
            <wp:wrapTopAndBottom/>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pic:cNvPicPr>
                  </pic:nvPicPr>
                  <pic:blipFill>
                    <a:blip r:embed="rId13"/>
                    <a:stretch>
                      <a:fillRect/>
                    </a:stretch>
                  </pic:blipFill>
                  <pic:spPr>
                    <a:xfrm>
                      <a:off x="0" y="0"/>
                      <a:ext cx="2536825" cy="1088390"/>
                    </a:xfrm>
                    <a:prstGeom prst="rect">
                      <a:avLst/>
                    </a:prstGeom>
                    <a:noFill/>
                    <a:ln>
                      <a:noFill/>
                    </a:ln>
                  </pic:spPr>
                </pic:pic>
              </a:graphicData>
            </a:graphic>
          </wp:anchor>
        </w:drawing>
      </w:r>
      <w:r>
        <w:rPr>
          <w:rFonts w:hint="eastAsia" w:ascii="宋体" w:hAnsi="宋体" w:eastAsia="宋体" w:cs="宋体"/>
          <w:sz w:val="24"/>
          <w:szCs w:val="24"/>
          <w:highlight w:val="none"/>
        </w:rPr>
        <w:t>根据贵司提供的图纸显示，只有建筑图纸，且只找到精装地下部分施工区域，没有具体精装施工图纸以及节点图纸，无法明确施工工艺及面层材质，请提供详细的精装施工图纸。</w:t>
      </w:r>
    </w:p>
    <w:p w14:paraId="29CF299D">
      <w:pPr>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回复：</w:t>
      </w:r>
      <w:r>
        <w:rPr>
          <w:rFonts w:hint="eastAsia" w:ascii="宋体" w:hAnsi="宋体" w:eastAsia="宋体" w:cs="宋体"/>
          <w:sz w:val="24"/>
          <w:szCs w:val="24"/>
          <w:highlight w:val="none"/>
          <w:lang w:val="en-US" w:eastAsia="zh-CN"/>
        </w:rPr>
        <w:t>无图纸，按做法清单</w:t>
      </w:r>
    </w:p>
    <w:p w14:paraId="302B5543">
      <w:pPr>
        <w:numPr>
          <w:ilvl w:val="0"/>
          <w:numId w:val="42"/>
        </w:numPr>
        <w:ind w:left="360" w:leftChars="0" w:hanging="36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drawing>
          <wp:anchor distT="0" distB="0" distL="114300" distR="114300" simplePos="0" relativeHeight="251662336" behindDoc="0" locked="0" layoutInCell="1" allowOverlap="1">
            <wp:simplePos x="0" y="0"/>
            <wp:positionH relativeFrom="column">
              <wp:posOffset>2671445</wp:posOffset>
            </wp:positionH>
            <wp:positionV relativeFrom="paragraph">
              <wp:posOffset>101600</wp:posOffset>
            </wp:positionV>
            <wp:extent cx="2096135" cy="1065530"/>
            <wp:effectExtent l="0" t="0" r="6985" b="1270"/>
            <wp:wrapTopAndBottom/>
            <wp:docPr id="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
                    <pic:cNvPicPr>
                      <a:picLocks noChangeAspect="1"/>
                    </pic:cNvPicPr>
                  </pic:nvPicPr>
                  <pic:blipFill>
                    <a:blip r:embed="rId14"/>
                    <a:stretch>
                      <a:fillRect/>
                    </a:stretch>
                  </pic:blipFill>
                  <pic:spPr>
                    <a:xfrm>
                      <a:off x="0" y="0"/>
                      <a:ext cx="2096135" cy="1065530"/>
                    </a:xfrm>
                    <a:prstGeom prst="rect">
                      <a:avLst/>
                    </a:prstGeom>
                    <a:noFill/>
                    <a:ln>
                      <a:noFill/>
                    </a:ln>
                  </pic:spPr>
                </pic:pic>
              </a:graphicData>
            </a:graphic>
          </wp:anchor>
        </w:drawing>
      </w:r>
      <w:r>
        <w:rPr>
          <w:rFonts w:hint="eastAsia" w:ascii="宋体" w:hAnsi="宋体" w:eastAsia="宋体" w:cs="宋体"/>
          <w:sz w:val="24"/>
          <w:szCs w:val="24"/>
          <w:highlight w:val="none"/>
        </w:rPr>
        <w:t>根据清单显示，标准层候梯厅及走道地面部分中块料楼地面施工工艺与公区装饰做法清单中描述不一致，请明确具体施工工艺。</w:t>
      </w:r>
    </w:p>
    <w:p w14:paraId="29DE8A27">
      <w:pPr>
        <w:ind w:left="36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回复：</w:t>
      </w:r>
      <w:r>
        <w:rPr>
          <w:rFonts w:hint="eastAsia" w:ascii="宋体" w:hAnsi="宋体" w:eastAsia="宋体" w:cs="宋体"/>
          <w:sz w:val="24"/>
          <w:szCs w:val="24"/>
          <w:highlight w:val="none"/>
          <w:lang w:val="en-US" w:eastAsia="zh-CN"/>
        </w:rPr>
        <w:t>按做法清单</w:t>
      </w:r>
    </w:p>
    <w:p w14:paraId="73FFD645">
      <w:pPr>
        <w:numPr>
          <w:ilvl w:val="0"/>
          <w:numId w:val="0"/>
        </w:numPr>
        <w:ind w:left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drawing>
          <wp:anchor distT="0" distB="0" distL="114300" distR="114300" simplePos="0" relativeHeight="251664384" behindDoc="0" locked="0" layoutInCell="1" allowOverlap="1">
            <wp:simplePos x="0" y="0"/>
            <wp:positionH relativeFrom="column">
              <wp:posOffset>2765425</wp:posOffset>
            </wp:positionH>
            <wp:positionV relativeFrom="paragraph">
              <wp:posOffset>60325</wp:posOffset>
            </wp:positionV>
            <wp:extent cx="1909445" cy="1043305"/>
            <wp:effectExtent l="0" t="0" r="10795" b="8255"/>
            <wp:wrapTopAndBottom/>
            <wp:docPr id="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
                    <pic:cNvPicPr>
                      <a:picLocks noChangeAspect="1"/>
                    </pic:cNvPicPr>
                  </pic:nvPicPr>
                  <pic:blipFill>
                    <a:blip r:embed="rId15"/>
                    <a:stretch>
                      <a:fillRect/>
                    </a:stretch>
                  </pic:blipFill>
                  <pic:spPr>
                    <a:xfrm>
                      <a:off x="0" y="0"/>
                      <a:ext cx="1909445" cy="1043305"/>
                    </a:xfrm>
                    <a:prstGeom prst="rect">
                      <a:avLst/>
                    </a:prstGeom>
                    <a:noFill/>
                    <a:ln>
                      <a:noFill/>
                    </a:ln>
                  </pic:spPr>
                </pic:pic>
              </a:graphicData>
            </a:graphic>
          </wp:anchor>
        </w:drawing>
      </w:r>
      <w:r>
        <w:rPr>
          <w:rFonts w:hint="eastAsia" w:ascii="宋体" w:hAnsi="宋体" w:eastAsia="宋体" w:cs="宋体"/>
          <w:sz w:val="24"/>
          <w:szCs w:val="24"/>
          <w:highlight w:val="none"/>
        </w:rPr>
        <w:drawing>
          <wp:anchor distT="0" distB="0" distL="114300" distR="114300" simplePos="0" relativeHeight="251663360" behindDoc="0" locked="0" layoutInCell="1" allowOverlap="1">
            <wp:simplePos x="0" y="0"/>
            <wp:positionH relativeFrom="column">
              <wp:posOffset>-8890</wp:posOffset>
            </wp:positionH>
            <wp:positionV relativeFrom="paragraph">
              <wp:posOffset>46990</wp:posOffset>
            </wp:positionV>
            <wp:extent cx="2722245" cy="1066800"/>
            <wp:effectExtent l="0" t="0" r="5715" b="0"/>
            <wp:wrapTopAndBottom/>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16"/>
                    <a:stretch>
                      <a:fillRect/>
                    </a:stretch>
                  </pic:blipFill>
                  <pic:spPr>
                    <a:xfrm>
                      <a:off x="0" y="0"/>
                      <a:ext cx="2722245" cy="1066800"/>
                    </a:xfrm>
                    <a:prstGeom prst="rect">
                      <a:avLst/>
                    </a:prstGeom>
                    <a:noFill/>
                    <a:ln>
                      <a:noFill/>
                    </a:ln>
                  </pic:spPr>
                </pic:pic>
              </a:graphicData>
            </a:graphic>
          </wp:anchor>
        </w:drawing>
      </w: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根据清单显示，楼梯间及前室部分中墙面施工工艺为乳胶漆墙面，与公区装饰做法清单中描述施工工艺为墙面砖不一致，请明确具体施工工艺。</w:t>
      </w:r>
    </w:p>
    <w:p w14:paraId="32796706">
      <w:pPr>
        <w:numPr>
          <w:ilvl w:val="0"/>
          <w:numId w:val="0"/>
        </w:numPr>
        <w:ind w:leftChars="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回复：乳胶漆墙面</w:t>
      </w:r>
    </w:p>
    <w:p w14:paraId="6268ABE0">
      <w:pPr>
        <w:numPr>
          <w:ilvl w:val="0"/>
          <w:numId w:val="0"/>
        </w:numPr>
        <w:ind w:left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5、</w:t>
      </w:r>
      <w:r>
        <w:rPr>
          <w:rFonts w:hint="eastAsia" w:ascii="宋体" w:hAnsi="宋体" w:eastAsia="宋体" w:cs="宋体"/>
          <w:sz w:val="24"/>
          <w:szCs w:val="24"/>
          <w:highlight w:val="none"/>
        </w:rPr>
        <w:drawing>
          <wp:anchor distT="0" distB="0" distL="114300" distR="114300" simplePos="0" relativeHeight="251668480" behindDoc="0" locked="0" layoutInCell="1" allowOverlap="1">
            <wp:simplePos x="0" y="0"/>
            <wp:positionH relativeFrom="column">
              <wp:posOffset>2484755</wp:posOffset>
            </wp:positionH>
            <wp:positionV relativeFrom="paragraph">
              <wp:posOffset>1624965</wp:posOffset>
            </wp:positionV>
            <wp:extent cx="2922270" cy="1029970"/>
            <wp:effectExtent l="0" t="0" r="3810" b="6350"/>
            <wp:wrapTopAndBottom/>
            <wp:docPr id="4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8"/>
                    <pic:cNvPicPr>
                      <a:picLocks noChangeAspect="1"/>
                    </pic:cNvPicPr>
                  </pic:nvPicPr>
                  <pic:blipFill>
                    <a:blip r:embed="rId17"/>
                    <a:stretch>
                      <a:fillRect/>
                    </a:stretch>
                  </pic:blipFill>
                  <pic:spPr>
                    <a:xfrm>
                      <a:off x="0" y="0"/>
                      <a:ext cx="2922270" cy="1029970"/>
                    </a:xfrm>
                    <a:prstGeom prst="rect">
                      <a:avLst/>
                    </a:prstGeom>
                    <a:noFill/>
                    <a:ln>
                      <a:noFill/>
                    </a:ln>
                  </pic:spPr>
                </pic:pic>
              </a:graphicData>
            </a:graphic>
          </wp:anchor>
        </w:drawing>
      </w:r>
      <w:r>
        <w:rPr>
          <w:rFonts w:hint="eastAsia" w:ascii="宋体" w:hAnsi="宋体" w:eastAsia="宋体" w:cs="宋体"/>
          <w:sz w:val="24"/>
          <w:szCs w:val="24"/>
          <w:highlight w:val="none"/>
        </w:rPr>
        <w:drawing>
          <wp:anchor distT="0" distB="0" distL="114300" distR="114300" simplePos="0" relativeHeight="251667456" behindDoc="0" locked="0" layoutInCell="1" allowOverlap="1">
            <wp:simplePos x="0" y="0"/>
            <wp:positionH relativeFrom="column">
              <wp:posOffset>-269875</wp:posOffset>
            </wp:positionH>
            <wp:positionV relativeFrom="paragraph">
              <wp:posOffset>1612265</wp:posOffset>
            </wp:positionV>
            <wp:extent cx="2623820" cy="1065530"/>
            <wp:effectExtent l="0" t="0" r="12700" b="1270"/>
            <wp:wrapTopAndBottom/>
            <wp:docPr id="4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
                    <pic:cNvPicPr>
                      <a:picLocks noChangeAspect="1"/>
                    </pic:cNvPicPr>
                  </pic:nvPicPr>
                  <pic:blipFill>
                    <a:blip r:embed="rId18"/>
                    <a:stretch>
                      <a:fillRect/>
                    </a:stretch>
                  </pic:blipFill>
                  <pic:spPr>
                    <a:xfrm>
                      <a:off x="0" y="0"/>
                      <a:ext cx="2623820" cy="1065530"/>
                    </a:xfrm>
                    <a:prstGeom prst="rect">
                      <a:avLst/>
                    </a:prstGeom>
                    <a:noFill/>
                    <a:ln>
                      <a:noFill/>
                    </a:ln>
                  </pic:spPr>
                </pic:pic>
              </a:graphicData>
            </a:graphic>
          </wp:anchor>
        </w:drawing>
      </w:r>
      <w:r>
        <w:rPr>
          <w:rFonts w:hint="eastAsia" w:ascii="宋体" w:hAnsi="宋体" w:eastAsia="宋体" w:cs="宋体"/>
          <w:sz w:val="24"/>
          <w:szCs w:val="24"/>
          <w:highlight w:val="none"/>
        </w:rPr>
        <w:drawing>
          <wp:anchor distT="0" distB="0" distL="114300" distR="114300" simplePos="0" relativeHeight="251666432" behindDoc="0" locked="0" layoutInCell="1" allowOverlap="1">
            <wp:simplePos x="0" y="0"/>
            <wp:positionH relativeFrom="column">
              <wp:posOffset>2195195</wp:posOffset>
            </wp:positionH>
            <wp:positionV relativeFrom="paragraph">
              <wp:posOffset>21590</wp:posOffset>
            </wp:positionV>
            <wp:extent cx="2684780" cy="996315"/>
            <wp:effectExtent l="0" t="0" r="12700" b="9525"/>
            <wp:wrapTopAndBottom/>
            <wp:docPr id="4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5"/>
                    <pic:cNvPicPr>
                      <a:picLocks noChangeAspect="1"/>
                    </pic:cNvPicPr>
                  </pic:nvPicPr>
                  <pic:blipFill>
                    <a:blip r:embed="rId19"/>
                    <a:stretch>
                      <a:fillRect/>
                    </a:stretch>
                  </pic:blipFill>
                  <pic:spPr>
                    <a:xfrm>
                      <a:off x="0" y="0"/>
                      <a:ext cx="2684780" cy="996315"/>
                    </a:xfrm>
                    <a:prstGeom prst="rect">
                      <a:avLst/>
                    </a:prstGeom>
                    <a:noFill/>
                    <a:ln>
                      <a:noFill/>
                    </a:ln>
                  </pic:spPr>
                </pic:pic>
              </a:graphicData>
            </a:graphic>
          </wp:anchor>
        </w:drawing>
      </w:r>
      <w:r>
        <w:rPr>
          <w:rFonts w:hint="eastAsia" w:ascii="宋体" w:hAnsi="宋体" w:eastAsia="宋体" w:cs="宋体"/>
          <w:sz w:val="24"/>
          <w:szCs w:val="24"/>
          <w:highlight w:val="none"/>
        </w:rPr>
        <w:drawing>
          <wp:anchor distT="0" distB="0" distL="114300" distR="114300" simplePos="0" relativeHeight="251665408" behindDoc="0" locked="0" layoutInCell="1" allowOverlap="1">
            <wp:simplePos x="0" y="0"/>
            <wp:positionH relativeFrom="column">
              <wp:posOffset>44450</wp:posOffset>
            </wp:positionH>
            <wp:positionV relativeFrom="paragraph">
              <wp:posOffset>52070</wp:posOffset>
            </wp:positionV>
            <wp:extent cx="2107565" cy="986155"/>
            <wp:effectExtent l="0" t="0" r="10795" b="4445"/>
            <wp:wrapTopAndBottom/>
            <wp:docPr id="3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9"/>
                    <pic:cNvPicPr>
                      <a:picLocks noChangeAspect="1"/>
                    </pic:cNvPicPr>
                  </pic:nvPicPr>
                  <pic:blipFill>
                    <a:blip r:embed="rId20"/>
                    <a:stretch>
                      <a:fillRect/>
                    </a:stretch>
                  </pic:blipFill>
                  <pic:spPr>
                    <a:xfrm>
                      <a:off x="0" y="0"/>
                      <a:ext cx="2107565" cy="986155"/>
                    </a:xfrm>
                    <a:prstGeom prst="rect">
                      <a:avLst/>
                    </a:prstGeom>
                    <a:noFill/>
                    <a:ln>
                      <a:noFill/>
                    </a:ln>
                  </pic:spPr>
                </pic:pic>
              </a:graphicData>
            </a:graphic>
          </wp:anchor>
        </w:drawing>
      </w:r>
      <w:r>
        <w:rPr>
          <w:rFonts w:hint="eastAsia" w:ascii="宋体" w:hAnsi="宋体" w:eastAsia="宋体" w:cs="宋体"/>
          <w:sz w:val="24"/>
          <w:szCs w:val="24"/>
          <w:highlight w:val="none"/>
        </w:rPr>
        <w:t>根据清单显示，公厕部分中块料楼地面施工工艺与公区装饰做法清单中描述不一致，请明确具体施工工艺。</w:t>
      </w:r>
    </w:p>
    <w:p w14:paraId="3A8CA846">
      <w:pPr>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回复：</w:t>
      </w:r>
      <w:r>
        <w:rPr>
          <w:rFonts w:hint="eastAsia" w:ascii="宋体" w:hAnsi="宋体" w:eastAsia="宋体" w:cs="宋体"/>
          <w:sz w:val="24"/>
          <w:szCs w:val="24"/>
          <w:highlight w:val="none"/>
          <w:lang w:val="en-US" w:eastAsia="zh-CN"/>
        </w:rPr>
        <w:t>按做法清单</w:t>
      </w:r>
    </w:p>
    <w:p w14:paraId="32BEB795">
      <w:pPr>
        <w:numPr>
          <w:ilvl w:val="0"/>
          <w:numId w:val="43"/>
        </w:numPr>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乙供材料是否必须从</w:t>
      </w:r>
      <w:r>
        <w:rPr>
          <w:rFonts w:hint="eastAsia" w:ascii="宋体" w:hAnsi="宋体" w:eastAsia="宋体" w:cs="宋体"/>
          <w:bCs/>
          <w:sz w:val="24"/>
          <w:szCs w:val="24"/>
          <w:highlight w:val="none"/>
        </w:rPr>
        <w:t>材料品牌表选择一种，还是采用同档次的即可</w:t>
      </w:r>
      <w:r>
        <w:rPr>
          <w:rFonts w:hint="eastAsia" w:ascii="宋体" w:hAnsi="宋体" w:eastAsia="宋体" w:cs="宋体"/>
          <w:sz w:val="24"/>
          <w:szCs w:val="24"/>
          <w:highlight w:val="none"/>
        </w:rPr>
        <w:t>。</w:t>
      </w:r>
    </w:p>
    <w:p w14:paraId="646DA327">
      <w:pPr>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回复：</w:t>
      </w:r>
      <w:r>
        <w:rPr>
          <w:rFonts w:hint="eastAsia" w:ascii="宋体" w:hAnsi="宋体" w:eastAsia="宋体" w:cs="宋体"/>
          <w:sz w:val="24"/>
          <w:szCs w:val="24"/>
          <w:highlight w:val="none"/>
          <w:lang w:val="en-US" w:eastAsia="zh-CN"/>
        </w:rPr>
        <w:t>同档次，现场已有样板，可踏勘现场，参标时可不带样板，但报价视作已同意现场要求</w:t>
      </w:r>
    </w:p>
    <w:p w14:paraId="7E213DBE">
      <w:pPr>
        <w:numPr>
          <w:ilvl w:val="0"/>
          <w:numId w:val="43"/>
        </w:numPr>
        <w:ind w:left="0" w:leftChars="0" w:firstLine="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施工现场临时水电是否每层有接点。</w:t>
      </w:r>
    </w:p>
    <w:p w14:paraId="362D3E32">
      <w:pPr>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回复：</w:t>
      </w:r>
      <w:r>
        <w:rPr>
          <w:rFonts w:hint="eastAsia" w:ascii="宋体" w:hAnsi="宋体" w:eastAsia="宋体" w:cs="宋体"/>
          <w:sz w:val="24"/>
          <w:szCs w:val="24"/>
          <w:highlight w:val="none"/>
          <w:lang w:val="en-US" w:eastAsia="zh-CN"/>
        </w:rPr>
        <w:t>每二层有一个临水接点，临电五层有一个</w:t>
      </w:r>
    </w:p>
    <w:p w14:paraId="16C8115E">
      <w:pPr>
        <w:numPr>
          <w:ilvl w:val="0"/>
          <w:numId w:val="43"/>
        </w:numPr>
        <w:ind w:left="0" w:leftChars="0" w:firstLine="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是否缴纳总包配合费。</w:t>
      </w:r>
    </w:p>
    <w:p w14:paraId="571ED766">
      <w:pPr>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回复：</w:t>
      </w:r>
      <w:r>
        <w:rPr>
          <w:rFonts w:hint="eastAsia" w:ascii="宋体" w:hAnsi="宋体" w:eastAsia="宋体" w:cs="宋体"/>
          <w:sz w:val="24"/>
          <w:szCs w:val="24"/>
          <w:highlight w:val="none"/>
          <w:lang w:val="en-US" w:eastAsia="zh-CN"/>
        </w:rPr>
        <w:t>不需要，</w:t>
      </w:r>
    </w:p>
    <w:p w14:paraId="23005630">
      <w:pPr>
        <w:numPr>
          <w:ilvl w:val="0"/>
          <w:numId w:val="43"/>
        </w:numPr>
        <w:ind w:left="0" w:leftChars="0" w:firstLine="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水晶灯主材是否乙供</w:t>
      </w:r>
    </w:p>
    <w:p w14:paraId="703A995F">
      <w:pPr>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回复：</w:t>
      </w:r>
      <w:r>
        <w:rPr>
          <w:rFonts w:hint="eastAsia" w:ascii="宋体" w:hAnsi="宋体" w:eastAsia="宋体" w:cs="宋体"/>
          <w:sz w:val="24"/>
          <w:szCs w:val="24"/>
          <w:highlight w:val="none"/>
          <w:lang w:val="en-US" w:eastAsia="zh-CN"/>
        </w:rPr>
        <w:t>是</w:t>
      </w:r>
    </w:p>
    <w:p w14:paraId="3EA5C046">
      <w:pPr>
        <w:numPr>
          <w:ilvl w:val="0"/>
          <w:numId w:val="43"/>
        </w:numPr>
        <w:ind w:left="0" w:leftChars="0" w:firstLine="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工程做法清单里面天棚乳胶漆有“钢筋混凝土顶板打磨平整”，墙面乳胶漆做法有“墙面水泥砂浆找平”，请确认报价含不含这两个做法。</w:t>
      </w:r>
    </w:p>
    <w:p w14:paraId="247905AC">
      <w:pPr>
        <w:numPr>
          <w:ilvl w:val="0"/>
          <w:numId w:val="0"/>
        </w:numPr>
        <w:ind w:left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回复：按照清单做法报价，墙乳胶漆保函水泥砂浆找平，天棚乳胶漆</w:t>
      </w:r>
      <w:r>
        <w:rPr>
          <w:rFonts w:hint="eastAsia" w:ascii="宋体" w:hAnsi="宋体" w:eastAsia="宋体" w:cs="宋体"/>
          <w:sz w:val="24"/>
          <w:szCs w:val="24"/>
          <w:highlight w:val="none"/>
        </w:rPr>
        <w:t>钢筋混凝土顶板清理干净</w:t>
      </w:r>
    </w:p>
    <w:p w14:paraId="20D46F5D">
      <w:pPr>
        <w:numPr>
          <w:ilvl w:val="0"/>
          <w:numId w:val="0"/>
        </w:numPr>
        <w:ind w:leftChars="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11、清单标准层候梯厅及走道地面块料楼地面中 “原建筑细石混凝土找平层” 是否总包已施工完成，无需我司施工？</w:t>
      </w:r>
    </w:p>
    <w:p w14:paraId="2DBDD1D5">
      <w:pPr>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回复：</w:t>
      </w:r>
      <w:r>
        <w:rPr>
          <w:rFonts w:hint="eastAsia" w:ascii="宋体" w:hAnsi="宋体" w:eastAsia="宋体" w:cs="宋体"/>
          <w:sz w:val="24"/>
          <w:szCs w:val="24"/>
          <w:highlight w:val="none"/>
          <w:lang w:eastAsia="zh-CN"/>
        </w:rPr>
        <w:t>地面为原结构面</w:t>
      </w:r>
    </w:p>
    <w:p w14:paraId="1AD9B23A">
      <w:pPr>
        <w:numPr>
          <w:ilvl w:val="0"/>
          <w:numId w:val="43"/>
        </w:numPr>
        <w:ind w:left="0" w:leftChars="0" w:firstLine="0" w:firstLineChars="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瓷砖 清单描述为 颜色同大堂样板，是否品牌有无要求？</w:t>
      </w:r>
    </w:p>
    <w:p w14:paraId="140F2015">
      <w:pPr>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回复：</w:t>
      </w:r>
      <w:r>
        <w:rPr>
          <w:rFonts w:hint="eastAsia" w:ascii="宋体" w:hAnsi="宋体" w:eastAsia="宋体" w:cs="宋体"/>
          <w:sz w:val="24"/>
          <w:szCs w:val="24"/>
          <w:highlight w:val="none"/>
          <w:lang w:val="en-US" w:eastAsia="zh-CN"/>
        </w:rPr>
        <w:t>按招标要求</w:t>
      </w:r>
    </w:p>
    <w:p w14:paraId="047C865C">
      <w:pPr>
        <w:numPr>
          <w:ilvl w:val="0"/>
          <w:numId w:val="43"/>
        </w:numPr>
        <w:ind w:left="0" w:leftChars="0" w:firstLine="0" w:firstLineChars="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石膏吊顶是否设置斜支撑 或转换层，若设置，请提供节点图纸。</w:t>
      </w:r>
    </w:p>
    <w:p w14:paraId="31207401">
      <w:pPr>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回复：</w:t>
      </w:r>
      <w:r>
        <w:rPr>
          <w:rFonts w:hint="eastAsia" w:ascii="宋体" w:hAnsi="宋体" w:eastAsia="宋体" w:cs="宋体"/>
          <w:sz w:val="24"/>
          <w:szCs w:val="24"/>
          <w:highlight w:val="none"/>
          <w:lang w:val="en-US" w:eastAsia="zh-CN"/>
        </w:rPr>
        <w:t>按照规范吊顶高度要求设置</w:t>
      </w:r>
    </w:p>
    <w:p w14:paraId="1A98D126">
      <w:pPr>
        <w:numPr>
          <w:ilvl w:val="0"/>
          <w:numId w:val="43"/>
        </w:numPr>
        <w:ind w:left="0" w:leftChars="0" w:firstLine="0" w:firstLineChars="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石膏板吊顶是做平面还是跌级？</w:t>
      </w:r>
    </w:p>
    <w:p w14:paraId="073656E1">
      <w:pPr>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回复：</w:t>
      </w:r>
      <w:r>
        <w:rPr>
          <w:rFonts w:hint="eastAsia" w:ascii="宋体" w:hAnsi="宋体" w:eastAsia="宋体" w:cs="宋体"/>
          <w:sz w:val="24"/>
          <w:szCs w:val="24"/>
          <w:highlight w:val="none"/>
          <w:lang w:val="en-US" w:eastAsia="zh-CN"/>
        </w:rPr>
        <w:t>见样板做法</w:t>
      </w:r>
    </w:p>
    <w:p w14:paraId="30160A5C">
      <w:pPr>
        <w:numPr>
          <w:ilvl w:val="0"/>
          <w:numId w:val="0"/>
        </w:numPr>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15、清单内单元门未找到相应门表图，玻璃门的玻璃规格要求具体是什么？上部吊顶部位的不锈钢翻边是多高？请明确</w:t>
      </w:r>
      <w:r>
        <w:rPr>
          <w:rFonts w:hint="eastAsia" w:ascii="宋体" w:hAnsi="宋体" w:eastAsia="宋体" w:cs="宋体"/>
          <w:sz w:val="24"/>
          <w:szCs w:val="24"/>
          <w:highlight w:val="none"/>
        </w:rPr>
        <w:drawing>
          <wp:inline distT="0" distB="0" distL="114300" distR="114300">
            <wp:extent cx="3352800" cy="533400"/>
            <wp:effectExtent l="0" t="0" r="0" b="0"/>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pic:cNvPicPr>
                  </pic:nvPicPr>
                  <pic:blipFill>
                    <a:blip r:embed="rId21"/>
                    <a:stretch>
                      <a:fillRect/>
                    </a:stretch>
                  </pic:blipFill>
                  <pic:spPr>
                    <a:xfrm>
                      <a:off x="0" y="0"/>
                      <a:ext cx="3352800" cy="533400"/>
                    </a:xfrm>
                    <a:prstGeom prst="rect">
                      <a:avLst/>
                    </a:prstGeom>
                    <a:noFill/>
                    <a:ln>
                      <a:noFill/>
                    </a:ln>
                  </pic:spPr>
                </pic:pic>
              </a:graphicData>
            </a:graphic>
          </wp:inline>
        </w:drawing>
      </w:r>
    </w:p>
    <w:p w14:paraId="612E1C2B">
      <w:pPr>
        <w:pStyle w:val="2"/>
        <w:numPr>
          <w:ilvl w:val="0"/>
          <w:numId w:val="0"/>
        </w:numPr>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回复：玻璃规格8+8中空钢化，上部吊顶部位的不锈钢翻边高，现场已有样板自行踏勘现场确认</w:t>
      </w:r>
    </w:p>
    <w:p w14:paraId="482DE4B9">
      <w:pPr>
        <w:numPr>
          <w:ilvl w:val="0"/>
          <w:numId w:val="0"/>
        </w:numPr>
        <w:ind w:leftChars="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16、清单内穿孔铝板未找到相应的施工节点图，穿孔铝板用多厚的板材等规格要求请明确。</w:t>
      </w:r>
    </w:p>
    <w:p w14:paraId="4091EEFA">
      <w:pPr>
        <w:numPr>
          <w:ilvl w:val="0"/>
          <w:numId w:val="0"/>
        </w:numPr>
        <w:ind w:leftChars="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drawing>
          <wp:inline distT="0" distB="0" distL="114300" distR="114300">
            <wp:extent cx="3088005" cy="1522730"/>
            <wp:effectExtent l="0" t="0" r="5715" b="1270"/>
            <wp:docPr id="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pic:cNvPicPr>
                      <a:picLocks noChangeAspect="1"/>
                    </pic:cNvPicPr>
                  </pic:nvPicPr>
                  <pic:blipFill>
                    <a:blip r:embed="rId22"/>
                    <a:stretch>
                      <a:fillRect/>
                    </a:stretch>
                  </pic:blipFill>
                  <pic:spPr>
                    <a:xfrm>
                      <a:off x="0" y="0"/>
                      <a:ext cx="3088005" cy="1522730"/>
                    </a:xfrm>
                    <a:prstGeom prst="rect">
                      <a:avLst/>
                    </a:prstGeom>
                    <a:noFill/>
                    <a:ln>
                      <a:noFill/>
                    </a:ln>
                  </pic:spPr>
                </pic:pic>
              </a:graphicData>
            </a:graphic>
          </wp:inline>
        </w:drawing>
      </w:r>
      <w:r>
        <w:rPr>
          <w:rFonts w:hint="eastAsia" w:ascii="宋体" w:hAnsi="宋体" w:eastAsia="宋体" w:cs="宋体"/>
          <w:sz w:val="24"/>
          <w:szCs w:val="24"/>
          <w:highlight w:val="none"/>
        </w:rPr>
        <w:drawing>
          <wp:inline distT="0" distB="0" distL="114300" distR="114300">
            <wp:extent cx="2104390" cy="1538605"/>
            <wp:effectExtent l="0" t="0" r="13970" b="635"/>
            <wp:docPr id="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
                    <pic:cNvPicPr>
                      <a:picLocks noChangeAspect="1"/>
                    </pic:cNvPicPr>
                  </pic:nvPicPr>
                  <pic:blipFill>
                    <a:blip r:embed="rId23"/>
                    <a:stretch>
                      <a:fillRect/>
                    </a:stretch>
                  </pic:blipFill>
                  <pic:spPr>
                    <a:xfrm>
                      <a:off x="0" y="0"/>
                      <a:ext cx="2104390" cy="1538605"/>
                    </a:xfrm>
                    <a:prstGeom prst="rect">
                      <a:avLst/>
                    </a:prstGeom>
                    <a:noFill/>
                    <a:ln>
                      <a:noFill/>
                    </a:ln>
                  </pic:spPr>
                </pic:pic>
              </a:graphicData>
            </a:graphic>
          </wp:inline>
        </w:drawing>
      </w:r>
    </w:p>
    <w:p w14:paraId="0EAC43FF">
      <w:pPr>
        <w:numPr>
          <w:ilvl w:val="0"/>
          <w:numId w:val="0"/>
        </w:numPr>
        <w:ind w:leftChars="0"/>
        <w:jc w:val="left"/>
        <w:rPr>
          <w:rFonts w:hint="eastAsia" w:ascii="宋体" w:hAnsi="宋体" w:eastAsia="宋体" w:cs="宋体"/>
          <w:sz w:val="24"/>
          <w:szCs w:val="24"/>
          <w:highlight w:val="none"/>
          <w:lang w:val="en-US" w:eastAsia="zh-CN"/>
        </w:rPr>
      </w:pPr>
    </w:p>
    <w:p w14:paraId="3D96C9C3">
      <w:pPr>
        <w:pStyle w:val="2"/>
        <w:numPr>
          <w:ilvl w:val="0"/>
          <w:numId w:val="0"/>
        </w:numPr>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回复：无图纸，由施工单位深化</w:t>
      </w:r>
    </w:p>
    <w:p w14:paraId="32B754D0">
      <w:pPr>
        <w:numPr>
          <w:ilvl w:val="0"/>
          <w:numId w:val="0"/>
        </w:numPr>
        <w:ind w:left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17、如清单所示，吊顶报价需考虑脚手架费用，请明确候车厅、地下大堂走廊、首层大堂及标准层的装饰顶高。</w:t>
      </w:r>
      <w:r>
        <w:rPr>
          <w:rFonts w:hint="eastAsia" w:ascii="宋体" w:hAnsi="宋体" w:eastAsia="宋体" w:cs="宋体"/>
          <w:sz w:val="24"/>
          <w:szCs w:val="24"/>
          <w:highlight w:val="none"/>
        </w:rPr>
        <w:drawing>
          <wp:inline distT="0" distB="0" distL="114300" distR="114300">
            <wp:extent cx="3390900" cy="2238375"/>
            <wp:effectExtent l="0" t="0" r="7620" b="1905"/>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24"/>
                    <a:stretch>
                      <a:fillRect/>
                    </a:stretch>
                  </pic:blipFill>
                  <pic:spPr>
                    <a:xfrm>
                      <a:off x="0" y="0"/>
                      <a:ext cx="3390900" cy="2238375"/>
                    </a:xfrm>
                    <a:prstGeom prst="rect">
                      <a:avLst/>
                    </a:prstGeom>
                    <a:noFill/>
                    <a:ln>
                      <a:noFill/>
                    </a:ln>
                  </pic:spPr>
                </pic:pic>
              </a:graphicData>
            </a:graphic>
          </wp:inline>
        </w:drawing>
      </w:r>
    </w:p>
    <w:p w14:paraId="5D08756B">
      <w:pPr>
        <w:pStyle w:val="2"/>
        <w:numPr>
          <w:ilvl w:val="0"/>
          <w:numId w:val="0"/>
        </w:numPr>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回复：负一层3.6米、负二层3.2米，其他部位已有样板自行踏勘现场确认</w:t>
      </w:r>
    </w:p>
    <w:p w14:paraId="7DDE728A">
      <w:pPr>
        <w:numPr>
          <w:ilvl w:val="0"/>
          <w:numId w:val="0"/>
        </w:numPr>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18、如清单所示，施工内容包含公厕洁具，但洁具及公厕隔断的规格，样式等无具体描述，请明确。</w:t>
      </w:r>
    </w:p>
    <w:p w14:paraId="0E9AEC8D">
      <w:pPr>
        <w:numPr>
          <w:ilvl w:val="0"/>
          <w:numId w:val="0"/>
        </w:numPr>
        <w:jc w:val="left"/>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sz w:val="24"/>
          <w:szCs w:val="24"/>
          <w:highlight w:val="none"/>
        </w:rPr>
        <w:drawing>
          <wp:inline distT="0" distB="0" distL="114300" distR="114300">
            <wp:extent cx="3295015" cy="1441450"/>
            <wp:effectExtent l="0" t="0" r="12065" b="6350"/>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25"/>
                    <a:stretch>
                      <a:fillRect/>
                    </a:stretch>
                  </pic:blipFill>
                  <pic:spPr>
                    <a:xfrm>
                      <a:off x="0" y="0"/>
                      <a:ext cx="3295015" cy="1441450"/>
                    </a:xfrm>
                    <a:prstGeom prst="rect">
                      <a:avLst/>
                    </a:prstGeom>
                    <a:noFill/>
                    <a:ln>
                      <a:noFill/>
                    </a:ln>
                  </pic:spPr>
                </pic:pic>
              </a:graphicData>
            </a:graphic>
          </wp:inline>
        </w:drawing>
      </w:r>
      <w:r>
        <w:rPr>
          <w:rFonts w:hint="eastAsia" w:ascii="宋体" w:hAnsi="宋体" w:eastAsia="宋体" w:cs="宋体"/>
          <w:sz w:val="24"/>
          <w:szCs w:val="24"/>
          <w:highlight w:val="none"/>
        </w:rPr>
        <w:drawing>
          <wp:inline distT="0" distB="0" distL="114300" distR="114300">
            <wp:extent cx="2044065" cy="1986915"/>
            <wp:effectExtent l="0" t="0" r="13335" b="9525"/>
            <wp:docPr id="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pic:cNvPicPr>
                      <a:picLocks noChangeAspect="1"/>
                    </pic:cNvPicPr>
                  </pic:nvPicPr>
                  <pic:blipFill>
                    <a:blip r:embed="rId26"/>
                    <a:stretch>
                      <a:fillRect/>
                    </a:stretch>
                  </pic:blipFill>
                  <pic:spPr>
                    <a:xfrm>
                      <a:off x="0" y="0"/>
                      <a:ext cx="2044065" cy="1986915"/>
                    </a:xfrm>
                    <a:prstGeom prst="rect">
                      <a:avLst/>
                    </a:prstGeom>
                    <a:noFill/>
                    <a:ln>
                      <a:noFill/>
                    </a:ln>
                  </pic:spPr>
                </pic:pic>
              </a:graphicData>
            </a:graphic>
          </wp:inline>
        </w:drawing>
      </w:r>
    </w:p>
    <w:p w14:paraId="662B4317">
      <w:pPr>
        <w:pStyle w:val="2"/>
        <w:numPr>
          <w:ilvl w:val="0"/>
          <w:numId w:val="0"/>
        </w:numPr>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回复：按常规规格。</w:t>
      </w:r>
    </w:p>
    <w:p w14:paraId="0D3D96C1">
      <w:pPr>
        <w:numPr>
          <w:ilvl w:val="0"/>
          <w:numId w:val="0"/>
        </w:numPr>
        <w:ind w:leftChars="0"/>
        <w:jc w:val="left"/>
        <w:rPr>
          <w:rFonts w:hint="eastAsia" w:ascii="宋体" w:hAnsi="宋体" w:eastAsia="宋体" w:cs="宋体"/>
          <w:color w:val="000000"/>
          <w:kern w:val="0"/>
          <w:sz w:val="24"/>
          <w:szCs w:val="24"/>
          <w:highlight w:val="none"/>
          <w:lang w:val="en-US" w:eastAsia="zh-CN" w:bidi="ar"/>
        </w:rPr>
      </w:pPr>
    </w:p>
    <w:p w14:paraId="0C29E1D5">
      <w:pPr>
        <w:numPr>
          <w:ilvl w:val="0"/>
          <w:numId w:val="0"/>
        </w:numPr>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19、如清单所示，清单中的卫生间墙面及地面砖尺寸规格无具体描述，请明确。</w:t>
      </w:r>
    </w:p>
    <w:p w14:paraId="4D600F08">
      <w:pPr>
        <w:numPr>
          <w:ilvl w:val="0"/>
          <w:numId w:val="0"/>
        </w:numPr>
        <w:jc w:val="left"/>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sz w:val="24"/>
          <w:szCs w:val="24"/>
          <w:highlight w:val="none"/>
        </w:rPr>
        <w:drawing>
          <wp:inline distT="0" distB="0" distL="114300" distR="114300">
            <wp:extent cx="3629025" cy="2663190"/>
            <wp:effectExtent l="0" t="0" r="13335" b="3810"/>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27"/>
                    <a:stretch>
                      <a:fillRect/>
                    </a:stretch>
                  </pic:blipFill>
                  <pic:spPr>
                    <a:xfrm>
                      <a:off x="0" y="0"/>
                      <a:ext cx="3629025" cy="2663190"/>
                    </a:xfrm>
                    <a:prstGeom prst="rect">
                      <a:avLst/>
                    </a:prstGeom>
                    <a:noFill/>
                    <a:ln>
                      <a:noFill/>
                    </a:ln>
                  </pic:spPr>
                </pic:pic>
              </a:graphicData>
            </a:graphic>
          </wp:inline>
        </w:drawing>
      </w:r>
    </w:p>
    <w:p w14:paraId="54F0D73D">
      <w:pPr>
        <w:pStyle w:val="2"/>
        <w:numPr>
          <w:ilvl w:val="0"/>
          <w:numId w:val="0"/>
        </w:numPr>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回复：800*800</w:t>
      </w:r>
    </w:p>
    <w:p w14:paraId="6446AD10">
      <w:pPr>
        <w:pStyle w:val="2"/>
        <w:numPr>
          <w:ilvl w:val="0"/>
          <w:numId w:val="0"/>
        </w:numPr>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20、此项目施工中临水临电如何计费，是否需要单独挂表？请明确。</w:t>
      </w:r>
    </w:p>
    <w:p w14:paraId="4095D96F">
      <w:pPr>
        <w:pStyle w:val="2"/>
        <w:numPr>
          <w:ilvl w:val="0"/>
          <w:numId w:val="0"/>
        </w:numPr>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回复：临电挂表，按实际使用交费，水费免费</w:t>
      </w:r>
    </w:p>
    <w:p w14:paraId="3C3CE304">
      <w:pPr>
        <w:pStyle w:val="2"/>
        <w:numPr>
          <w:ilvl w:val="0"/>
          <w:numId w:val="0"/>
        </w:numPr>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21、、此项目施工垃圾归置在场内指定位置还是由是施工方直接外运？如归置在指定位置是否收费费用，如有总包归置，是否分摊费用，分摊比例是多少，需要支付多少费用，请明确；</w:t>
      </w:r>
    </w:p>
    <w:p w14:paraId="76E3E251">
      <w:pPr>
        <w:pStyle w:val="2"/>
        <w:numPr>
          <w:ilvl w:val="0"/>
          <w:numId w:val="0"/>
        </w:numPr>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回复：垃圾施工单位自行外运处理</w:t>
      </w:r>
    </w:p>
    <w:p w14:paraId="4677273D">
      <w:pPr>
        <w:pStyle w:val="2"/>
        <w:numPr>
          <w:ilvl w:val="0"/>
          <w:numId w:val="0"/>
        </w:numPr>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22、是否有安全文明押金，如有收费标准是多少？请明确。</w:t>
      </w:r>
    </w:p>
    <w:p w14:paraId="2D2CBA71">
      <w:pPr>
        <w:pStyle w:val="2"/>
        <w:numPr>
          <w:ilvl w:val="0"/>
          <w:numId w:val="0"/>
        </w:numPr>
        <w:ind w:leftChars="0"/>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回复：若有自行与总包协商，本次报价不含。</w:t>
      </w:r>
    </w:p>
    <w:p w14:paraId="3B956462">
      <w:pPr>
        <w:pStyle w:val="2"/>
        <w:numPr>
          <w:ilvl w:val="0"/>
          <w:numId w:val="0"/>
        </w:numPr>
        <w:ind w:leftChars="0"/>
        <w:rPr>
          <w:rFonts w:hint="eastAsia" w:ascii="宋体" w:hAnsi="宋体" w:eastAsia="宋体" w:cs="宋体"/>
          <w:sz w:val="24"/>
          <w:szCs w:val="24"/>
          <w:highlight w:val="none"/>
          <w:lang w:val="en-US"/>
        </w:rPr>
      </w:pPr>
      <w:r>
        <w:rPr>
          <w:rFonts w:hint="eastAsia" w:ascii="宋体" w:hAnsi="宋体" w:eastAsia="宋体" w:cs="宋体"/>
          <w:color w:val="000000"/>
          <w:kern w:val="0"/>
          <w:sz w:val="24"/>
          <w:szCs w:val="24"/>
          <w:highlight w:val="none"/>
          <w:lang w:val="en-US" w:eastAsia="zh-CN" w:bidi="ar"/>
        </w:rPr>
        <w:t>23、</w:t>
      </w:r>
      <w:r>
        <w:rPr>
          <w:rFonts w:hint="eastAsia" w:ascii="宋体" w:hAnsi="宋体" w:eastAsia="宋体" w:cs="宋体"/>
          <w:sz w:val="24"/>
          <w:szCs w:val="24"/>
          <w:highlight w:val="none"/>
          <w:lang w:val="en-US" w:eastAsia="zh-CN"/>
        </w:rPr>
        <w:t>施工进场后，是否还存在第三方费用？若有，收费标准是多少？请明确</w:t>
      </w:r>
    </w:p>
    <w:p w14:paraId="135F46FC">
      <w:pPr>
        <w:pStyle w:val="2"/>
        <w:numPr>
          <w:ilvl w:val="0"/>
          <w:numId w:val="0"/>
        </w:numPr>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bidi="ar"/>
        </w:rPr>
        <w:t>回复：本工程报价暂不考虑</w:t>
      </w:r>
    </w:p>
    <w:p w14:paraId="6267450B">
      <w:pPr>
        <w:numPr>
          <w:ilvl w:val="0"/>
          <w:numId w:val="0"/>
        </w:numPr>
        <w:ind w:leftChars="0"/>
        <w:jc w:val="left"/>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24、清单中物业用房、社区用房的配电箱的系统图无详图，请明确。</w:t>
      </w:r>
      <w:r>
        <w:rPr>
          <w:rFonts w:hint="eastAsia" w:ascii="宋体" w:hAnsi="宋体" w:eastAsia="宋体" w:cs="宋体"/>
          <w:sz w:val="24"/>
          <w:szCs w:val="24"/>
          <w:highlight w:val="none"/>
        </w:rPr>
        <w:drawing>
          <wp:inline distT="0" distB="0" distL="114300" distR="114300">
            <wp:extent cx="4838700" cy="1876425"/>
            <wp:effectExtent l="0" t="0" r="7620" b="13335"/>
            <wp:docPr id="3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
                    <pic:cNvPicPr>
                      <a:picLocks noChangeAspect="1"/>
                    </pic:cNvPicPr>
                  </pic:nvPicPr>
                  <pic:blipFill>
                    <a:blip r:embed="rId28"/>
                    <a:stretch>
                      <a:fillRect/>
                    </a:stretch>
                  </pic:blipFill>
                  <pic:spPr>
                    <a:xfrm>
                      <a:off x="0" y="0"/>
                      <a:ext cx="4838700" cy="1876425"/>
                    </a:xfrm>
                    <a:prstGeom prst="rect">
                      <a:avLst/>
                    </a:prstGeom>
                    <a:noFill/>
                    <a:ln>
                      <a:noFill/>
                    </a:ln>
                  </pic:spPr>
                </pic:pic>
              </a:graphicData>
            </a:graphic>
          </wp:inline>
        </w:drawing>
      </w:r>
      <w:r>
        <w:rPr>
          <w:rFonts w:hint="eastAsia" w:ascii="宋体" w:hAnsi="宋体" w:eastAsia="宋体" w:cs="宋体"/>
          <w:sz w:val="24"/>
          <w:szCs w:val="24"/>
          <w:highlight w:val="none"/>
        </w:rPr>
        <w:drawing>
          <wp:inline distT="0" distB="0" distL="114300" distR="114300">
            <wp:extent cx="4895850" cy="2133600"/>
            <wp:effectExtent l="0" t="0" r="11430" b="0"/>
            <wp:docPr id="3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9"/>
                    <pic:cNvPicPr>
                      <a:picLocks noChangeAspect="1"/>
                    </pic:cNvPicPr>
                  </pic:nvPicPr>
                  <pic:blipFill>
                    <a:blip r:embed="rId29"/>
                    <a:stretch>
                      <a:fillRect/>
                    </a:stretch>
                  </pic:blipFill>
                  <pic:spPr>
                    <a:xfrm>
                      <a:off x="0" y="0"/>
                      <a:ext cx="4895850" cy="2133600"/>
                    </a:xfrm>
                    <a:prstGeom prst="rect">
                      <a:avLst/>
                    </a:prstGeom>
                    <a:noFill/>
                    <a:ln>
                      <a:noFill/>
                    </a:ln>
                  </pic:spPr>
                </pic:pic>
              </a:graphicData>
            </a:graphic>
          </wp:inline>
        </w:drawing>
      </w:r>
    </w:p>
    <w:p w14:paraId="44690BAB">
      <w:pPr>
        <w:numPr>
          <w:ilvl w:val="0"/>
          <w:numId w:val="0"/>
        </w:numPr>
        <w:ind w:leftChars="0"/>
        <w:jc w:val="left"/>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回复：按发标的原蓝图</w:t>
      </w:r>
    </w:p>
    <w:p w14:paraId="434A78F6">
      <w:pPr>
        <w:pStyle w:val="2"/>
        <w:numPr>
          <w:ilvl w:val="0"/>
          <w:numId w:val="0"/>
        </w:numPr>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25、所有的灯具及开关插座无选型资料，请明确。</w:t>
      </w:r>
    </w:p>
    <w:p w14:paraId="1CF20D74">
      <w:pPr>
        <w:pStyle w:val="2"/>
        <w:numPr>
          <w:ilvl w:val="0"/>
          <w:numId w:val="0"/>
        </w:numPr>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回复：已有样板的按现场样板，其他无的自行选报，最终以封样为准</w:t>
      </w:r>
    </w:p>
    <w:p w14:paraId="61C9AB87">
      <w:pPr>
        <w:pStyle w:val="2"/>
        <w:numPr>
          <w:ilvl w:val="0"/>
          <w:numId w:val="0"/>
        </w:numPr>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26、清单岩板样式是否参考以下照片，规格请明确。</w:t>
      </w:r>
    </w:p>
    <w:p w14:paraId="7574D616">
      <w:pPr>
        <w:pStyle w:val="2"/>
        <w:numPr>
          <w:ilvl w:val="0"/>
          <w:numId w:val="0"/>
        </w:numPr>
        <w:jc w:val="left"/>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sz w:val="24"/>
          <w:szCs w:val="24"/>
          <w:highlight w:val="none"/>
        </w:rPr>
        <w:drawing>
          <wp:inline distT="0" distB="0" distL="114300" distR="114300">
            <wp:extent cx="1898650" cy="1389380"/>
            <wp:effectExtent l="0" t="0" r="6350" b="12700"/>
            <wp:docPr id="3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0"/>
                    <pic:cNvPicPr>
                      <a:picLocks noChangeAspect="1"/>
                    </pic:cNvPicPr>
                  </pic:nvPicPr>
                  <pic:blipFill>
                    <a:blip r:embed="rId30"/>
                    <a:stretch>
                      <a:fillRect/>
                    </a:stretch>
                  </pic:blipFill>
                  <pic:spPr>
                    <a:xfrm>
                      <a:off x="0" y="0"/>
                      <a:ext cx="1898650" cy="1389380"/>
                    </a:xfrm>
                    <a:prstGeom prst="rect">
                      <a:avLst/>
                    </a:prstGeom>
                    <a:noFill/>
                    <a:ln>
                      <a:noFill/>
                    </a:ln>
                  </pic:spPr>
                </pic:pic>
              </a:graphicData>
            </a:graphic>
          </wp:inline>
        </w:drawing>
      </w:r>
      <w:r>
        <w:rPr>
          <w:rFonts w:hint="eastAsia" w:ascii="宋体" w:hAnsi="宋体" w:eastAsia="宋体" w:cs="宋体"/>
          <w:sz w:val="24"/>
          <w:szCs w:val="24"/>
          <w:highlight w:val="none"/>
        </w:rPr>
        <w:drawing>
          <wp:inline distT="0" distB="0" distL="114300" distR="114300">
            <wp:extent cx="2737485" cy="1337310"/>
            <wp:effectExtent l="0" t="0" r="5715" b="3810"/>
            <wp:docPr id="3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1"/>
                    <pic:cNvPicPr>
                      <a:picLocks noChangeAspect="1"/>
                    </pic:cNvPicPr>
                  </pic:nvPicPr>
                  <pic:blipFill>
                    <a:blip r:embed="rId31"/>
                    <a:stretch>
                      <a:fillRect/>
                    </a:stretch>
                  </pic:blipFill>
                  <pic:spPr>
                    <a:xfrm>
                      <a:off x="0" y="0"/>
                      <a:ext cx="2737485" cy="1337310"/>
                    </a:xfrm>
                    <a:prstGeom prst="rect">
                      <a:avLst/>
                    </a:prstGeom>
                    <a:noFill/>
                    <a:ln>
                      <a:noFill/>
                    </a:ln>
                  </pic:spPr>
                </pic:pic>
              </a:graphicData>
            </a:graphic>
          </wp:inline>
        </w:drawing>
      </w:r>
    </w:p>
    <w:p w14:paraId="4A4FBBA3">
      <w:pPr>
        <w:pStyle w:val="2"/>
        <w:numPr>
          <w:ilvl w:val="0"/>
          <w:numId w:val="0"/>
        </w:numPr>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回复：可参考，以封样为准。</w:t>
      </w:r>
    </w:p>
    <w:p w14:paraId="213CBE1A">
      <w:pPr>
        <w:pStyle w:val="2"/>
        <w:numPr>
          <w:ilvl w:val="0"/>
          <w:numId w:val="0"/>
        </w:numPr>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27、清单中发光字无规格要求，请明确。</w:t>
      </w:r>
    </w:p>
    <w:p w14:paraId="439B2E12">
      <w:pPr>
        <w:pStyle w:val="2"/>
        <w:numPr>
          <w:ilvl w:val="0"/>
          <w:numId w:val="0"/>
        </w:numPr>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回复：0.7厚不锈钢弯折，字高350mm</w:t>
      </w:r>
    </w:p>
    <w:p w14:paraId="20855334">
      <w:pPr>
        <w:pStyle w:val="2"/>
        <w:numPr>
          <w:ilvl w:val="0"/>
          <w:numId w:val="0"/>
        </w:numPr>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28、请明确付款条件是否为：施工完成支付至85%，竣工验收付至95%，结算完成付至97%。进度款到节点超过7天未支付，属于甲方违约，可以停工并要求支付违约金。</w:t>
      </w:r>
    </w:p>
    <w:p w14:paraId="224E4952">
      <w:pPr>
        <w:pStyle w:val="2"/>
        <w:numPr>
          <w:ilvl w:val="0"/>
          <w:numId w:val="0"/>
        </w:numPr>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回复：按招标文件、合同版本执行</w:t>
      </w:r>
    </w:p>
    <w:p w14:paraId="1642ED65">
      <w:pPr>
        <w:pStyle w:val="2"/>
        <w:numPr>
          <w:ilvl w:val="0"/>
          <w:numId w:val="0"/>
        </w:numPr>
        <w:rPr>
          <w:rFonts w:hint="eastAsia" w:ascii="宋体" w:hAnsi="宋体" w:eastAsia="宋体" w:cs="宋体"/>
          <w:color w:val="000000"/>
          <w:kern w:val="0"/>
          <w:sz w:val="24"/>
          <w:szCs w:val="24"/>
          <w:highlight w:val="none"/>
          <w:lang w:val="en-US" w:eastAsia="zh-CN" w:bidi="ar"/>
        </w:rPr>
      </w:pPr>
    </w:p>
    <w:p w14:paraId="61AC3534">
      <w:pPr>
        <w:pStyle w:val="2"/>
        <w:numPr>
          <w:ilvl w:val="0"/>
          <w:numId w:val="0"/>
        </w:numPr>
        <w:rPr>
          <w:rFonts w:hint="eastAsia" w:ascii="宋体" w:hAnsi="宋体" w:eastAsia="宋体" w:cs="宋体"/>
          <w:color w:val="000000"/>
          <w:kern w:val="0"/>
          <w:sz w:val="24"/>
          <w:szCs w:val="24"/>
          <w:highlight w:val="none"/>
          <w:lang w:val="en-US" w:eastAsia="zh-CN" w:bidi="ar"/>
        </w:rPr>
      </w:pPr>
    </w:p>
    <w:p w14:paraId="33B2EE90">
      <w:pPr>
        <w:overflowPunct/>
        <w:spacing w:line="360" w:lineRule="auto"/>
        <w:ind w:firstLine="0" w:firstLineChars="0"/>
        <w:rPr>
          <w:rFonts w:hint="eastAsia" w:asciiTheme="minorEastAsia" w:hAnsiTheme="minorEastAsia" w:eastAsiaTheme="minorEastAsia" w:cstheme="minorEastAsia"/>
          <w:b/>
          <w:bCs/>
          <w:color w:val="auto"/>
          <w:spacing w:val="8"/>
          <w:szCs w:val="24"/>
          <w:highlight w:val="none"/>
        </w:rPr>
      </w:pPr>
      <w:r>
        <w:rPr>
          <w:rFonts w:hint="eastAsia" w:asciiTheme="minorEastAsia" w:hAnsiTheme="minorEastAsia" w:eastAsiaTheme="minorEastAsia" w:cstheme="minorEastAsia"/>
          <w:b/>
          <w:bCs/>
          <w:color w:val="auto"/>
          <w:spacing w:val="8"/>
          <w:szCs w:val="24"/>
          <w:highlight w:val="none"/>
        </w:rPr>
        <w:t>合同附件</w:t>
      </w:r>
      <w:r>
        <w:rPr>
          <w:rFonts w:hint="eastAsia" w:asciiTheme="minorEastAsia" w:hAnsiTheme="minorEastAsia" w:eastAsiaTheme="minorEastAsia" w:cstheme="minorEastAsia"/>
          <w:b/>
          <w:bCs/>
          <w:color w:val="auto"/>
          <w:spacing w:val="8"/>
          <w:szCs w:val="24"/>
          <w:highlight w:val="none"/>
          <w:lang w:eastAsia="zh-CN"/>
        </w:rPr>
        <w:t>八</w:t>
      </w:r>
      <w:r>
        <w:rPr>
          <w:rFonts w:hint="eastAsia" w:asciiTheme="minorEastAsia" w:hAnsiTheme="minorEastAsia" w:eastAsiaTheme="minorEastAsia" w:cstheme="minorEastAsia"/>
          <w:b/>
          <w:bCs/>
          <w:color w:val="auto"/>
          <w:spacing w:val="8"/>
          <w:szCs w:val="24"/>
          <w:highlight w:val="none"/>
        </w:rPr>
        <w:t>、《价格清单》（单独打印后附装订）</w:t>
      </w:r>
    </w:p>
    <w:p w14:paraId="056BC7C8">
      <w:pPr>
        <w:pStyle w:val="32"/>
        <w:spacing w:line="360" w:lineRule="auto"/>
        <w:ind w:firstLine="1920" w:firstLineChars="800"/>
        <w:jc w:val="left"/>
        <w:rPr>
          <w:rFonts w:hint="eastAsia" w:asciiTheme="minorEastAsia" w:hAnsiTheme="minorEastAsia" w:eastAsiaTheme="minorEastAsia" w:cstheme="minorEastAsia"/>
          <w:b w:val="0"/>
          <w:color w:val="auto"/>
          <w:highlight w:val="none"/>
        </w:rPr>
      </w:pPr>
    </w:p>
    <w:p w14:paraId="2BF17857">
      <w:pPr>
        <w:spacing w:line="360" w:lineRule="auto"/>
        <w:rPr>
          <w:color w:val="auto"/>
          <w:highlight w:val="none"/>
        </w:rPr>
      </w:pPr>
    </w:p>
    <w:sectPr>
      <w:pgSz w:w="11906" w:h="16838"/>
      <w:pgMar w:top="1304" w:right="1304" w:bottom="1304" w:left="1064" w:header="851" w:footer="850"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28"/>
    <w:family w:val="roman"/>
    <w:pitch w:val="default"/>
    <w:sig w:usb0="E0002AFF" w:usb1="C0007841" w:usb2="00000009" w:usb3="00000000" w:csb0="400001FF" w:csb1="FFFF0000"/>
  </w:font>
  <w:font w:name="宋体">
    <w:panose1 w:val="02010600030101010101"/>
    <w:charset w:val="5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Calibri Light">
    <w:panose1 w:val="020F0302020204030204"/>
    <w:charset w:val="00"/>
    <w:family w:val="swiss"/>
    <w:pitch w:val="default"/>
    <w:sig w:usb0="A00002EF" w:usb1="4000207B" w:usb2="00000000" w:usb3="00000000" w:csb0="2000019F" w:csb1="00000000"/>
  </w:font>
  <w:font w:name="Cambria">
    <w:panose1 w:val="02040503050406030204"/>
    <w:charset w:val="00"/>
    <w:family w:val="roman"/>
    <w:pitch w:val="default"/>
    <w:sig w:usb0="E00002FF" w:usb1="400004FF" w:usb2="00000000" w:usb3="00000000" w:csb0="2000019F" w:csb1="00000000"/>
  </w:font>
  <w:font w:name="Arial Unicode MS">
    <w:panose1 w:val="020B0604020202020204"/>
    <w:charset w:val="86"/>
    <w:family w:val="swiss"/>
    <w:pitch w:val="default"/>
    <w:sig w:usb0="FFFFFFFF" w:usb1="E9FFFFFF" w:usb2="0000003F" w:usb3="00000000" w:csb0="603F01FF" w:csb1="FFFF0000"/>
  </w:font>
  <w:font w:name="等线">
    <w:altName w:val="Arial Unicode MS"/>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F24F91">
    <w:pPr>
      <w:pStyle w:val="30"/>
      <w:ind w:left="9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1108F2">
                          <w:pPr>
                            <w:pStyle w:val="30"/>
                          </w:pPr>
                          <w:r>
                            <w:t xml:space="preserve">第 </w:t>
                          </w:r>
                          <w:r>
                            <w:fldChar w:fldCharType="begin"/>
                          </w:r>
                          <w:r>
                            <w:instrText xml:space="preserve"> PAGE  \* MERGEFORMAT </w:instrText>
                          </w:r>
                          <w:r>
                            <w:fldChar w:fldCharType="separate"/>
                          </w:r>
                          <w:r>
                            <w:t>29</w:t>
                          </w:r>
                          <w:r>
                            <w:fldChar w:fldCharType="end"/>
                          </w:r>
                          <w:r>
                            <w:t xml:space="preserve"> 页 共 </w:t>
                          </w:r>
                          <w:r>
                            <w:fldChar w:fldCharType="begin"/>
                          </w:r>
                          <w:r>
                            <w:instrText xml:space="preserve"> NUMPAGES  \* MERGEFORMAT </w:instrText>
                          </w:r>
                          <w:r>
                            <w:fldChar w:fldCharType="separate"/>
                          </w:r>
                          <w:r>
                            <w:t>47</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201108F2">
                    <w:pPr>
                      <w:pStyle w:val="30"/>
                    </w:pPr>
                    <w:r>
                      <w:t xml:space="preserve">第 </w:t>
                    </w:r>
                    <w:r>
                      <w:fldChar w:fldCharType="begin"/>
                    </w:r>
                    <w:r>
                      <w:instrText xml:space="preserve"> PAGE  \* MERGEFORMAT </w:instrText>
                    </w:r>
                    <w:r>
                      <w:fldChar w:fldCharType="separate"/>
                    </w:r>
                    <w:r>
                      <w:t>29</w:t>
                    </w:r>
                    <w:r>
                      <w:fldChar w:fldCharType="end"/>
                    </w:r>
                    <w:r>
                      <w:t xml:space="preserve"> 页 共 </w:t>
                    </w:r>
                    <w:r>
                      <w:fldChar w:fldCharType="begin"/>
                    </w:r>
                    <w:r>
                      <w:instrText xml:space="preserve"> NUMPAGES  \* MERGEFORMAT </w:instrText>
                    </w:r>
                    <w:r>
                      <w:fldChar w:fldCharType="separate"/>
                    </w:r>
                    <w:r>
                      <w:t>47</w:t>
                    </w:r>
                    <w:r>
                      <w:fldChar w:fldCharType="end"/>
                    </w:r>
                    <w:r>
                      <w:t xml:space="preserve"> 页</w:t>
                    </w:r>
                  </w:p>
                </w:txbxContent>
              </v:textbox>
            </v:shape>
          </w:pict>
        </mc:Fallback>
      </mc:AlternateContent>
    </w:r>
  </w:p>
  <w:p w14:paraId="778DAA17">
    <w:pPr>
      <w:pStyle w:val="30"/>
      <w:tabs>
        <w:tab w:val="left" w:pos="6905"/>
        <w:tab w:val="clear" w:pos="4153"/>
        <w:tab w:val="clear" w:pos="8306"/>
      </w:tabs>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FD7E0B">
    <w:pPr>
      <w:pStyle w:val="31"/>
      <w:jc w:val="both"/>
    </w:pPr>
    <w:r>
      <w:drawing>
        <wp:inline distT="0" distB="0" distL="0" distR="0">
          <wp:extent cx="1017905" cy="316865"/>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17905" cy="316865"/>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A12E45"/>
    <w:multiLevelType w:val="singleLevel"/>
    <w:tmpl w:val="83A12E45"/>
    <w:lvl w:ilvl="0" w:tentative="0">
      <w:start w:val="1"/>
      <w:numFmt w:val="decimal"/>
      <w:lvlText w:val="(%1)"/>
      <w:lvlJc w:val="left"/>
      <w:pPr>
        <w:ind w:left="905" w:hanging="425"/>
      </w:pPr>
      <w:rPr>
        <w:rFonts w:hint="default"/>
      </w:rPr>
    </w:lvl>
  </w:abstractNum>
  <w:abstractNum w:abstractNumId="1">
    <w:nsid w:val="90FEEDCA"/>
    <w:multiLevelType w:val="singleLevel"/>
    <w:tmpl w:val="90FEEDCA"/>
    <w:lvl w:ilvl="0" w:tentative="0">
      <w:start w:val="1"/>
      <w:numFmt w:val="decimal"/>
      <w:lvlText w:val="%1."/>
      <w:lvlJc w:val="left"/>
      <w:pPr>
        <w:ind w:left="665" w:hanging="425"/>
      </w:pPr>
      <w:rPr>
        <w:rFonts w:hint="default"/>
      </w:rPr>
    </w:lvl>
  </w:abstractNum>
  <w:abstractNum w:abstractNumId="2">
    <w:nsid w:val="95036D51"/>
    <w:multiLevelType w:val="multilevel"/>
    <w:tmpl w:val="95036D51"/>
    <w:lvl w:ilvl="0" w:tentative="0">
      <w:start w:val="1"/>
      <w:numFmt w:val="chineseCountingThousand"/>
      <w:pStyle w:val="3"/>
      <w:lvlText w:val="%1."/>
      <w:lvlJc w:val="left"/>
      <w:pPr>
        <w:tabs>
          <w:tab w:val="left" w:pos="0"/>
        </w:tabs>
        <w:ind w:left="425" w:hanging="425"/>
      </w:pPr>
      <w:rPr>
        <w:rFonts w:cs="Times New Roman"/>
      </w:rPr>
    </w:lvl>
    <w:lvl w:ilvl="1" w:tentative="0">
      <w:start w:val="1"/>
      <w:numFmt w:val="decimal"/>
      <w:pStyle w:val="4"/>
      <w:lvlText w:val="%2."/>
      <w:legacy w:legacy="1" w:legacySpace="0" w:legacyIndent="425"/>
      <w:lvlJc w:val="left"/>
      <w:pPr>
        <w:ind w:left="992" w:hanging="425"/>
      </w:pPr>
      <w:rPr>
        <w:rFonts w:cs="Times New Roman"/>
      </w:rPr>
    </w:lvl>
    <w:lvl w:ilvl="2" w:tentative="0">
      <w:start w:val="1"/>
      <w:numFmt w:val="none"/>
      <w:pStyle w:val="5"/>
      <w:suff w:val="nothing"/>
      <w:lvlText w:val=""/>
      <w:lvlJc w:val="left"/>
      <w:pPr>
        <w:tabs>
          <w:tab w:val="left" w:pos="0"/>
        </w:tabs>
        <w:ind w:left="851" w:hanging="425"/>
      </w:pPr>
      <w:rPr>
        <w:rFonts w:cs="Times New Roman"/>
      </w:rPr>
    </w:lvl>
    <w:lvl w:ilvl="3" w:tentative="0">
      <w:start w:val="1"/>
      <w:numFmt w:val="lowerLetter"/>
      <w:pStyle w:val="6"/>
      <w:lvlText w:val="%4)"/>
      <w:legacy w:legacy="1" w:legacySpace="0" w:legacyIndent="425"/>
      <w:lvlJc w:val="left"/>
      <w:pPr>
        <w:ind w:left="1700" w:hanging="425"/>
      </w:pPr>
      <w:rPr>
        <w:rFonts w:cs="Times New Roman"/>
      </w:rPr>
    </w:lvl>
    <w:lvl w:ilvl="4" w:tentative="0">
      <w:start w:val="1"/>
      <w:numFmt w:val="decimal"/>
      <w:pStyle w:val="7"/>
      <w:lvlText w:val="(%5)"/>
      <w:legacy w:legacy="1" w:legacySpace="0" w:legacyIndent="425"/>
      <w:lvlJc w:val="left"/>
      <w:pPr>
        <w:ind w:left="2125" w:hanging="425"/>
      </w:pPr>
      <w:rPr>
        <w:rFonts w:cs="Times New Roman"/>
      </w:rPr>
    </w:lvl>
    <w:lvl w:ilvl="5" w:tentative="0">
      <w:start w:val="1"/>
      <w:numFmt w:val="lowerLetter"/>
      <w:pStyle w:val="8"/>
      <w:lvlText w:val="(%6)"/>
      <w:legacy w:legacy="1" w:legacySpace="0" w:legacyIndent="425"/>
      <w:lvlJc w:val="left"/>
      <w:pPr>
        <w:ind w:left="2550" w:hanging="425"/>
      </w:pPr>
      <w:rPr>
        <w:rFonts w:cs="Times New Roman"/>
      </w:rPr>
    </w:lvl>
    <w:lvl w:ilvl="6" w:tentative="0">
      <w:start w:val="1"/>
      <w:numFmt w:val="lowerRoman"/>
      <w:pStyle w:val="9"/>
      <w:lvlText w:val="(%7)"/>
      <w:legacy w:legacy="1" w:legacySpace="0" w:legacyIndent="425"/>
      <w:lvlJc w:val="left"/>
      <w:pPr>
        <w:ind w:left="2975" w:hanging="425"/>
      </w:pPr>
      <w:rPr>
        <w:rFonts w:cs="Times New Roman"/>
      </w:rPr>
    </w:lvl>
    <w:lvl w:ilvl="7" w:tentative="0">
      <w:start w:val="1"/>
      <w:numFmt w:val="lowerLetter"/>
      <w:pStyle w:val="10"/>
      <w:lvlText w:val="(%8)"/>
      <w:legacy w:legacy="1" w:legacySpace="0" w:legacyIndent="425"/>
      <w:lvlJc w:val="left"/>
      <w:pPr>
        <w:ind w:left="3400" w:hanging="425"/>
      </w:pPr>
      <w:rPr>
        <w:rFonts w:cs="Times New Roman"/>
      </w:rPr>
    </w:lvl>
    <w:lvl w:ilvl="8" w:tentative="0">
      <w:start w:val="1"/>
      <w:numFmt w:val="lowerRoman"/>
      <w:pStyle w:val="11"/>
      <w:lvlText w:val="(%9)"/>
      <w:legacy w:legacy="1" w:legacySpace="0" w:legacyIndent="425"/>
      <w:lvlJc w:val="left"/>
      <w:pPr>
        <w:ind w:left="3825" w:hanging="425"/>
      </w:pPr>
      <w:rPr>
        <w:rFonts w:cs="Times New Roman"/>
      </w:rPr>
    </w:lvl>
  </w:abstractNum>
  <w:abstractNum w:abstractNumId="3">
    <w:nsid w:val="9D90C2BA"/>
    <w:multiLevelType w:val="singleLevel"/>
    <w:tmpl w:val="9D90C2BA"/>
    <w:lvl w:ilvl="0" w:tentative="0">
      <w:start w:val="1"/>
      <w:numFmt w:val="decimal"/>
      <w:lvlText w:val="%1."/>
      <w:lvlJc w:val="left"/>
      <w:pPr>
        <w:ind w:left="665" w:hanging="425"/>
      </w:pPr>
      <w:rPr>
        <w:rFonts w:hint="default"/>
      </w:rPr>
    </w:lvl>
  </w:abstractNum>
  <w:abstractNum w:abstractNumId="4">
    <w:nsid w:val="A020CD97"/>
    <w:multiLevelType w:val="singleLevel"/>
    <w:tmpl w:val="A020CD97"/>
    <w:lvl w:ilvl="0" w:tentative="0">
      <w:start w:val="1"/>
      <w:numFmt w:val="decimal"/>
      <w:lvlText w:val="%1."/>
      <w:lvlJc w:val="left"/>
      <w:pPr>
        <w:ind w:left="665" w:hanging="425"/>
      </w:pPr>
      <w:rPr>
        <w:rFonts w:hint="default"/>
      </w:rPr>
    </w:lvl>
  </w:abstractNum>
  <w:abstractNum w:abstractNumId="5">
    <w:nsid w:val="A3A54D00"/>
    <w:multiLevelType w:val="singleLevel"/>
    <w:tmpl w:val="A3A54D00"/>
    <w:lvl w:ilvl="0" w:tentative="0">
      <w:start w:val="1"/>
      <w:numFmt w:val="decimal"/>
      <w:lvlText w:val="%1."/>
      <w:lvlJc w:val="left"/>
      <w:pPr>
        <w:ind w:left="665" w:hanging="425"/>
      </w:pPr>
      <w:rPr>
        <w:rFonts w:hint="default"/>
      </w:rPr>
    </w:lvl>
  </w:abstractNum>
  <w:abstractNum w:abstractNumId="6">
    <w:nsid w:val="ADC5679A"/>
    <w:multiLevelType w:val="singleLevel"/>
    <w:tmpl w:val="ADC5679A"/>
    <w:lvl w:ilvl="0" w:tentative="0">
      <w:start w:val="1"/>
      <w:numFmt w:val="decimal"/>
      <w:lvlText w:val="%1."/>
      <w:lvlJc w:val="left"/>
      <w:pPr>
        <w:ind w:left="665" w:hanging="425"/>
      </w:pPr>
      <w:rPr>
        <w:rFonts w:hint="default"/>
      </w:rPr>
    </w:lvl>
  </w:abstractNum>
  <w:abstractNum w:abstractNumId="7">
    <w:nsid w:val="ADECA0FA"/>
    <w:multiLevelType w:val="singleLevel"/>
    <w:tmpl w:val="ADECA0FA"/>
    <w:lvl w:ilvl="0" w:tentative="0">
      <w:start w:val="1"/>
      <w:numFmt w:val="decimal"/>
      <w:lvlText w:val="(%1)"/>
      <w:lvlJc w:val="left"/>
      <w:pPr>
        <w:ind w:left="905" w:hanging="425"/>
      </w:pPr>
      <w:rPr>
        <w:rFonts w:hint="default"/>
      </w:rPr>
    </w:lvl>
  </w:abstractNum>
  <w:abstractNum w:abstractNumId="8">
    <w:nsid w:val="B321A158"/>
    <w:multiLevelType w:val="singleLevel"/>
    <w:tmpl w:val="B321A158"/>
    <w:lvl w:ilvl="0" w:tentative="0">
      <w:start w:val="1"/>
      <w:numFmt w:val="decimal"/>
      <w:lvlText w:val="%1."/>
      <w:lvlJc w:val="left"/>
      <w:pPr>
        <w:ind w:left="665" w:hanging="425"/>
      </w:pPr>
      <w:rPr>
        <w:rFonts w:hint="default"/>
      </w:rPr>
    </w:lvl>
  </w:abstractNum>
  <w:abstractNum w:abstractNumId="9">
    <w:nsid w:val="B7A82DF0"/>
    <w:multiLevelType w:val="singleLevel"/>
    <w:tmpl w:val="B7A82DF0"/>
    <w:lvl w:ilvl="0" w:tentative="0">
      <w:start w:val="1"/>
      <w:numFmt w:val="decimal"/>
      <w:lvlText w:val="(%1)"/>
      <w:lvlJc w:val="left"/>
      <w:pPr>
        <w:ind w:left="905" w:hanging="425"/>
      </w:pPr>
      <w:rPr>
        <w:rFonts w:hint="default"/>
      </w:rPr>
    </w:lvl>
  </w:abstractNum>
  <w:abstractNum w:abstractNumId="10">
    <w:nsid w:val="C22B2FDC"/>
    <w:multiLevelType w:val="singleLevel"/>
    <w:tmpl w:val="C22B2FDC"/>
    <w:lvl w:ilvl="0" w:tentative="0">
      <w:start w:val="1"/>
      <w:numFmt w:val="decimal"/>
      <w:lvlText w:val="%1."/>
      <w:lvlJc w:val="left"/>
      <w:pPr>
        <w:ind w:left="665" w:hanging="425"/>
      </w:pPr>
      <w:rPr>
        <w:rFonts w:hint="default"/>
      </w:rPr>
    </w:lvl>
  </w:abstractNum>
  <w:abstractNum w:abstractNumId="11">
    <w:nsid w:val="C8E24D50"/>
    <w:multiLevelType w:val="singleLevel"/>
    <w:tmpl w:val="C8E24D50"/>
    <w:lvl w:ilvl="0" w:tentative="0">
      <w:start w:val="1"/>
      <w:numFmt w:val="decimal"/>
      <w:lvlText w:val="%1."/>
      <w:lvlJc w:val="left"/>
      <w:pPr>
        <w:ind w:left="665" w:hanging="425"/>
      </w:pPr>
      <w:rPr>
        <w:rFonts w:hint="default"/>
      </w:rPr>
    </w:lvl>
  </w:abstractNum>
  <w:abstractNum w:abstractNumId="12">
    <w:nsid w:val="CE89C717"/>
    <w:multiLevelType w:val="singleLevel"/>
    <w:tmpl w:val="CE89C717"/>
    <w:lvl w:ilvl="0" w:tentative="0">
      <w:start w:val="1"/>
      <w:numFmt w:val="decimal"/>
      <w:lvlText w:val="(%1)"/>
      <w:lvlJc w:val="left"/>
      <w:pPr>
        <w:ind w:left="905" w:hanging="425"/>
      </w:pPr>
      <w:rPr>
        <w:rFonts w:hint="default"/>
      </w:rPr>
    </w:lvl>
  </w:abstractNum>
  <w:abstractNum w:abstractNumId="13">
    <w:nsid w:val="D1103F64"/>
    <w:multiLevelType w:val="singleLevel"/>
    <w:tmpl w:val="D1103F64"/>
    <w:lvl w:ilvl="0" w:tentative="0">
      <w:start w:val="1"/>
      <w:numFmt w:val="decimal"/>
      <w:lvlText w:val="(%1)"/>
      <w:lvlJc w:val="left"/>
      <w:pPr>
        <w:ind w:left="905" w:hanging="425"/>
      </w:pPr>
      <w:rPr>
        <w:rFonts w:hint="default"/>
      </w:rPr>
    </w:lvl>
  </w:abstractNum>
  <w:abstractNum w:abstractNumId="14">
    <w:nsid w:val="D2E3A63A"/>
    <w:multiLevelType w:val="singleLevel"/>
    <w:tmpl w:val="D2E3A63A"/>
    <w:lvl w:ilvl="0" w:tentative="0">
      <w:start w:val="1"/>
      <w:numFmt w:val="decimal"/>
      <w:lvlText w:val="%1."/>
      <w:lvlJc w:val="left"/>
      <w:pPr>
        <w:ind w:left="665" w:hanging="425"/>
      </w:pPr>
      <w:rPr>
        <w:rFonts w:hint="default"/>
      </w:rPr>
    </w:lvl>
  </w:abstractNum>
  <w:abstractNum w:abstractNumId="15">
    <w:nsid w:val="D9A42294"/>
    <w:multiLevelType w:val="singleLevel"/>
    <w:tmpl w:val="D9A42294"/>
    <w:lvl w:ilvl="0" w:tentative="0">
      <w:start w:val="1"/>
      <w:numFmt w:val="decimal"/>
      <w:lvlText w:val="%1."/>
      <w:lvlJc w:val="left"/>
      <w:pPr>
        <w:ind w:left="665" w:hanging="425"/>
      </w:pPr>
      <w:rPr>
        <w:rFonts w:hint="default"/>
      </w:rPr>
    </w:lvl>
  </w:abstractNum>
  <w:abstractNum w:abstractNumId="16">
    <w:nsid w:val="DC177CBE"/>
    <w:multiLevelType w:val="singleLevel"/>
    <w:tmpl w:val="DC177CBE"/>
    <w:lvl w:ilvl="0" w:tentative="0">
      <w:start w:val="1"/>
      <w:numFmt w:val="decimal"/>
      <w:lvlText w:val="(%1)"/>
      <w:lvlJc w:val="left"/>
      <w:pPr>
        <w:ind w:left="905" w:hanging="425"/>
      </w:pPr>
      <w:rPr>
        <w:rFonts w:hint="default"/>
      </w:rPr>
    </w:lvl>
  </w:abstractNum>
  <w:abstractNum w:abstractNumId="17">
    <w:nsid w:val="E3B73E4A"/>
    <w:multiLevelType w:val="singleLevel"/>
    <w:tmpl w:val="E3B73E4A"/>
    <w:lvl w:ilvl="0" w:tentative="0">
      <w:start w:val="1"/>
      <w:numFmt w:val="chineseCounting"/>
      <w:suff w:val="nothing"/>
      <w:lvlText w:val="%1、"/>
      <w:lvlJc w:val="left"/>
      <w:pPr>
        <w:ind w:left="-420" w:firstLine="420"/>
      </w:pPr>
      <w:rPr>
        <w:rFonts w:hint="eastAsia"/>
      </w:rPr>
    </w:lvl>
  </w:abstractNum>
  <w:abstractNum w:abstractNumId="18">
    <w:nsid w:val="E65D2898"/>
    <w:multiLevelType w:val="singleLevel"/>
    <w:tmpl w:val="E65D2898"/>
    <w:lvl w:ilvl="0" w:tentative="0">
      <w:start w:val="1"/>
      <w:numFmt w:val="decimal"/>
      <w:lvlText w:val="%1."/>
      <w:lvlJc w:val="left"/>
      <w:pPr>
        <w:ind w:left="665" w:hanging="425"/>
      </w:pPr>
      <w:rPr>
        <w:rFonts w:hint="default"/>
      </w:rPr>
    </w:lvl>
  </w:abstractNum>
  <w:abstractNum w:abstractNumId="19">
    <w:nsid w:val="EABD4951"/>
    <w:multiLevelType w:val="singleLevel"/>
    <w:tmpl w:val="EABD4951"/>
    <w:lvl w:ilvl="0" w:tentative="0">
      <w:start w:val="1"/>
      <w:numFmt w:val="decimal"/>
      <w:lvlText w:val="(%1)"/>
      <w:lvlJc w:val="left"/>
      <w:pPr>
        <w:ind w:left="905" w:hanging="425"/>
      </w:pPr>
      <w:rPr>
        <w:rFonts w:hint="default"/>
      </w:rPr>
    </w:lvl>
  </w:abstractNum>
  <w:abstractNum w:abstractNumId="20">
    <w:nsid w:val="EED2E564"/>
    <w:multiLevelType w:val="singleLevel"/>
    <w:tmpl w:val="EED2E564"/>
    <w:lvl w:ilvl="0" w:tentative="0">
      <w:start w:val="1"/>
      <w:numFmt w:val="decimal"/>
      <w:lvlText w:val="(%1)"/>
      <w:lvlJc w:val="left"/>
      <w:pPr>
        <w:ind w:left="905" w:hanging="425"/>
      </w:pPr>
      <w:rPr>
        <w:rFonts w:hint="default"/>
      </w:rPr>
    </w:lvl>
  </w:abstractNum>
  <w:abstractNum w:abstractNumId="21">
    <w:nsid w:val="F213FA1E"/>
    <w:multiLevelType w:val="singleLevel"/>
    <w:tmpl w:val="F213FA1E"/>
    <w:lvl w:ilvl="0" w:tentative="0">
      <w:start w:val="1"/>
      <w:numFmt w:val="decimal"/>
      <w:lvlText w:val="%1."/>
      <w:lvlJc w:val="left"/>
      <w:pPr>
        <w:ind w:left="665" w:hanging="425"/>
      </w:pPr>
      <w:rPr>
        <w:rFonts w:hint="default"/>
      </w:rPr>
    </w:lvl>
  </w:abstractNum>
  <w:abstractNum w:abstractNumId="22">
    <w:nsid w:val="F768A7C7"/>
    <w:multiLevelType w:val="singleLevel"/>
    <w:tmpl w:val="F768A7C7"/>
    <w:lvl w:ilvl="0" w:tentative="0">
      <w:start w:val="1"/>
      <w:numFmt w:val="decimal"/>
      <w:lvlText w:val="(%1)"/>
      <w:lvlJc w:val="left"/>
      <w:pPr>
        <w:ind w:left="185" w:hanging="425"/>
      </w:pPr>
      <w:rPr>
        <w:rFonts w:hint="default"/>
      </w:rPr>
    </w:lvl>
  </w:abstractNum>
  <w:abstractNum w:abstractNumId="23">
    <w:nsid w:val="00B2D98A"/>
    <w:multiLevelType w:val="singleLevel"/>
    <w:tmpl w:val="00B2D98A"/>
    <w:lvl w:ilvl="0" w:tentative="0">
      <w:start w:val="1"/>
      <w:numFmt w:val="decimal"/>
      <w:lvlText w:val="%1."/>
      <w:lvlJc w:val="left"/>
      <w:pPr>
        <w:ind w:left="665" w:hanging="425"/>
      </w:pPr>
      <w:rPr>
        <w:rFonts w:hint="default"/>
      </w:rPr>
    </w:lvl>
  </w:abstractNum>
  <w:abstractNum w:abstractNumId="24">
    <w:nsid w:val="01471115"/>
    <w:multiLevelType w:val="singleLevel"/>
    <w:tmpl w:val="01471115"/>
    <w:lvl w:ilvl="0" w:tentative="0">
      <w:start w:val="1"/>
      <w:numFmt w:val="decimal"/>
      <w:lvlText w:val="%1."/>
      <w:lvlJc w:val="left"/>
      <w:pPr>
        <w:ind w:left="665" w:hanging="425"/>
      </w:pPr>
      <w:rPr>
        <w:rFonts w:hint="default"/>
      </w:rPr>
    </w:lvl>
  </w:abstractNum>
  <w:abstractNum w:abstractNumId="25">
    <w:nsid w:val="03B28E3A"/>
    <w:multiLevelType w:val="singleLevel"/>
    <w:tmpl w:val="03B28E3A"/>
    <w:lvl w:ilvl="0" w:tentative="0">
      <w:start w:val="1"/>
      <w:numFmt w:val="decimal"/>
      <w:lvlText w:val="(%1)"/>
      <w:lvlJc w:val="left"/>
      <w:pPr>
        <w:ind w:left="905" w:hanging="425"/>
      </w:pPr>
      <w:rPr>
        <w:rFonts w:hint="default"/>
      </w:rPr>
    </w:lvl>
  </w:abstractNum>
  <w:abstractNum w:abstractNumId="26">
    <w:nsid w:val="1B2B8763"/>
    <w:multiLevelType w:val="singleLevel"/>
    <w:tmpl w:val="1B2B8763"/>
    <w:lvl w:ilvl="0" w:tentative="0">
      <w:start w:val="1"/>
      <w:numFmt w:val="decimal"/>
      <w:lvlText w:val="%1."/>
      <w:lvlJc w:val="left"/>
      <w:pPr>
        <w:ind w:left="665" w:hanging="425"/>
      </w:pPr>
      <w:rPr>
        <w:rFonts w:hint="default"/>
      </w:rPr>
    </w:lvl>
  </w:abstractNum>
  <w:abstractNum w:abstractNumId="27">
    <w:nsid w:val="2046B901"/>
    <w:multiLevelType w:val="singleLevel"/>
    <w:tmpl w:val="2046B901"/>
    <w:lvl w:ilvl="0" w:tentative="0">
      <w:start w:val="1"/>
      <w:numFmt w:val="decimal"/>
      <w:lvlText w:val="%1."/>
      <w:lvlJc w:val="left"/>
      <w:pPr>
        <w:ind w:left="665" w:hanging="425"/>
      </w:pPr>
      <w:rPr>
        <w:rFonts w:hint="default"/>
      </w:rPr>
    </w:lvl>
  </w:abstractNum>
  <w:abstractNum w:abstractNumId="28">
    <w:nsid w:val="21DC8AC9"/>
    <w:multiLevelType w:val="singleLevel"/>
    <w:tmpl w:val="21DC8AC9"/>
    <w:lvl w:ilvl="0" w:tentative="0">
      <w:start w:val="1"/>
      <w:numFmt w:val="decimal"/>
      <w:lvlText w:val="(%1)"/>
      <w:lvlJc w:val="left"/>
      <w:pPr>
        <w:ind w:left="905" w:hanging="425"/>
      </w:pPr>
      <w:rPr>
        <w:rFonts w:hint="default"/>
      </w:rPr>
    </w:lvl>
  </w:abstractNum>
  <w:abstractNum w:abstractNumId="29">
    <w:nsid w:val="30B3A85D"/>
    <w:multiLevelType w:val="singleLevel"/>
    <w:tmpl w:val="30B3A85D"/>
    <w:lvl w:ilvl="0" w:tentative="0">
      <w:start w:val="1"/>
      <w:numFmt w:val="decimal"/>
      <w:lvlText w:val="(%1)"/>
      <w:lvlJc w:val="left"/>
      <w:pPr>
        <w:ind w:left="905" w:hanging="425"/>
      </w:pPr>
      <w:rPr>
        <w:rFonts w:hint="default"/>
      </w:rPr>
    </w:lvl>
  </w:abstractNum>
  <w:abstractNum w:abstractNumId="30">
    <w:nsid w:val="339DB991"/>
    <w:multiLevelType w:val="singleLevel"/>
    <w:tmpl w:val="339DB991"/>
    <w:lvl w:ilvl="0" w:tentative="0">
      <w:start w:val="1"/>
      <w:numFmt w:val="decimal"/>
      <w:lvlText w:val="(%1)"/>
      <w:lvlJc w:val="left"/>
      <w:pPr>
        <w:ind w:left="905" w:hanging="425"/>
      </w:pPr>
      <w:rPr>
        <w:rFonts w:hint="default"/>
      </w:rPr>
    </w:lvl>
  </w:abstractNum>
  <w:abstractNum w:abstractNumId="31">
    <w:nsid w:val="3EC54230"/>
    <w:multiLevelType w:val="singleLevel"/>
    <w:tmpl w:val="3EC54230"/>
    <w:lvl w:ilvl="0" w:tentative="0">
      <w:start w:val="6"/>
      <w:numFmt w:val="decimal"/>
      <w:suff w:val="nothing"/>
      <w:lvlText w:val="%1、"/>
      <w:lvlJc w:val="left"/>
    </w:lvl>
  </w:abstractNum>
  <w:abstractNum w:abstractNumId="32">
    <w:nsid w:val="44CDC7F8"/>
    <w:multiLevelType w:val="singleLevel"/>
    <w:tmpl w:val="44CDC7F8"/>
    <w:lvl w:ilvl="0" w:tentative="0">
      <w:start w:val="1"/>
      <w:numFmt w:val="decimal"/>
      <w:lvlText w:val="%1."/>
      <w:lvlJc w:val="left"/>
      <w:pPr>
        <w:ind w:left="665" w:hanging="425"/>
      </w:pPr>
      <w:rPr>
        <w:rFonts w:hint="default"/>
      </w:rPr>
    </w:lvl>
  </w:abstractNum>
  <w:abstractNum w:abstractNumId="33">
    <w:nsid w:val="45436B05"/>
    <w:multiLevelType w:val="multilevel"/>
    <w:tmpl w:val="45436B05"/>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4">
    <w:nsid w:val="516A79B6"/>
    <w:multiLevelType w:val="singleLevel"/>
    <w:tmpl w:val="516A79B6"/>
    <w:lvl w:ilvl="0" w:tentative="0">
      <w:start w:val="1"/>
      <w:numFmt w:val="decimal"/>
      <w:lvlText w:val="%1."/>
      <w:lvlJc w:val="left"/>
      <w:pPr>
        <w:ind w:left="665" w:hanging="425"/>
      </w:pPr>
      <w:rPr>
        <w:rFonts w:hint="default"/>
      </w:rPr>
    </w:lvl>
  </w:abstractNum>
  <w:abstractNum w:abstractNumId="35">
    <w:nsid w:val="581FAF8F"/>
    <w:multiLevelType w:val="singleLevel"/>
    <w:tmpl w:val="581FAF8F"/>
    <w:lvl w:ilvl="0" w:tentative="0">
      <w:start w:val="1"/>
      <w:numFmt w:val="decimal"/>
      <w:lvlText w:val="%1."/>
      <w:lvlJc w:val="left"/>
      <w:pPr>
        <w:ind w:left="665" w:hanging="425"/>
      </w:pPr>
      <w:rPr>
        <w:rFonts w:hint="default"/>
      </w:rPr>
    </w:lvl>
  </w:abstractNum>
  <w:abstractNum w:abstractNumId="36">
    <w:nsid w:val="5C9DCA6C"/>
    <w:multiLevelType w:val="singleLevel"/>
    <w:tmpl w:val="5C9DCA6C"/>
    <w:lvl w:ilvl="0" w:tentative="0">
      <w:start w:val="1"/>
      <w:numFmt w:val="decimal"/>
      <w:lvlText w:val="%1."/>
      <w:lvlJc w:val="left"/>
      <w:pPr>
        <w:ind w:left="665" w:hanging="425"/>
      </w:pPr>
      <w:rPr>
        <w:rFonts w:hint="default"/>
      </w:rPr>
    </w:lvl>
  </w:abstractNum>
  <w:abstractNum w:abstractNumId="37">
    <w:nsid w:val="5E226221"/>
    <w:multiLevelType w:val="singleLevel"/>
    <w:tmpl w:val="5E226221"/>
    <w:lvl w:ilvl="0" w:tentative="0">
      <w:start w:val="1"/>
      <w:numFmt w:val="decimal"/>
      <w:lvlText w:val="%1."/>
      <w:lvlJc w:val="left"/>
      <w:pPr>
        <w:ind w:left="665" w:hanging="425"/>
      </w:pPr>
      <w:rPr>
        <w:rFonts w:hint="default"/>
      </w:rPr>
    </w:lvl>
  </w:abstractNum>
  <w:abstractNum w:abstractNumId="38">
    <w:nsid w:val="752429C2"/>
    <w:multiLevelType w:val="singleLevel"/>
    <w:tmpl w:val="752429C2"/>
    <w:lvl w:ilvl="0" w:tentative="0">
      <w:start w:val="1"/>
      <w:numFmt w:val="decimal"/>
      <w:lvlText w:val="(%1)"/>
      <w:lvlJc w:val="left"/>
      <w:pPr>
        <w:ind w:left="905" w:hanging="425"/>
      </w:pPr>
      <w:rPr>
        <w:rFonts w:hint="default"/>
      </w:rPr>
    </w:lvl>
  </w:abstractNum>
  <w:abstractNum w:abstractNumId="39">
    <w:nsid w:val="76176B4A"/>
    <w:multiLevelType w:val="singleLevel"/>
    <w:tmpl w:val="76176B4A"/>
    <w:lvl w:ilvl="0" w:tentative="0">
      <w:start w:val="1"/>
      <w:numFmt w:val="decimal"/>
      <w:lvlText w:val="(%1)"/>
      <w:lvlJc w:val="left"/>
      <w:pPr>
        <w:ind w:left="905" w:hanging="425"/>
      </w:pPr>
      <w:rPr>
        <w:rFonts w:hint="default"/>
      </w:rPr>
    </w:lvl>
  </w:abstractNum>
  <w:abstractNum w:abstractNumId="40">
    <w:nsid w:val="7C91AE89"/>
    <w:multiLevelType w:val="singleLevel"/>
    <w:tmpl w:val="7C91AE89"/>
    <w:lvl w:ilvl="0" w:tentative="0">
      <w:start w:val="1"/>
      <w:numFmt w:val="lowerLetter"/>
      <w:lvlText w:val="%1."/>
      <w:lvlJc w:val="left"/>
      <w:pPr>
        <w:ind w:left="185" w:hanging="425"/>
      </w:pPr>
      <w:rPr>
        <w:rFonts w:hint="default"/>
      </w:rPr>
    </w:lvl>
  </w:abstractNum>
  <w:abstractNum w:abstractNumId="41">
    <w:nsid w:val="7DC22653"/>
    <w:multiLevelType w:val="singleLevel"/>
    <w:tmpl w:val="7DC22653"/>
    <w:lvl w:ilvl="0" w:tentative="0">
      <w:start w:val="1"/>
      <w:numFmt w:val="decimal"/>
      <w:lvlText w:val="%1."/>
      <w:lvlJc w:val="left"/>
      <w:pPr>
        <w:ind w:left="665" w:hanging="425"/>
      </w:pPr>
      <w:rPr>
        <w:rFonts w:hint="default"/>
      </w:rPr>
    </w:lvl>
  </w:abstractNum>
  <w:abstractNum w:abstractNumId="42">
    <w:nsid w:val="7FA2ECD5"/>
    <w:multiLevelType w:val="singleLevel"/>
    <w:tmpl w:val="7FA2ECD5"/>
    <w:lvl w:ilvl="0" w:tentative="0">
      <w:start w:val="1"/>
      <w:numFmt w:val="decimal"/>
      <w:lvlText w:val="(%1)"/>
      <w:lvlJc w:val="left"/>
      <w:pPr>
        <w:ind w:left="425" w:hanging="425"/>
      </w:pPr>
      <w:rPr>
        <w:rFonts w:hint="default"/>
      </w:rPr>
    </w:lvl>
  </w:abstractNum>
  <w:num w:numId="1">
    <w:abstractNumId w:val="2"/>
  </w:num>
  <w:num w:numId="2">
    <w:abstractNumId w:val="17"/>
  </w:num>
  <w:num w:numId="3">
    <w:abstractNumId w:val="11"/>
  </w:num>
  <w:num w:numId="4">
    <w:abstractNumId w:val="37"/>
  </w:num>
  <w:num w:numId="5">
    <w:abstractNumId w:val="14"/>
  </w:num>
  <w:num w:numId="6">
    <w:abstractNumId w:val="42"/>
  </w:num>
  <w:num w:numId="7">
    <w:abstractNumId w:val="5"/>
  </w:num>
  <w:num w:numId="8">
    <w:abstractNumId w:val="21"/>
  </w:num>
  <w:num w:numId="9">
    <w:abstractNumId w:val="16"/>
  </w:num>
  <w:num w:numId="10">
    <w:abstractNumId w:val="18"/>
  </w:num>
  <w:num w:numId="11">
    <w:abstractNumId w:val="22"/>
  </w:num>
  <w:num w:numId="12">
    <w:abstractNumId w:val="30"/>
  </w:num>
  <w:num w:numId="13">
    <w:abstractNumId w:val="7"/>
  </w:num>
  <w:num w:numId="14">
    <w:abstractNumId w:val="35"/>
  </w:num>
  <w:num w:numId="15">
    <w:abstractNumId w:val="4"/>
  </w:num>
  <w:num w:numId="16">
    <w:abstractNumId w:val="15"/>
  </w:num>
  <w:num w:numId="17">
    <w:abstractNumId w:val="20"/>
  </w:num>
  <w:num w:numId="18">
    <w:abstractNumId w:val="28"/>
  </w:num>
  <w:num w:numId="19">
    <w:abstractNumId w:val="19"/>
  </w:num>
  <w:num w:numId="20">
    <w:abstractNumId w:val="40"/>
  </w:num>
  <w:num w:numId="21">
    <w:abstractNumId w:val="25"/>
  </w:num>
  <w:num w:numId="22">
    <w:abstractNumId w:val="24"/>
  </w:num>
  <w:num w:numId="23">
    <w:abstractNumId w:val="26"/>
  </w:num>
  <w:num w:numId="24">
    <w:abstractNumId w:val="38"/>
  </w:num>
  <w:num w:numId="25">
    <w:abstractNumId w:val="29"/>
  </w:num>
  <w:num w:numId="26">
    <w:abstractNumId w:val="1"/>
  </w:num>
  <w:num w:numId="27">
    <w:abstractNumId w:val="23"/>
  </w:num>
  <w:num w:numId="28">
    <w:abstractNumId w:val="12"/>
  </w:num>
  <w:num w:numId="29">
    <w:abstractNumId w:val="36"/>
  </w:num>
  <w:num w:numId="30">
    <w:abstractNumId w:val="10"/>
  </w:num>
  <w:num w:numId="31">
    <w:abstractNumId w:val="27"/>
  </w:num>
  <w:num w:numId="32">
    <w:abstractNumId w:val="39"/>
  </w:num>
  <w:num w:numId="33">
    <w:abstractNumId w:val="0"/>
  </w:num>
  <w:num w:numId="34">
    <w:abstractNumId w:val="34"/>
  </w:num>
  <w:num w:numId="35">
    <w:abstractNumId w:val="8"/>
  </w:num>
  <w:num w:numId="36">
    <w:abstractNumId w:val="9"/>
  </w:num>
  <w:num w:numId="37">
    <w:abstractNumId w:val="41"/>
  </w:num>
  <w:num w:numId="38">
    <w:abstractNumId w:val="32"/>
  </w:num>
  <w:num w:numId="39">
    <w:abstractNumId w:val="13"/>
  </w:num>
  <w:num w:numId="40">
    <w:abstractNumId w:val="3"/>
  </w:num>
  <w:num w:numId="41">
    <w:abstractNumId w:val="6"/>
  </w:num>
  <w:num w:numId="42">
    <w:abstractNumId w:val="33"/>
  </w:num>
  <w:num w:numId="4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trackRevisions w:val="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ViMjQxYmY3NWZhNmY0ZmJjNjJmN2M0ZjFjZGU5OGEifQ=="/>
  </w:docVars>
  <w:rsids>
    <w:rsidRoot w:val="00172A27"/>
    <w:rsid w:val="00004734"/>
    <w:rsid w:val="000112F7"/>
    <w:rsid w:val="000127EC"/>
    <w:rsid w:val="00014E6C"/>
    <w:rsid w:val="00020BB6"/>
    <w:rsid w:val="0002196B"/>
    <w:rsid w:val="00025321"/>
    <w:rsid w:val="0002623D"/>
    <w:rsid w:val="00027206"/>
    <w:rsid w:val="00036F32"/>
    <w:rsid w:val="0004196A"/>
    <w:rsid w:val="00050636"/>
    <w:rsid w:val="00057981"/>
    <w:rsid w:val="00062CCF"/>
    <w:rsid w:val="00065CD5"/>
    <w:rsid w:val="00065EF0"/>
    <w:rsid w:val="0006602E"/>
    <w:rsid w:val="00066596"/>
    <w:rsid w:val="00070A00"/>
    <w:rsid w:val="000737B7"/>
    <w:rsid w:val="00092FAE"/>
    <w:rsid w:val="000936F9"/>
    <w:rsid w:val="000938C6"/>
    <w:rsid w:val="000A147C"/>
    <w:rsid w:val="000A54D9"/>
    <w:rsid w:val="000A7686"/>
    <w:rsid w:val="000A76D7"/>
    <w:rsid w:val="000B2DE3"/>
    <w:rsid w:val="000B3EE8"/>
    <w:rsid w:val="000B4132"/>
    <w:rsid w:val="000C11B4"/>
    <w:rsid w:val="000C6CA9"/>
    <w:rsid w:val="000D1072"/>
    <w:rsid w:val="000D205A"/>
    <w:rsid w:val="000D26C8"/>
    <w:rsid w:val="000D2E39"/>
    <w:rsid w:val="000D49BF"/>
    <w:rsid w:val="000D6B54"/>
    <w:rsid w:val="000D7218"/>
    <w:rsid w:val="000E08BA"/>
    <w:rsid w:val="000E2925"/>
    <w:rsid w:val="000E4D87"/>
    <w:rsid w:val="000E7F00"/>
    <w:rsid w:val="000F176B"/>
    <w:rsid w:val="000F6A5F"/>
    <w:rsid w:val="00100C15"/>
    <w:rsid w:val="0010103A"/>
    <w:rsid w:val="0010104F"/>
    <w:rsid w:val="001021BC"/>
    <w:rsid w:val="001073C1"/>
    <w:rsid w:val="001104C9"/>
    <w:rsid w:val="00110729"/>
    <w:rsid w:val="00110BC9"/>
    <w:rsid w:val="00112F37"/>
    <w:rsid w:val="00120ADE"/>
    <w:rsid w:val="00125540"/>
    <w:rsid w:val="00130D53"/>
    <w:rsid w:val="0013667F"/>
    <w:rsid w:val="00147EF2"/>
    <w:rsid w:val="00160E43"/>
    <w:rsid w:val="00162177"/>
    <w:rsid w:val="00167861"/>
    <w:rsid w:val="00167921"/>
    <w:rsid w:val="00172A27"/>
    <w:rsid w:val="00174A32"/>
    <w:rsid w:val="00176A6E"/>
    <w:rsid w:val="00180B22"/>
    <w:rsid w:val="00180C0A"/>
    <w:rsid w:val="00191138"/>
    <w:rsid w:val="00193FED"/>
    <w:rsid w:val="00196CC8"/>
    <w:rsid w:val="001A6A80"/>
    <w:rsid w:val="001A73DA"/>
    <w:rsid w:val="001B4D8A"/>
    <w:rsid w:val="001B7FB5"/>
    <w:rsid w:val="001C0328"/>
    <w:rsid w:val="001C3135"/>
    <w:rsid w:val="001D1692"/>
    <w:rsid w:val="001D33F2"/>
    <w:rsid w:val="001E0463"/>
    <w:rsid w:val="001E3252"/>
    <w:rsid w:val="001F17C6"/>
    <w:rsid w:val="001F2ED9"/>
    <w:rsid w:val="001F6D34"/>
    <w:rsid w:val="00200F8E"/>
    <w:rsid w:val="00203378"/>
    <w:rsid w:val="0020644C"/>
    <w:rsid w:val="00207F2F"/>
    <w:rsid w:val="00214FB5"/>
    <w:rsid w:val="00215528"/>
    <w:rsid w:val="00217A46"/>
    <w:rsid w:val="0022132B"/>
    <w:rsid w:val="00230D9A"/>
    <w:rsid w:val="00232F4B"/>
    <w:rsid w:val="00233346"/>
    <w:rsid w:val="0023640C"/>
    <w:rsid w:val="002372DD"/>
    <w:rsid w:val="00240AE1"/>
    <w:rsid w:val="0024334F"/>
    <w:rsid w:val="002434CD"/>
    <w:rsid w:val="002454FE"/>
    <w:rsid w:val="00246664"/>
    <w:rsid w:val="0024796F"/>
    <w:rsid w:val="00252A70"/>
    <w:rsid w:val="00252EBC"/>
    <w:rsid w:val="002653B9"/>
    <w:rsid w:val="002718C6"/>
    <w:rsid w:val="00276919"/>
    <w:rsid w:val="00290347"/>
    <w:rsid w:val="00295D1D"/>
    <w:rsid w:val="002969D1"/>
    <w:rsid w:val="00297B95"/>
    <w:rsid w:val="002A0538"/>
    <w:rsid w:val="002A3034"/>
    <w:rsid w:val="002A464F"/>
    <w:rsid w:val="002B03AD"/>
    <w:rsid w:val="002B06C6"/>
    <w:rsid w:val="002B0A59"/>
    <w:rsid w:val="002B20CE"/>
    <w:rsid w:val="002B6ECA"/>
    <w:rsid w:val="002C029A"/>
    <w:rsid w:val="002C6E09"/>
    <w:rsid w:val="002D2A5D"/>
    <w:rsid w:val="002D2E4E"/>
    <w:rsid w:val="002D6B8A"/>
    <w:rsid w:val="002D7C34"/>
    <w:rsid w:val="002E51F7"/>
    <w:rsid w:val="002E7973"/>
    <w:rsid w:val="002F293A"/>
    <w:rsid w:val="002F3ACD"/>
    <w:rsid w:val="002F54E2"/>
    <w:rsid w:val="002F77F9"/>
    <w:rsid w:val="003042E3"/>
    <w:rsid w:val="003123DB"/>
    <w:rsid w:val="0031253D"/>
    <w:rsid w:val="00321686"/>
    <w:rsid w:val="003358F3"/>
    <w:rsid w:val="00337E43"/>
    <w:rsid w:val="003459DC"/>
    <w:rsid w:val="00347E4E"/>
    <w:rsid w:val="003559D3"/>
    <w:rsid w:val="00361B50"/>
    <w:rsid w:val="00361D86"/>
    <w:rsid w:val="0036360C"/>
    <w:rsid w:val="00363BA8"/>
    <w:rsid w:val="00367D63"/>
    <w:rsid w:val="00375A68"/>
    <w:rsid w:val="00376730"/>
    <w:rsid w:val="00391934"/>
    <w:rsid w:val="00391ED6"/>
    <w:rsid w:val="00393702"/>
    <w:rsid w:val="00397F72"/>
    <w:rsid w:val="003A04FF"/>
    <w:rsid w:val="003A2728"/>
    <w:rsid w:val="003A6239"/>
    <w:rsid w:val="003B1AF6"/>
    <w:rsid w:val="003B25DF"/>
    <w:rsid w:val="003B2B3C"/>
    <w:rsid w:val="003B5FC8"/>
    <w:rsid w:val="003B625C"/>
    <w:rsid w:val="003B643A"/>
    <w:rsid w:val="003C2C6C"/>
    <w:rsid w:val="003C36D7"/>
    <w:rsid w:val="003D22A0"/>
    <w:rsid w:val="003E5E53"/>
    <w:rsid w:val="003E7707"/>
    <w:rsid w:val="003E795C"/>
    <w:rsid w:val="003F1E98"/>
    <w:rsid w:val="004140CF"/>
    <w:rsid w:val="0042007F"/>
    <w:rsid w:val="00420AD4"/>
    <w:rsid w:val="00420E2F"/>
    <w:rsid w:val="00423DD6"/>
    <w:rsid w:val="00423E77"/>
    <w:rsid w:val="004367EE"/>
    <w:rsid w:val="00443089"/>
    <w:rsid w:val="00447188"/>
    <w:rsid w:val="004519B8"/>
    <w:rsid w:val="00452C9F"/>
    <w:rsid w:val="004541B0"/>
    <w:rsid w:val="00455E28"/>
    <w:rsid w:val="004566FE"/>
    <w:rsid w:val="004578DA"/>
    <w:rsid w:val="00462A71"/>
    <w:rsid w:val="00467F4D"/>
    <w:rsid w:val="004747A2"/>
    <w:rsid w:val="0047486E"/>
    <w:rsid w:val="004772D1"/>
    <w:rsid w:val="00481FEB"/>
    <w:rsid w:val="00482A9A"/>
    <w:rsid w:val="004A1315"/>
    <w:rsid w:val="004A2C7F"/>
    <w:rsid w:val="004A5B60"/>
    <w:rsid w:val="004A64D2"/>
    <w:rsid w:val="004B3B0A"/>
    <w:rsid w:val="004B54CC"/>
    <w:rsid w:val="004B559E"/>
    <w:rsid w:val="004D1E1C"/>
    <w:rsid w:val="004E3059"/>
    <w:rsid w:val="004E37CA"/>
    <w:rsid w:val="004E49FE"/>
    <w:rsid w:val="004E5375"/>
    <w:rsid w:val="004E5451"/>
    <w:rsid w:val="004E78BF"/>
    <w:rsid w:val="004F1EAD"/>
    <w:rsid w:val="004F24FA"/>
    <w:rsid w:val="004F5178"/>
    <w:rsid w:val="00501483"/>
    <w:rsid w:val="00501D2F"/>
    <w:rsid w:val="00505506"/>
    <w:rsid w:val="00506153"/>
    <w:rsid w:val="005078DB"/>
    <w:rsid w:val="00514B88"/>
    <w:rsid w:val="00516578"/>
    <w:rsid w:val="00516B7B"/>
    <w:rsid w:val="00534C97"/>
    <w:rsid w:val="00542491"/>
    <w:rsid w:val="00542B8D"/>
    <w:rsid w:val="00556259"/>
    <w:rsid w:val="00560BFE"/>
    <w:rsid w:val="005613E2"/>
    <w:rsid w:val="00562EAC"/>
    <w:rsid w:val="005632F8"/>
    <w:rsid w:val="00564804"/>
    <w:rsid w:val="005648F6"/>
    <w:rsid w:val="00567ADD"/>
    <w:rsid w:val="00570C35"/>
    <w:rsid w:val="00570CCF"/>
    <w:rsid w:val="00575182"/>
    <w:rsid w:val="0057648B"/>
    <w:rsid w:val="005828CD"/>
    <w:rsid w:val="005843B4"/>
    <w:rsid w:val="00584F53"/>
    <w:rsid w:val="00590528"/>
    <w:rsid w:val="005974A1"/>
    <w:rsid w:val="00597C65"/>
    <w:rsid w:val="00597CAE"/>
    <w:rsid w:val="005A144E"/>
    <w:rsid w:val="005A2B28"/>
    <w:rsid w:val="005A2D0D"/>
    <w:rsid w:val="005A3BED"/>
    <w:rsid w:val="005B60D6"/>
    <w:rsid w:val="005B6CDA"/>
    <w:rsid w:val="005D2040"/>
    <w:rsid w:val="005D2A0E"/>
    <w:rsid w:val="005E36BC"/>
    <w:rsid w:val="005F2A54"/>
    <w:rsid w:val="005F4547"/>
    <w:rsid w:val="005F4688"/>
    <w:rsid w:val="005F60DA"/>
    <w:rsid w:val="005F7B25"/>
    <w:rsid w:val="00602AF1"/>
    <w:rsid w:val="006032F1"/>
    <w:rsid w:val="00610087"/>
    <w:rsid w:val="00611B65"/>
    <w:rsid w:val="00612E18"/>
    <w:rsid w:val="00627F91"/>
    <w:rsid w:val="00630879"/>
    <w:rsid w:val="00631305"/>
    <w:rsid w:val="00632780"/>
    <w:rsid w:val="006327A3"/>
    <w:rsid w:val="00634C39"/>
    <w:rsid w:val="006360FE"/>
    <w:rsid w:val="00641A6D"/>
    <w:rsid w:val="0064346C"/>
    <w:rsid w:val="006464A5"/>
    <w:rsid w:val="0065670C"/>
    <w:rsid w:val="0066134E"/>
    <w:rsid w:val="006655AC"/>
    <w:rsid w:val="006678B3"/>
    <w:rsid w:val="006731C3"/>
    <w:rsid w:val="00676D43"/>
    <w:rsid w:val="006820E4"/>
    <w:rsid w:val="00687721"/>
    <w:rsid w:val="00691120"/>
    <w:rsid w:val="00693987"/>
    <w:rsid w:val="00694B2D"/>
    <w:rsid w:val="006950F5"/>
    <w:rsid w:val="006969DD"/>
    <w:rsid w:val="006A2CD7"/>
    <w:rsid w:val="006A54F5"/>
    <w:rsid w:val="006B006C"/>
    <w:rsid w:val="006B17DA"/>
    <w:rsid w:val="006B1B95"/>
    <w:rsid w:val="006C21A5"/>
    <w:rsid w:val="006C2C16"/>
    <w:rsid w:val="006C40B9"/>
    <w:rsid w:val="006C6224"/>
    <w:rsid w:val="006D790F"/>
    <w:rsid w:val="006E1BC4"/>
    <w:rsid w:val="006E434C"/>
    <w:rsid w:val="006F223B"/>
    <w:rsid w:val="006F2A5F"/>
    <w:rsid w:val="006F36C3"/>
    <w:rsid w:val="006F3805"/>
    <w:rsid w:val="006F4BA1"/>
    <w:rsid w:val="006F6A3C"/>
    <w:rsid w:val="00700D07"/>
    <w:rsid w:val="00701B69"/>
    <w:rsid w:val="0070555A"/>
    <w:rsid w:val="00710AF3"/>
    <w:rsid w:val="00710BCF"/>
    <w:rsid w:val="007119EE"/>
    <w:rsid w:val="007124B6"/>
    <w:rsid w:val="00720003"/>
    <w:rsid w:val="007211F4"/>
    <w:rsid w:val="00721A3E"/>
    <w:rsid w:val="00722EE1"/>
    <w:rsid w:val="00723612"/>
    <w:rsid w:val="00725B97"/>
    <w:rsid w:val="00730793"/>
    <w:rsid w:val="007312F4"/>
    <w:rsid w:val="0073360E"/>
    <w:rsid w:val="007426C9"/>
    <w:rsid w:val="00743D82"/>
    <w:rsid w:val="0074569B"/>
    <w:rsid w:val="00753466"/>
    <w:rsid w:val="00773640"/>
    <w:rsid w:val="00776C85"/>
    <w:rsid w:val="00777C50"/>
    <w:rsid w:val="00785273"/>
    <w:rsid w:val="00785551"/>
    <w:rsid w:val="007856C8"/>
    <w:rsid w:val="0078582E"/>
    <w:rsid w:val="007909E5"/>
    <w:rsid w:val="00794F34"/>
    <w:rsid w:val="00795264"/>
    <w:rsid w:val="007972B0"/>
    <w:rsid w:val="007A565C"/>
    <w:rsid w:val="007B0676"/>
    <w:rsid w:val="007B13F4"/>
    <w:rsid w:val="007B2C9C"/>
    <w:rsid w:val="007B6C02"/>
    <w:rsid w:val="007C208C"/>
    <w:rsid w:val="007C5881"/>
    <w:rsid w:val="007D0E98"/>
    <w:rsid w:val="007D24C3"/>
    <w:rsid w:val="007E3653"/>
    <w:rsid w:val="007E37D4"/>
    <w:rsid w:val="007F6877"/>
    <w:rsid w:val="008016C5"/>
    <w:rsid w:val="00801F1D"/>
    <w:rsid w:val="0081246B"/>
    <w:rsid w:val="00812BB1"/>
    <w:rsid w:val="00813EFA"/>
    <w:rsid w:val="00833059"/>
    <w:rsid w:val="0083423D"/>
    <w:rsid w:val="00842B3B"/>
    <w:rsid w:val="00846A18"/>
    <w:rsid w:val="00864308"/>
    <w:rsid w:val="008728F6"/>
    <w:rsid w:val="008825E1"/>
    <w:rsid w:val="00883693"/>
    <w:rsid w:val="00883ED0"/>
    <w:rsid w:val="008903E9"/>
    <w:rsid w:val="008916BB"/>
    <w:rsid w:val="00893554"/>
    <w:rsid w:val="008947F0"/>
    <w:rsid w:val="00894991"/>
    <w:rsid w:val="008A0406"/>
    <w:rsid w:val="008A1AEA"/>
    <w:rsid w:val="008B0854"/>
    <w:rsid w:val="008B5357"/>
    <w:rsid w:val="008B5B20"/>
    <w:rsid w:val="008C1734"/>
    <w:rsid w:val="008C20A2"/>
    <w:rsid w:val="008C3194"/>
    <w:rsid w:val="008C5D60"/>
    <w:rsid w:val="008D0A11"/>
    <w:rsid w:val="008D34C3"/>
    <w:rsid w:val="008D6920"/>
    <w:rsid w:val="008E7327"/>
    <w:rsid w:val="008F379B"/>
    <w:rsid w:val="008F67A7"/>
    <w:rsid w:val="00903AA1"/>
    <w:rsid w:val="0091395D"/>
    <w:rsid w:val="00916846"/>
    <w:rsid w:val="00926F55"/>
    <w:rsid w:val="00937325"/>
    <w:rsid w:val="009421AA"/>
    <w:rsid w:val="0094297D"/>
    <w:rsid w:val="00942A9C"/>
    <w:rsid w:val="009448B6"/>
    <w:rsid w:val="009515D3"/>
    <w:rsid w:val="00951E42"/>
    <w:rsid w:val="00953EFD"/>
    <w:rsid w:val="0095403A"/>
    <w:rsid w:val="00960572"/>
    <w:rsid w:val="00963BE5"/>
    <w:rsid w:val="00965209"/>
    <w:rsid w:val="00967102"/>
    <w:rsid w:val="00976E48"/>
    <w:rsid w:val="00977981"/>
    <w:rsid w:val="009821C4"/>
    <w:rsid w:val="00983437"/>
    <w:rsid w:val="009842AB"/>
    <w:rsid w:val="00984F98"/>
    <w:rsid w:val="0098588A"/>
    <w:rsid w:val="00995E90"/>
    <w:rsid w:val="009B1946"/>
    <w:rsid w:val="009B7FFA"/>
    <w:rsid w:val="009C3518"/>
    <w:rsid w:val="009C6063"/>
    <w:rsid w:val="009D5FBD"/>
    <w:rsid w:val="009D7C3C"/>
    <w:rsid w:val="009E7EB6"/>
    <w:rsid w:val="009F0426"/>
    <w:rsid w:val="00A003E9"/>
    <w:rsid w:val="00A010C3"/>
    <w:rsid w:val="00A16CDA"/>
    <w:rsid w:val="00A17CFA"/>
    <w:rsid w:val="00A21520"/>
    <w:rsid w:val="00A25AA3"/>
    <w:rsid w:val="00A30639"/>
    <w:rsid w:val="00A31A4A"/>
    <w:rsid w:val="00A42231"/>
    <w:rsid w:val="00A435FF"/>
    <w:rsid w:val="00A4389B"/>
    <w:rsid w:val="00A46FC9"/>
    <w:rsid w:val="00A56387"/>
    <w:rsid w:val="00A60754"/>
    <w:rsid w:val="00A631EA"/>
    <w:rsid w:val="00A70958"/>
    <w:rsid w:val="00A7195A"/>
    <w:rsid w:val="00A7326B"/>
    <w:rsid w:val="00A80C63"/>
    <w:rsid w:val="00A9100F"/>
    <w:rsid w:val="00A92010"/>
    <w:rsid w:val="00A95E14"/>
    <w:rsid w:val="00AA063C"/>
    <w:rsid w:val="00AA25E4"/>
    <w:rsid w:val="00AA3D02"/>
    <w:rsid w:val="00AA5069"/>
    <w:rsid w:val="00AA5A87"/>
    <w:rsid w:val="00AA6015"/>
    <w:rsid w:val="00AC4783"/>
    <w:rsid w:val="00AC5C7D"/>
    <w:rsid w:val="00AD0DAB"/>
    <w:rsid w:val="00AD1C8C"/>
    <w:rsid w:val="00AD20CC"/>
    <w:rsid w:val="00AE5F15"/>
    <w:rsid w:val="00AF7040"/>
    <w:rsid w:val="00B02656"/>
    <w:rsid w:val="00B060F8"/>
    <w:rsid w:val="00B0699D"/>
    <w:rsid w:val="00B204AF"/>
    <w:rsid w:val="00B2252E"/>
    <w:rsid w:val="00B2262A"/>
    <w:rsid w:val="00B22AAB"/>
    <w:rsid w:val="00B262FB"/>
    <w:rsid w:val="00B304DB"/>
    <w:rsid w:val="00B43B9C"/>
    <w:rsid w:val="00B52CF9"/>
    <w:rsid w:val="00B74F9A"/>
    <w:rsid w:val="00B775ED"/>
    <w:rsid w:val="00B8369F"/>
    <w:rsid w:val="00B8506C"/>
    <w:rsid w:val="00B902B6"/>
    <w:rsid w:val="00B95703"/>
    <w:rsid w:val="00BA3B54"/>
    <w:rsid w:val="00BA7E99"/>
    <w:rsid w:val="00BB68A6"/>
    <w:rsid w:val="00BB78B2"/>
    <w:rsid w:val="00BC0E92"/>
    <w:rsid w:val="00BC1C58"/>
    <w:rsid w:val="00BC27D3"/>
    <w:rsid w:val="00BD0C5C"/>
    <w:rsid w:val="00BD0EA1"/>
    <w:rsid w:val="00BD1135"/>
    <w:rsid w:val="00BD6674"/>
    <w:rsid w:val="00BD6F46"/>
    <w:rsid w:val="00BE0DC6"/>
    <w:rsid w:val="00BE6A61"/>
    <w:rsid w:val="00BF032C"/>
    <w:rsid w:val="00BF0416"/>
    <w:rsid w:val="00BF5F73"/>
    <w:rsid w:val="00BF6E3E"/>
    <w:rsid w:val="00C017C3"/>
    <w:rsid w:val="00C077B2"/>
    <w:rsid w:val="00C1211F"/>
    <w:rsid w:val="00C22E4A"/>
    <w:rsid w:val="00C23C58"/>
    <w:rsid w:val="00C24A4A"/>
    <w:rsid w:val="00C2651A"/>
    <w:rsid w:val="00C36DB3"/>
    <w:rsid w:val="00C419DF"/>
    <w:rsid w:val="00C41FA2"/>
    <w:rsid w:val="00C56DC2"/>
    <w:rsid w:val="00C56E17"/>
    <w:rsid w:val="00C62DF1"/>
    <w:rsid w:val="00C63241"/>
    <w:rsid w:val="00C67BD4"/>
    <w:rsid w:val="00C71E76"/>
    <w:rsid w:val="00C73BFB"/>
    <w:rsid w:val="00C773C1"/>
    <w:rsid w:val="00C823C4"/>
    <w:rsid w:val="00C8603E"/>
    <w:rsid w:val="00C9269C"/>
    <w:rsid w:val="00C96944"/>
    <w:rsid w:val="00CA361C"/>
    <w:rsid w:val="00CB4FE1"/>
    <w:rsid w:val="00CD1AA6"/>
    <w:rsid w:val="00CD496E"/>
    <w:rsid w:val="00CD5211"/>
    <w:rsid w:val="00CE5B07"/>
    <w:rsid w:val="00CE7C14"/>
    <w:rsid w:val="00D01232"/>
    <w:rsid w:val="00D0591E"/>
    <w:rsid w:val="00D077F3"/>
    <w:rsid w:val="00D14F26"/>
    <w:rsid w:val="00D3242C"/>
    <w:rsid w:val="00D33143"/>
    <w:rsid w:val="00D34826"/>
    <w:rsid w:val="00D40345"/>
    <w:rsid w:val="00D41F38"/>
    <w:rsid w:val="00D435CF"/>
    <w:rsid w:val="00D45E5E"/>
    <w:rsid w:val="00D47B32"/>
    <w:rsid w:val="00D47DC4"/>
    <w:rsid w:val="00D52487"/>
    <w:rsid w:val="00D533E5"/>
    <w:rsid w:val="00D561C3"/>
    <w:rsid w:val="00D56B71"/>
    <w:rsid w:val="00D579C6"/>
    <w:rsid w:val="00D627EE"/>
    <w:rsid w:val="00D63376"/>
    <w:rsid w:val="00D65CDD"/>
    <w:rsid w:val="00D70830"/>
    <w:rsid w:val="00D72D4B"/>
    <w:rsid w:val="00D74CA7"/>
    <w:rsid w:val="00D8441D"/>
    <w:rsid w:val="00D923AC"/>
    <w:rsid w:val="00D929C4"/>
    <w:rsid w:val="00DA0F0D"/>
    <w:rsid w:val="00DA3FE6"/>
    <w:rsid w:val="00DA64D0"/>
    <w:rsid w:val="00DA68ED"/>
    <w:rsid w:val="00DB52A9"/>
    <w:rsid w:val="00DC35CB"/>
    <w:rsid w:val="00DE590A"/>
    <w:rsid w:val="00DF24F8"/>
    <w:rsid w:val="00DF63A0"/>
    <w:rsid w:val="00DF7AAC"/>
    <w:rsid w:val="00E151D5"/>
    <w:rsid w:val="00E2161D"/>
    <w:rsid w:val="00E30999"/>
    <w:rsid w:val="00E32375"/>
    <w:rsid w:val="00E332C9"/>
    <w:rsid w:val="00E34CC7"/>
    <w:rsid w:val="00E35C8E"/>
    <w:rsid w:val="00E406C6"/>
    <w:rsid w:val="00E40748"/>
    <w:rsid w:val="00E43787"/>
    <w:rsid w:val="00E43F8F"/>
    <w:rsid w:val="00E44D0A"/>
    <w:rsid w:val="00E4564D"/>
    <w:rsid w:val="00E556E6"/>
    <w:rsid w:val="00E565D0"/>
    <w:rsid w:val="00E6030F"/>
    <w:rsid w:val="00E65231"/>
    <w:rsid w:val="00E67A55"/>
    <w:rsid w:val="00E72062"/>
    <w:rsid w:val="00E77486"/>
    <w:rsid w:val="00E80B02"/>
    <w:rsid w:val="00E83618"/>
    <w:rsid w:val="00E869AE"/>
    <w:rsid w:val="00E91797"/>
    <w:rsid w:val="00E973A8"/>
    <w:rsid w:val="00EA0BCD"/>
    <w:rsid w:val="00EA1BDB"/>
    <w:rsid w:val="00EA38C5"/>
    <w:rsid w:val="00EA5E09"/>
    <w:rsid w:val="00EA7816"/>
    <w:rsid w:val="00EA7D3A"/>
    <w:rsid w:val="00EB373A"/>
    <w:rsid w:val="00EB4A28"/>
    <w:rsid w:val="00EB6B9E"/>
    <w:rsid w:val="00EC2946"/>
    <w:rsid w:val="00EC4AD7"/>
    <w:rsid w:val="00EC640F"/>
    <w:rsid w:val="00EE2AEC"/>
    <w:rsid w:val="00EE54E1"/>
    <w:rsid w:val="00EE5915"/>
    <w:rsid w:val="00EF12C9"/>
    <w:rsid w:val="00EF14D0"/>
    <w:rsid w:val="00F017FB"/>
    <w:rsid w:val="00F04DA0"/>
    <w:rsid w:val="00F11A36"/>
    <w:rsid w:val="00F157FB"/>
    <w:rsid w:val="00F17ADF"/>
    <w:rsid w:val="00F21752"/>
    <w:rsid w:val="00F22C58"/>
    <w:rsid w:val="00F314A1"/>
    <w:rsid w:val="00F32153"/>
    <w:rsid w:val="00F343FA"/>
    <w:rsid w:val="00F35DD2"/>
    <w:rsid w:val="00F424E7"/>
    <w:rsid w:val="00F43AEA"/>
    <w:rsid w:val="00F53F69"/>
    <w:rsid w:val="00F54489"/>
    <w:rsid w:val="00F55470"/>
    <w:rsid w:val="00F55CAE"/>
    <w:rsid w:val="00F56070"/>
    <w:rsid w:val="00F56825"/>
    <w:rsid w:val="00F56BE7"/>
    <w:rsid w:val="00F60EBC"/>
    <w:rsid w:val="00F6189C"/>
    <w:rsid w:val="00F61F08"/>
    <w:rsid w:val="00F67FC7"/>
    <w:rsid w:val="00F709CA"/>
    <w:rsid w:val="00F74720"/>
    <w:rsid w:val="00F755FA"/>
    <w:rsid w:val="00F758F4"/>
    <w:rsid w:val="00F7672C"/>
    <w:rsid w:val="00F8545E"/>
    <w:rsid w:val="00F856F3"/>
    <w:rsid w:val="00F8608A"/>
    <w:rsid w:val="00F86910"/>
    <w:rsid w:val="00F97431"/>
    <w:rsid w:val="00FA2A6F"/>
    <w:rsid w:val="00FB2026"/>
    <w:rsid w:val="00FB3402"/>
    <w:rsid w:val="00FB4DD0"/>
    <w:rsid w:val="00FC611B"/>
    <w:rsid w:val="00FC6CFD"/>
    <w:rsid w:val="00FD0793"/>
    <w:rsid w:val="00FD69D7"/>
    <w:rsid w:val="00FE7CCD"/>
    <w:rsid w:val="00FE7EEB"/>
    <w:rsid w:val="00FE7FE5"/>
    <w:rsid w:val="00FF0E03"/>
    <w:rsid w:val="00FF2F61"/>
    <w:rsid w:val="00FF46B9"/>
    <w:rsid w:val="00FF63AD"/>
    <w:rsid w:val="00FF6729"/>
    <w:rsid w:val="01164A77"/>
    <w:rsid w:val="01311D17"/>
    <w:rsid w:val="014038D3"/>
    <w:rsid w:val="015123B9"/>
    <w:rsid w:val="016B0214"/>
    <w:rsid w:val="01917894"/>
    <w:rsid w:val="01A00C4B"/>
    <w:rsid w:val="01B97525"/>
    <w:rsid w:val="01C30DF7"/>
    <w:rsid w:val="01E878E7"/>
    <w:rsid w:val="01F3290A"/>
    <w:rsid w:val="01F37DE7"/>
    <w:rsid w:val="01F61C50"/>
    <w:rsid w:val="01F671EF"/>
    <w:rsid w:val="01F95703"/>
    <w:rsid w:val="01FA2C0B"/>
    <w:rsid w:val="01FD2C1A"/>
    <w:rsid w:val="0200793B"/>
    <w:rsid w:val="02013E0C"/>
    <w:rsid w:val="02064CB5"/>
    <w:rsid w:val="021B6523"/>
    <w:rsid w:val="02201ADC"/>
    <w:rsid w:val="022E26FA"/>
    <w:rsid w:val="025F68E9"/>
    <w:rsid w:val="027A79A3"/>
    <w:rsid w:val="02B669FD"/>
    <w:rsid w:val="02D346F7"/>
    <w:rsid w:val="02D37AE1"/>
    <w:rsid w:val="02E448D5"/>
    <w:rsid w:val="02E607A3"/>
    <w:rsid w:val="02ED1C6E"/>
    <w:rsid w:val="03034238"/>
    <w:rsid w:val="030C6666"/>
    <w:rsid w:val="031D2F23"/>
    <w:rsid w:val="03306128"/>
    <w:rsid w:val="03343E5C"/>
    <w:rsid w:val="035245C3"/>
    <w:rsid w:val="03532A8B"/>
    <w:rsid w:val="035D3B47"/>
    <w:rsid w:val="03740DA9"/>
    <w:rsid w:val="037F1465"/>
    <w:rsid w:val="039E1DCA"/>
    <w:rsid w:val="03A71F10"/>
    <w:rsid w:val="03BD1499"/>
    <w:rsid w:val="03CF75C5"/>
    <w:rsid w:val="03D34DCC"/>
    <w:rsid w:val="03EB12CE"/>
    <w:rsid w:val="042F236B"/>
    <w:rsid w:val="04564310"/>
    <w:rsid w:val="046F3719"/>
    <w:rsid w:val="04737FBB"/>
    <w:rsid w:val="0475648B"/>
    <w:rsid w:val="048B5FB4"/>
    <w:rsid w:val="048E56D2"/>
    <w:rsid w:val="049525BD"/>
    <w:rsid w:val="049D0D0D"/>
    <w:rsid w:val="04B7137A"/>
    <w:rsid w:val="04C80176"/>
    <w:rsid w:val="04DE38EC"/>
    <w:rsid w:val="04F0769E"/>
    <w:rsid w:val="04F82B4C"/>
    <w:rsid w:val="05063B48"/>
    <w:rsid w:val="051E41F2"/>
    <w:rsid w:val="053371A8"/>
    <w:rsid w:val="05352AAE"/>
    <w:rsid w:val="05432019"/>
    <w:rsid w:val="055C132D"/>
    <w:rsid w:val="056A1815"/>
    <w:rsid w:val="056A3A4A"/>
    <w:rsid w:val="05791EDF"/>
    <w:rsid w:val="05AD1B88"/>
    <w:rsid w:val="05B97AAD"/>
    <w:rsid w:val="05CE7A54"/>
    <w:rsid w:val="05DB22F2"/>
    <w:rsid w:val="05EA5181"/>
    <w:rsid w:val="05FD3AFF"/>
    <w:rsid w:val="06022278"/>
    <w:rsid w:val="0607573C"/>
    <w:rsid w:val="060A3D7B"/>
    <w:rsid w:val="060B16EF"/>
    <w:rsid w:val="061C4744"/>
    <w:rsid w:val="062570C3"/>
    <w:rsid w:val="06443FD4"/>
    <w:rsid w:val="06480444"/>
    <w:rsid w:val="069B6956"/>
    <w:rsid w:val="06A504EC"/>
    <w:rsid w:val="06AA75C7"/>
    <w:rsid w:val="06B21B80"/>
    <w:rsid w:val="06B523B4"/>
    <w:rsid w:val="06B8233A"/>
    <w:rsid w:val="06B864B9"/>
    <w:rsid w:val="06D6265A"/>
    <w:rsid w:val="06E273A3"/>
    <w:rsid w:val="06F204F8"/>
    <w:rsid w:val="07277E4A"/>
    <w:rsid w:val="07285B9A"/>
    <w:rsid w:val="07312958"/>
    <w:rsid w:val="074A3B33"/>
    <w:rsid w:val="074E4D11"/>
    <w:rsid w:val="07583439"/>
    <w:rsid w:val="0774473E"/>
    <w:rsid w:val="07761957"/>
    <w:rsid w:val="078D7EC3"/>
    <w:rsid w:val="078E5986"/>
    <w:rsid w:val="07B0770E"/>
    <w:rsid w:val="07BF4B46"/>
    <w:rsid w:val="07CF67A4"/>
    <w:rsid w:val="07D33E57"/>
    <w:rsid w:val="07E07279"/>
    <w:rsid w:val="07E66441"/>
    <w:rsid w:val="07F7358F"/>
    <w:rsid w:val="08061610"/>
    <w:rsid w:val="0807018B"/>
    <w:rsid w:val="080F0AF7"/>
    <w:rsid w:val="0822060B"/>
    <w:rsid w:val="08234384"/>
    <w:rsid w:val="085A5FF7"/>
    <w:rsid w:val="085E77F2"/>
    <w:rsid w:val="08601CA5"/>
    <w:rsid w:val="08607386"/>
    <w:rsid w:val="086A214F"/>
    <w:rsid w:val="087F48B1"/>
    <w:rsid w:val="088E7D78"/>
    <w:rsid w:val="0893616A"/>
    <w:rsid w:val="08A301E0"/>
    <w:rsid w:val="08BA4CE8"/>
    <w:rsid w:val="08D31906"/>
    <w:rsid w:val="08D92472"/>
    <w:rsid w:val="08DB478B"/>
    <w:rsid w:val="08F22A9E"/>
    <w:rsid w:val="091769B7"/>
    <w:rsid w:val="09197F2C"/>
    <w:rsid w:val="091E5277"/>
    <w:rsid w:val="09281AE0"/>
    <w:rsid w:val="09357325"/>
    <w:rsid w:val="093700E7"/>
    <w:rsid w:val="0944330F"/>
    <w:rsid w:val="09546473"/>
    <w:rsid w:val="09573DEF"/>
    <w:rsid w:val="096C18EB"/>
    <w:rsid w:val="096C547C"/>
    <w:rsid w:val="097213F3"/>
    <w:rsid w:val="097D251D"/>
    <w:rsid w:val="098047A7"/>
    <w:rsid w:val="09804E9F"/>
    <w:rsid w:val="099A637A"/>
    <w:rsid w:val="099C24CF"/>
    <w:rsid w:val="09BD687E"/>
    <w:rsid w:val="0A172BED"/>
    <w:rsid w:val="0A206DCD"/>
    <w:rsid w:val="0A32400C"/>
    <w:rsid w:val="0A590531"/>
    <w:rsid w:val="0A7E7828"/>
    <w:rsid w:val="0A960A6B"/>
    <w:rsid w:val="0A98010A"/>
    <w:rsid w:val="0AA07F0D"/>
    <w:rsid w:val="0AAC0660"/>
    <w:rsid w:val="0AB72DDD"/>
    <w:rsid w:val="0AB80DB3"/>
    <w:rsid w:val="0AC0410C"/>
    <w:rsid w:val="0AC73DC4"/>
    <w:rsid w:val="0AD80F34"/>
    <w:rsid w:val="0AF34386"/>
    <w:rsid w:val="0AF662AE"/>
    <w:rsid w:val="0B0E26C8"/>
    <w:rsid w:val="0B1541E7"/>
    <w:rsid w:val="0B274761"/>
    <w:rsid w:val="0B346345"/>
    <w:rsid w:val="0B4F2300"/>
    <w:rsid w:val="0B521208"/>
    <w:rsid w:val="0B616FA4"/>
    <w:rsid w:val="0B702C02"/>
    <w:rsid w:val="0B745622"/>
    <w:rsid w:val="0B7D48FF"/>
    <w:rsid w:val="0B8012D2"/>
    <w:rsid w:val="0B8E1012"/>
    <w:rsid w:val="0B931424"/>
    <w:rsid w:val="0BA23811"/>
    <w:rsid w:val="0BB7152E"/>
    <w:rsid w:val="0BBC48D3"/>
    <w:rsid w:val="0BC33EB3"/>
    <w:rsid w:val="0BC4723C"/>
    <w:rsid w:val="0BC72D6B"/>
    <w:rsid w:val="0BD04B76"/>
    <w:rsid w:val="0BD658E7"/>
    <w:rsid w:val="0BD7795F"/>
    <w:rsid w:val="0BE1433A"/>
    <w:rsid w:val="0BE74F15"/>
    <w:rsid w:val="0C057702"/>
    <w:rsid w:val="0C1629EF"/>
    <w:rsid w:val="0C213484"/>
    <w:rsid w:val="0C2A2BAB"/>
    <w:rsid w:val="0C2F7E00"/>
    <w:rsid w:val="0C337593"/>
    <w:rsid w:val="0C50326D"/>
    <w:rsid w:val="0C546C96"/>
    <w:rsid w:val="0C6256E0"/>
    <w:rsid w:val="0C647A28"/>
    <w:rsid w:val="0C870EF4"/>
    <w:rsid w:val="0C9775F7"/>
    <w:rsid w:val="0CB436E8"/>
    <w:rsid w:val="0CB52FB8"/>
    <w:rsid w:val="0CFF0057"/>
    <w:rsid w:val="0D102BB5"/>
    <w:rsid w:val="0D136775"/>
    <w:rsid w:val="0D177805"/>
    <w:rsid w:val="0D307FED"/>
    <w:rsid w:val="0D462F5B"/>
    <w:rsid w:val="0D527E74"/>
    <w:rsid w:val="0D533015"/>
    <w:rsid w:val="0D70006B"/>
    <w:rsid w:val="0D780753"/>
    <w:rsid w:val="0D7C7B7B"/>
    <w:rsid w:val="0D7D4536"/>
    <w:rsid w:val="0D801668"/>
    <w:rsid w:val="0D8C4C0C"/>
    <w:rsid w:val="0D9244CF"/>
    <w:rsid w:val="0DA6485B"/>
    <w:rsid w:val="0DA66846"/>
    <w:rsid w:val="0DAB2E51"/>
    <w:rsid w:val="0DC30CBA"/>
    <w:rsid w:val="0DDE5C2E"/>
    <w:rsid w:val="0DFA4D41"/>
    <w:rsid w:val="0E09061B"/>
    <w:rsid w:val="0E1925C4"/>
    <w:rsid w:val="0E1B3897"/>
    <w:rsid w:val="0E1D07C2"/>
    <w:rsid w:val="0E22588D"/>
    <w:rsid w:val="0E295BF9"/>
    <w:rsid w:val="0E29697F"/>
    <w:rsid w:val="0E306AE6"/>
    <w:rsid w:val="0E3177FA"/>
    <w:rsid w:val="0E3F42DF"/>
    <w:rsid w:val="0E407913"/>
    <w:rsid w:val="0E415563"/>
    <w:rsid w:val="0E511205"/>
    <w:rsid w:val="0E6E2065"/>
    <w:rsid w:val="0EA15B62"/>
    <w:rsid w:val="0EC37DFB"/>
    <w:rsid w:val="0ECD1762"/>
    <w:rsid w:val="0EE5178E"/>
    <w:rsid w:val="0EFE3455"/>
    <w:rsid w:val="0F346E76"/>
    <w:rsid w:val="0F457322"/>
    <w:rsid w:val="0F4C71A5"/>
    <w:rsid w:val="0F4E10C9"/>
    <w:rsid w:val="0F587009"/>
    <w:rsid w:val="0F5C6E37"/>
    <w:rsid w:val="0F655A1E"/>
    <w:rsid w:val="0F97145F"/>
    <w:rsid w:val="0FA04519"/>
    <w:rsid w:val="0FC5251E"/>
    <w:rsid w:val="0FC621C4"/>
    <w:rsid w:val="0FD1429A"/>
    <w:rsid w:val="0FDA17CC"/>
    <w:rsid w:val="0FE55601"/>
    <w:rsid w:val="0FFA018F"/>
    <w:rsid w:val="100121CB"/>
    <w:rsid w:val="100A5E45"/>
    <w:rsid w:val="1051674C"/>
    <w:rsid w:val="106D5EC4"/>
    <w:rsid w:val="1076213B"/>
    <w:rsid w:val="107A3E35"/>
    <w:rsid w:val="109E016A"/>
    <w:rsid w:val="10A21880"/>
    <w:rsid w:val="10B309F0"/>
    <w:rsid w:val="10B6400D"/>
    <w:rsid w:val="10B93EAC"/>
    <w:rsid w:val="10C05D7B"/>
    <w:rsid w:val="10CA1347"/>
    <w:rsid w:val="10DA72A9"/>
    <w:rsid w:val="10DE674D"/>
    <w:rsid w:val="11005262"/>
    <w:rsid w:val="110425E4"/>
    <w:rsid w:val="111331E7"/>
    <w:rsid w:val="112A25C0"/>
    <w:rsid w:val="115033D9"/>
    <w:rsid w:val="115455AE"/>
    <w:rsid w:val="117048C5"/>
    <w:rsid w:val="117143B2"/>
    <w:rsid w:val="117760A5"/>
    <w:rsid w:val="118A2253"/>
    <w:rsid w:val="11A021F8"/>
    <w:rsid w:val="11AD426E"/>
    <w:rsid w:val="11B06995"/>
    <w:rsid w:val="11B14D4D"/>
    <w:rsid w:val="11C0052E"/>
    <w:rsid w:val="11D16ECB"/>
    <w:rsid w:val="11D85406"/>
    <w:rsid w:val="11ED3C7D"/>
    <w:rsid w:val="12160F3D"/>
    <w:rsid w:val="12323B41"/>
    <w:rsid w:val="124949E7"/>
    <w:rsid w:val="124B4801"/>
    <w:rsid w:val="124D2729"/>
    <w:rsid w:val="126F278D"/>
    <w:rsid w:val="127663F0"/>
    <w:rsid w:val="12866A7B"/>
    <w:rsid w:val="128B4FFF"/>
    <w:rsid w:val="12955E7E"/>
    <w:rsid w:val="12AB3870"/>
    <w:rsid w:val="12BB31E6"/>
    <w:rsid w:val="12D15D0D"/>
    <w:rsid w:val="12DF1144"/>
    <w:rsid w:val="12E24E19"/>
    <w:rsid w:val="12EA61CA"/>
    <w:rsid w:val="12F34C62"/>
    <w:rsid w:val="12F56762"/>
    <w:rsid w:val="12F643C7"/>
    <w:rsid w:val="130A04BB"/>
    <w:rsid w:val="13207E3D"/>
    <w:rsid w:val="1321385B"/>
    <w:rsid w:val="13220F5F"/>
    <w:rsid w:val="13247647"/>
    <w:rsid w:val="132D1B34"/>
    <w:rsid w:val="13337B71"/>
    <w:rsid w:val="133438E9"/>
    <w:rsid w:val="13441D7E"/>
    <w:rsid w:val="136664A0"/>
    <w:rsid w:val="136B6693"/>
    <w:rsid w:val="137C1C8F"/>
    <w:rsid w:val="138764B6"/>
    <w:rsid w:val="13A13B8C"/>
    <w:rsid w:val="13BC3401"/>
    <w:rsid w:val="13C37F68"/>
    <w:rsid w:val="13CB3188"/>
    <w:rsid w:val="13CD2A8C"/>
    <w:rsid w:val="13DF3855"/>
    <w:rsid w:val="13E039BA"/>
    <w:rsid w:val="13E61520"/>
    <w:rsid w:val="13F637CD"/>
    <w:rsid w:val="140806B7"/>
    <w:rsid w:val="141D6EBE"/>
    <w:rsid w:val="142F05CE"/>
    <w:rsid w:val="14323171"/>
    <w:rsid w:val="14360F37"/>
    <w:rsid w:val="14364EC1"/>
    <w:rsid w:val="143E63F9"/>
    <w:rsid w:val="144A4FC4"/>
    <w:rsid w:val="145C566D"/>
    <w:rsid w:val="146E1D08"/>
    <w:rsid w:val="1487230E"/>
    <w:rsid w:val="14B76C54"/>
    <w:rsid w:val="14C52A4A"/>
    <w:rsid w:val="14C84A35"/>
    <w:rsid w:val="14CA0061"/>
    <w:rsid w:val="14D80E5F"/>
    <w:rsid w:val="14EC3E47"/>
    <w:rsid w:val="15240574"/>
    <w:rsid w:val="152500E3"/>
    <w:rsid w:val="152F25BA"/>
    <w:rsid w:val="154C514C"/>
    <w:rsid w:val="154F6C3C"/>
    <w:rsid w:val="15623122"/>
    <w:rsid w:val="1574656B"/>
    <w:rsid w:val="15856A55"/>
    <w:rsid w:val="15883C49"/>
    <w:rsid w:val="158D1EAF"/>
    <w:rsid w:val="1596310C"/>
    <w:rsid w:val="15A467AF"/>
    <w:rsid w:val="15AA2453"/>
    <w:rsid w:val="15BC36F9"/>
    <w:rsid w:val="15CA4C2B"/>
    <w:rsid w:val="15E2368E"/>
    <w:rsid w:val="15E84C14"/>
    <w:rsid w:val="15EE4223"/>
    <w:rsid w:val="15F0479D"/>
    <w:rsid w:val="15F25956"/>
    <w:rsid w:val="160459EA"/>
    <w:rsid w:val="16095A74"/>
    <w:rsid w:val="161A6DC6"/>
    <w:rsid w:val="161E1735"/>
    <w:rsid w:val="162E2871"/>
    <w:rsid w:val="163B5EDD"/>
    <w:rsid w:val="167D1059"/>
    <w:rsid w:val="168D0143"/>
    <w:rsid w:val="16907088"/>
    <w:rsid w:val="16D63253"/>
    <w:rsid w:val="16DE3544"/>
    <w:rsid w:val="16E01092"/>
    <w:rsid w:val="16F359DD"/>
    <w:rsid w:val="16FA3DEE"/>
    <w:rsid w:val="16FE5A71"/>
    <w:rsid w:val="17005FBC"/>
    <w:rsid w:val="170B5EA3"/>
    <w:rsid w:val="171320B4"/>
    <w:rsid w:val="173E6ABA"/>
    <w:rsid w:val="175B0F1E"/>
    <w:rsid w:val="177F092F"/>
    <w:rsid w:val="178F10EE"/>
    <w:rsid w:val="1792140E"/>
    <w:rsid w:val="17933799"/>
    <w:rsid w:val="17BF185E"/>
    <w:rsid w:val="17BF6EB3"/>
    <w:rsid w:val="17D8444E"/>
    <w:rsid w:val="17E23913"/>
    <w:rsid w:val="17E47CAD"/>
    <w:rsid w:val="17E625C2"/>
    <w:rsid w:val="17E849CD"/>
    <w:rsid w:val="17F075E3"/>
    <w:rsid w:val="17F457F1"/>
    <w:rsid w:val="17F87C6E"/>
    <w:rsid w:val="18025FDB"/>
    <w:rsid w:val="18051D7D"/>
    <w:rsid w:val="181D35D1"/>
    <w:rsid w:val="18335364"/>
    <w:rsid w:val="18396CD2"/>
    <w:rsid w:val="183B771E"/>
    <w:rsid w:val="185901D9"/>
    <w:rsid w:val="18592360"/>
    <w:rsid w:val="185A5BA0"/>
    <w:rsid w:val="186B4CDF"/>
    <w:rsid w:val="18710801"/>
    <w:rsid w:val="187212AC"/>
    <w:rsid w:val="187C02E7"/>
    <w:rsid w:val="18896F0C"/>
    <w:rsid w:val="18B011F1"/>
    <w:rsid w:val="18B36492"/>
    <w:rsid w:val="18CD6371"/>
    <w:rsid w:val="18DC65B5"/>
    <w:rsid w:val="18F2497C"/>
    <w:rsid w:val="190229CF"/>
    <w:rsid w:val="19097E8D"/>
    <w:rsid w:val="192341E3"/>
    <w:rsid w:val="19720CC7"/>
    <w:rsid w:val="1978688C"/>
    <w:rsid w:val="1997132A"/>
    <w:rsid w:val="199A10B7"/>
    <w:rsid w:val="19A075E2"/>
    <w:rsid w:val="19B72B7E"/>
    <w:rsid w:val="19C01A32"/>
    <w:rsid w:val="19CC2B35"/>
    <w:rsid w:val="19CF6119"/>
    <w:rsid w:val="19FB6C73"/>
    <w:rsid w:val="19FC2762"/>
    <w:rsid w:val="1A246AEB"/>
    <w:rsid w:val="1A2B7B75"/>
    <w:rsid w:val="1A313A5B"/>
    <w:rsid w:val="1A402B73"/>
    <w:rsid w:val="1A442663"/>
    <w:rsid w:val="1A5716FB"/>
    <w:rsid w:val="1A575719"/>
    <w:rsid w:val="1A613215"/>
    <w:rsid w:val="1A683AA6"/>
    <w:rsid w:val="1A887C1A"/>
    <w:rsid w:val="1A9D028E"/>
    <w:rsid w:val="1AA21277"/>
    <w:rsid w:val="1AA33380"/>
    <w:rsid w:val="1AA82939"/>
    <w:rsid w:val="1AB377E9"/>
    <w:rsid w:val="1ABF2240"/>
    <w:rsid w:val="1AD67034"/>
    <w:rsid w:val="1AEE4B5E"/>
    <w:rsid w:val="1B010554"/>
    <w:rsid w:val="1B17775C"/>
    <w:rsid w:val="1B177D78"/>
    <w:rsid w:val="1B1E4CC6"/>
    <w:rsid w:val="1B1F09DB"/>
    <w:rsid w:val="1B211756"/>
    <w:rsid w:val="1B291859"/>
    <w:rsid w:val="1B2A271F"/>
    <w:rsid w:val="1B5C1491"/>
    <w:rsid w:val="1B5D25D3"/>
    <w:rsid w:val="1B6F4B4B"/>
    <w:rsid w:val="1B7452CD"/>
    <w:rsid w:val="1B7937A7"/>
    <w:rsid w:val="1B895EE0"/>
    <w:rsid w:val="1BB13D28"/>
    <w:rsid w:val="1BBA4C58"/>
    <w:rsid w:val="1BC33A5C"/>
    <w:rsid w:val="1BD50639"/>
    <w:rsid w:val="1BD937BC"/>
    <w:rsid w:val="1BF06A09"/>
    <w:rsid w:val="1BF65128"/>
    <w:rsid w:val="1C0F742A"/>
    <w:rsid w:val="1C1945A6"/>
    <w:rsid w:val="1C1D7513"/>
    <w:rsid w:val="1C2D098F"/>
    <w:rsid w:val="1C4824DF"/>
    <w:rsid w:val="1C5967C2"/>
    <w:rsid w:val="1C60574F"/>
    <w:rsid w:val="1C656C23"/>
    <w:rsid w:val="1C6C5454"/>
    <w:rsid w:val="1C8A3438"/>
    <w:rsid w:val="1CA3588B"/>
    <w:rsid w:val="1CAE3454"/>
    <w:rsid w:val="1CBD66FD"/>
    <w:rsid w:val="1CD170A5"/>
    <w:rsid w:val="1CDD0B4D"/>
    <w:rsid w:val="1CE046C9"/>
    <w:rsid w:val="1D0667AD"/>
    <w:rsid w:val="1D1B167A"/>
    <w:rsid w:val="1D3544E5"/>
    <w:rsid w:val="1D3A5A10"/>
    <w:rsid w:val="1D5D1F6D"/>
    <w:rsid w:val="1D613C19"/>
    <w:rsid w:val="1D6B6159"/>
    <w:rsid w:val="1D7033EA"/>
    <w:rsid w:val="1D723096"/>
    <w:rsid w:val="1D866C02"/>
    <w:rsid w:val="1DB34357"/>
    <w:rsid w:val="1DBE594D"/>
    <w:rsid w:val="1DDE692B"/>
    <w:rsid w:val="1DF63C75"/>
    <w:rsid w:val="1DFB128B"/>
    <w:rsid w:val="1DFD40CD"/>
    <w:rsid w:val="1DFF4788"/>
    <w:rsid w:val="1E0A702C"/>
    <w:rsid w:val="1E1B7B7F"/>
    <w:rsid w:val="1E214C26"/>
    <w:rsid w:val="1E320E33"/>
    <w:rsid w:val="1E430E84"/>
    <w:rsid w:val="1E45225B"/>
    <w:rsid w:val="1E477F11"/>
    <w:rsid w:val="1E483082"/>
    <w:rsid w:val="1E63486F"/>
    <w:rsid w:val="1E845724"/>
    <w:rsid w:val="1EB15DEE"/>
    <w:rsid w:val="1EB63404"/>
    <w:rsid w:val="1EB96638"/>
    <w:rsid w:val="1ED1023E"/>
    <w:rsid w:val="1ED3045A"/>
    <w:rsid w:val="1EE461C3"/>
    <w:rsid w:val="1EE73F05"/>
    <w:rsid w:val="1EF32682"/>
    <w:rsid w:val="1EF34658"/>
    <w:rsid w:val="1F0626C4"/>
    <w:rsid w:val="1F0A3228"/>
    <w:rsid w:val="1F0B0D8A"/>
    <w:rsid w:val="1F100258"/>
    <w:rsid w:val="1F3F6F65"/>
    <w:rsid w:val="1F407283"/>
    <w:rsid w:val="1F4C48BD"/>
    <w:rsid w:val="1F631E38"/>
    <w:rsid w:val="1F753185"/>
    <w:rsid w:val="1F841582"/>
    <w:rsid w:val="1F8F4381"/>
    <w:rsid w:val="1F923E71"/>
    <w:rsid w:val="1F941997"/>
    <w:rsid w:val="1F9C6082"/>
    <w:rsid w:val="1F9F20EA"/>
    <w:rsid w:val="1F9F7F81"/>
    <w:rsid w:val="1FA84DA5"/>
    <w:rsid w:val="1FAD781E"/>
    <w:rsid w:val="1FAE260D"/>
    <w:rsid w:val="1FB45B95"/>
    <w:rsid w:val="1FD1020D"/>
    <w:rsid w:val="200308CB"/>
    <w:rsid w:val="200A3F70"/>
    <w:rsid w:val="200E1C53"/>
    <w:rsid w:val="20186082"/>
    <w:rsid w:val="20286583"/>
    <w:rsid w:val="202C772C"/>
    <w:rsid w:val="203171E6"/>
    <w:rsid w:val="203767C6"/>
    <w:rsid w:val="203C0F45"/>
    <w:rsid w:val="203D1087"/>
    <w:rsid w:val="204443FE"/>
    <w:rsid w:val="204607B7"/>
    <w:rsid w:val="204C4020"/>
    <w:rsid w:val="205632FF"/>
    <w:rsid w:val="20660D56"/>
    <w:rsid w:val="20713A86"/>
    <w:rsid w:val="207548D4"/>
    <w:rsid w:val="207E0F00"/>
    <w:rsid w:val="20983B39"/>
    <w:rsid w:val="20A24BBD"/>
    <w:rsid w:val="20A774A8"/>
    <w:rsid w:val="20AD01D7"/>
    <w:rsid w:val="20AF6023"/>
    <w:rsid w:val="20BA1AE1"/>
    <w:rsid w:val="20CF5E7F"/>
    <w:rsid w:val="20D364EF"/>
    <w:rsid w:val="20DE1504"/>
    <w:rsid w:val="20E64474"/>
    <w:rsid w:val="20E9368B"/>
    <w:rsid w:val="20EF1769"/>
    <w:rsid w:val="21284ECA"/>
    <w:rsid w:val="212B00D9"/>
    <w:rsid w:val="21366A7E"/>
    <w:rsid w:val="215A751C"/>
    <w:rsid w:val="215F4766"/>
    <w:rsid w:val="216333D5"/>
    <w:rsid w:val="2168390B"/>
    <w:rsid w:val="216C1524"/>
    <w:rsid w:val="217774AF"/>
    <w:rsid w:val="21837A35"/>
    <w:rsid w:val="2185375B"/>
    <w:rsid w:val="21B41808"/>
    <w:rsid w:val="21C1096F"/>
    <w:rsid w:val="21E173C7"/>
    <w:rsid w:val="21E56E9A"/>
    <w:rsid w:val="21EA2970"/>
    <w:rsid w:val="21F47D0E"/>
    <w:rsid w:val="221225CA"/>
    <w:rsid w:val="22135B75"/>
    <w:rsid w:val="221B4682"/>
    <w:rsid w:val="221C138B"/>
    <w:rsid w:val="221C25CB"/>
    <w:rsid w:val="223009B6"/>
    <w:rsid w:val="22350AE4"/>
    <w:rsid w:val="224D407F"/>
    <w:rsid w:val="225A3C5D"/>
    <w:rsid w:val="227E248B"/>
    <w:rsid w:val="22B304A2"/>
    <w:rsid w:val="22F36350"/>
    <w:rsid w:val="22F535FA"/>
    <w:rsid w:val="23130E25"/>
    <w:rsid w:val="231E4F73"/>
    <w:rsid w:val="23386A7D"/>
    <w:rsid w:val="233F7DCA"/>
    <w:rsid w:val="23403BE4"/>
    <w:rsid w:val="23684505"/>
    <w:rsid w:val="237F77E2"/>
    <w:rsid w:val="23804D49"/>
    <w:rsid w:val="23965116"/>
    <w:rsid w:val="23BD3F0B"/>
    <w:rsid w:val="23BE2665"/>
    <w:rsid w:val="23D031BA"/>
    <w:rsid w:val="23DE7685"/>
    <w:rsid w:val="23F055C6"/>
    <w:rsid w:val="23FC7B97"/>
    <w:rsid w:val="24072635"/>
    <w:rsid w:val="24286B52"/>
    <w:rsid w:val="243D7784"/>
    <w:rsid w:val="24560E4E"/>
    <w:rsid w:val="24866EEE"/>
    <w:rsid w:val="24945C1D"/>
    <w:rsid w:val="24967F5F"/>
    <w:rsid w:val="24981B1E"/>
    <w:rsid w:val="249E3311"/>
    <w:rsid w:val="24B0357D"/>
    <w:rsid w:val="24B04F28"/>
    <w:rsid w:val="24BD6006"/>
    <w:rsid w:val="24C624D4"/>
    <w:rsid w:val="24C7369D"/>
    <w:rsid w:val="24DB0068"/>
    <w:rsid w:val="24E60522"/>
    <w:rsid w:val="24E8613B"/>
    <w:rsid w:val="24F728CC"/>
    <w:rsid w:val="24F7347E"/>
    <w:rsid w:val="24F9018D"/>
    <w:rsid w:val="250A6132"/>
    <w:rsid w:val="25140E84"/>
    <w:rsid w:val="25276E09"/>
    <w:rsid w:val="252E36C2"/>
    <w:rsid w:val="253B27C2"/>
    <w:rsid w:val="253E0642"/>
    <w:rsid w:val="255B7FD2"/>
    <w:rsid w:val="25626093"/>
    <w:rsid w:val="256B2D6E"/>
    <w:rsid w:val="257B496A"/>
    <w:rsid w:val="25801456"/>
    <w:rsid w:val="25897AC4"/>
    <w:rsid w:val="259D70CC"/>
    <w:rsid w:val="25B215E3"/>
    <w:rsid w:val="25CE3729"/>
    <w:rsid w:val="25DC5E46"/>
    <w:rsid w:val="25F21770"/>
    <w:rsid w:val="25FF6DE8"/>
    <w:rsid w:val="260E1545"/>
    <w:rsid w:val="263B5473"/>
    <w:rsid w:val="263F63D5"/>
    <w:rsid w:val="2640132A"/>
    <w:rsid w:val="264310FE"/>
    <w:rsid w:val="264A66CE"/>
    <w:rsid w:val="265260FC"/>
    <w:rsid w:val="265C3412"/>
    <w:rsid w:val="266B082C"/>
    <w:rsid w:val="266E404E"/>
    <w:rsid w:val="267077C7"/>
    <w:rsid w:val="26874BF2"/>
    <w:rsid w:val="268B2965"/>
    <w:rsid w:val="268E1A5C"/>
    <w:rsid w:val="26B90B00"/>
    <w:rsid w:val="26CB7B6F"/>
    <w:rsid w:val="27075101"/>
    <w:rsid w:val="271138CD"/>
    <w:rsid w:val="271625A8"/>
    <w:rsid w:val="27264473"/>
    <w:rsid w:val="273427DA"/>
    <w:rsid w:val="27403A7D"/>
    <w:rsid w:val="27480DA7"/>
    <w:rsid w:val="275237D6"/>
    <w:rsid w:val="275814FC"/>
    <w:rsid w:val="277104E3"/>
    <w:rsid w:val="27727EE2"/>
    <w:rsid w:val="27766B34"/>
    <w:rsid w:val="27785051"/>
    <w:rsid w:val="27985D9D"/>
    <w:rsid w:val="27A44A0A"/>
    <w:rsid w:val="27B17B6D"/>
    <w:rsid w:val="27BC0609"/>
    <w:rsid w:val="27CC2D21"/>
    <w:rsid w:val="27D0414E"/>
    <w:rsid w:val="280554C9"/>
    <w:rsid w:val="280D3E86"/>
    <w:rsid w:val="281C391F"/>
    <w:rsid w:val="283B1072"/>
    <w:rsid w:val="283C5DB3"/>
    <w:rsid w:val="28724840"/>
    <w:rsid w:val="28752360"/>
    <w:rsid w:val="287F01B3"/>
    <w:rsid w:val="289C5C7B"/>
    <w:rsid w:val="28AA3556"/>
    <w:rsid w:val="28AD37B6"/>
    <w:rsid w:val="28D027C1"/>
    <w:rsid w:val="28D74098"/>
    <w:rsid w:val="28D906B5"/>
    <w:rsid w:val="28E57C71"/>
    <w:rsid w:val="28EB2AD5"/>
    <w:rsid w:val="28EB3085"/>
    <w:rsid w:val="28F016C2"/>
    <w:rsid w:val="28FD43DB"/>
    <w:rsid w:val="290B2078"/>
    <w:rsid w:val="29195F6C"/>
    <w:rsid w:val="29275A5D"/>
    <w:rsid w:val="292B376C"/>
    <w:rsid w:val="29453F13"/>
    <w:rsid w:val="29506674"/>
    <w:rsid w:val="29524882"/>
    <w:rsid w:val="29542197"/>
    <w:rsid w:val="29581C87"/>
    <w:rsid w:val="296E3259"/>
    <w:rsid w:val="29724C94"/>
    <w:rsid w:val="29797D36"/>
    <w:rsid w:val="29A0362E"/>
    <w:rsid w:val="29BE6110"/>
    <w:rsid w:val="29C16D79"/>
    <w:rsid w:val="29FB0865"/>
    <w:rsid w:val="2A173A40"/>
    <w:rsid w:val="2A1F1A78"/>
    <w:rsid w:val="2A465F84"/>
    <w:rsid w:val="2A5A3AF4"/>
    <w:rsid w:val="2A5B004D"/>
    <w:rsid w:val="2A620326"/>
    <w:rsid w:val="2A7D7E1C"/>
    <w:rsid w:val="2A893327"/>
    <w:rsid w:val="2A8D6CCA"/>
    <w:rsid w:val="2A9924AA"/>
    <w:rsid w:val="2A9A19B5"/>
    <w:rsid w:val="2A9E58A2"/>
    <w:rsid w:val="2AAF0549"/>
    <w:rsid w:val="2AAF4247"/>
    <w:rsid w:val="2AB253C7"/>
    <w:rsid w:val="2AB353AB"/>
    <w:rsid w:val="2AB35CCC"/>
    <w:rsid w:val="2ACA2711"/>
    <w:rsid w:val="2AE65071"/>
    <w:rsid w:val="2AF543B4"/>
    <w:rsid w:val="2B05199B"/>
    <w:rsid w:val="2B122C35"/>
    <w:rsid w:val="2B28087B"/>
    <w:rsid w:val="2B2C33CC"/>
    <w:rsid w:val="2B3910D2"/>
    <w:rsid w:val="2B434271"/>
    <w:rsid w:val="2B470F10"/>
    <w:rsid w:val="2B586026"/>
    <w:rsid w:val="2B664413"/>
    <w:rsid w:val="2B681F2A"/>
    <w:rsid w:val="2B88197A"/>
    <w:rsid w:val="2BA00A37"/>
    <w:rsid w:val="2BA8442D"/>
    <w:rsid w:val="2BA967CA"/>
    <w:rsid w:val="2BB71148"/>
    <w:rsid w:val="2BCA0622"/>
    <w:rsid w:val="2BDB094E"/>
    <w:rsid w:val="2BDB3810"/>
    <w:rsid w:val="2BE617CC"/>
    <w:rsid w:val="2BEC411D"/>
    <w:rsid w:val="2BF657D8"/>
    <w:rsid w:val="2C0418F6"/>
    <w:rsid w:val="2C1B0514"/>
    <w:rsid w:val="2C244A8B"/>
    <w:rsid w:val="2C534988"/>
    <w:rsid w:val="2C5F332D"/>
    <w:rsid w:val="2C7B7883"/>
    <w:rsid w:val="2C7C4C65"/>
    <w:rsid w:val="2C82701B"/>
    <w:rsid w:val="2C974875"/>
    <w:rsid w:val="2C9C00DD"/>
    <w:rsid w:val="2CA76CEC"/>
    <w:rsid w:val="2CAC29D6"/>
    <w:rsid w:val="2CB9012F"/>
    <w:rsid w:val="2CCE2260"/>
    <w:rsid w:val="2CCE400E"/>
    <w:rsid w:val="2CD535EF"/>
    <w:rsid w:val="2CDD532D"/>
    <w:rsid w:val="2CF41CC7"/>
    <w:rsid w:val="2D200D0E"/>
    <w:rsid w:val="2D472E00"/>
    <w:rsid w:val="2D4F1427"/>
    <w:rsid w:val="2D532087"/>
    <w:rsid w:val="2D60272E"/>
    <w:rsid w:val="2D7D67A1"/>
    <w:rsid w:val="2D8639BE"/>
    <w:rsid w:val="2D8E4A3A"/>
    <w:rsid w:val="2D9124BA"/>
    <w:rsid w:val="2DAF13AE"/>
    <w:rsid w:val="2DB57E4B"/>
    <w:rsid w:val="2DB95E33"/>
    <w:rsid w:val="2DBA2F11"/>
    <w:rsid w:val="2DD05C60"/>
    <w:rsid w:val="2DDA6624"/>
    <w:rsid w:val="2DE36002"/>
    <w:rsid w:val="2DFA155F"/>
    <w:rsid w:val="2DFC337B"/>
    <w:rsid w:val="2E0D0AEF"/>
    <w:rsid w:val="2E0F0D1B"/>
    <w:rsid w:val="2E3F4DBA"/>
    <w:rsid w:val="2E440655"/>
    <w:rsid w:val="2E562A35"/>
    <w:rsid w:val="2E7B47CE"/>
    <w:rsid w:val="2EA22753"/>
    <w:rsid w:val="2EA27501"/>
    <w:rsid w:val="2EA86BAF"/>
    <w:rsid w:val="2ED42084"/>
    <w:rsid w:val="2EE97BBC"/>
    <w:rsid w:val="2F042A34"/>
    <w:rsid w:val="2F0957D2"/>
    <w:rsid w:val="2F154177"/>
    <w:rsid w:val="2F1871E9"/>
    <w:rsid w:val="2F1920D6"/>
    <w:rsid w:val="2F1D2BF9"/>
    <w:rsid w:val="2F30739F"/>
    <w:rsid w:val="2F482013"/>
    <w:rsid w:val="2F655F55"/>
    <w:rsid w:val="2F6D41A5"/>
    <w:rsid w:val="2F70458C"/>
    <w:rsid w:val="2F9C6646"/>
    <w:rsid w:val="2FBF5CA8"/>
    <w:rsid w:val="2FE24FA7"/>
    <w:rsid w:val="2FF84086"/>
    <w:rsid w:val="30043826"/>
    <w:rsid w:val="300B5720"/>
    <w:rsid w:val="301B0190"/>
    <w:rsid w:val="301F550A"/>
    <w:rsid w:val="304765B2"/>
    <w:rsid w:val="304F5466"/>
    <w:rsid w:val="30543E98"/>
    <w:rsid w:val="30550CCF"/>
    <w:rsid w:val="305F5242"/>
    <w:rsid w:val="30633E8D"/>
    <w:rsid w:val="30717AD3"/>
    <w:rsid w:val="309108BC"/>
    <w:rsid w:val="30972709"/>
    <w:rsid w:val="30A13D05"/>
    <w:rsid w:val="30A94822"/>
    <w:rsid w:val="30AD1EB0"/>
    <w:rsid w:val="30B71989"/>
    <w:rsid w:val="30C2496D"/>
    <w:rsid w:val="30C52242"/>
    <w:rsid w:val="30CC1770"/>
    <w:rsid w:val="30D37E45"/>
    <w:rsid w:val="30D431A5"/>
    <w:rsid w:val="30D435EB"/>
    <w:rsid w:val="30E7007E"/>
    <w:rsid w:val="3114343F"/>
    <w:rsid w:val="31195490"/>
    <w:rsid w:val="31226EF7"/>
    <w:rsid w:val="31321010"/>
    <w:rsid w:val="31350C4C"/>
    <w:rsid w:val="31553DF5"/>
    <w:rsid w:val="31576C02"/>
    <w:rsid w:val="3182724D"/>
    <w:rsid w:val="31921AAF"/>
    <w:rsid w:val="319B00D5"/>
    <w:rsid w:val="319D7B65"/>
    <w:rsid w:val="31A07835"/>
    <w:rsid w:val="31B27CB5"/>
    <w:rsid w:val="31B304DA"/>
    <w:rsid w:val="31C47610"/>
    <w:rsid w:val="31D00F1E"/>
    <w:rsid w:val="31F14A27"/>
    <w:rsid w:val="31F44517"/>
    <w:rsid w:val="32132BEF"/>
    <w:rsid w:val="321364C4"/>
    <w:rsid w:val="32180206"/>
    <w:rsid w:val="321F0552"/>
    <w:rsid w:val="32241C71"/>
    <w:rsid w:val="325B00F2"/>
    <w:rsid w:val="32600D96"/>
    <w:rsid w:val="326E688F"/>
    <w:rsid w:val="32867CA8"/>
    <w:rsid w:val="328F5FEE"/>
    <w:rsid w:val="32E135B2"/>
    <w:rsid w:val="32E766E9"/>
    <w:rsid w:val="32FE2F79"/>
    <w:rsid w:val="3301066E"/>
    <w:rsid w:val="33376012"/>
    <w:rsid w:val="33677CCD"/>
    <w:rsid w:val="337A3C46"/>
    <w:rsid w:val="337C47C4"/>
    <w:rsid w:val="33800718"/>
    <w:rsid w:val="33E33872"/>
    <w:rsid w:val="33F04F1F"/>
    <w:rsid w:val="33F109FA"/>
    <w:rsid w:val="340300E9"/>
    <w:rsid w:val="341F6763"/>
    <w:rsid w:val="34291BF8"/>
    <w:rsid w:val="343B642D"/>
    <w:rsid w:val="344277BC"/>
    <w:rsid w:val="346F3BA7"/>
    <w:rsid w:val="347037BD"/>
    <w:rsid w:val="34711F8B"/>
    <w:rsid w:val="34740116"/>
    <w:rsid w:val="34781430"/>
    <w:rsid w:val="347831DE"/>
    <w:rsid w:val="34812E8F"/>
    <w:rsid w:val="34880F47"/>
    <w:rsid w:val="34950123"/>
    <w:rsid w:val="349A34DB"/>
    <w:rsid w:val="34B55708"/>
    <w:rsid w:val="34B8755D"/>
    <w:rsid w:val="34C54AD8"/>
    <w:rsid w:val="34CC4B3B"/>
    <w:rsid w:val="34D874BA"/>
    <w:rsid w:val="34E46AC5"/>
    <w:rsid w:val="34E70AD6"/>
    <w:rsid w:val="34EA04D4"/>
    <w:rsid w:val="34FA1E45"/>
    <w:rsid w:val="35301450"/>
    <w:rsid w:val="35367747"/>
    <w:rsid w:val="355B3707"/>
    <w:rsid w:val="355D1FC2"/>
    <w:rsid w:val="356F260C"/>
    <w:rsid w:val="3571598B"/>
    <w:rsid w:val="358A3883"/>
    <w:rsid w:val="35A324DC"/>
    <w:rsid w:val="35CB37E1"/>
    <w:rsid w:val="35DF2B69"/>
    <w:rsid w:val="35E8498A"/>
    <w:rsid w:val="35EC0271"/>
    <w:rsid w:val="3604351D"/>
    <w:rsid w:val="360665DE"/>
    <w:rsid w:val="360D61CC"/>
    <w:rsid w:val="36201B3B"/>
    <w:rsid w:val="36261B42"/>
    <w:rsid w:val="362D444E"/>
    <w:rsid w:val="362E3E38"/>
    <w:rsid w:val="364041CF"/>
    <w:rsid w:val="364D63A5"/>
    <w:rsid w:val="364E6B57"/>
    <w:rsid w:val="36613E2D"/>
    <w:rsid w:val="36761704"/>
    <w:rsid w:val="36791FB9"/>
    <w:rsid w:val="368C2F70"/>
    <w:rsid w:val="36960A1A"/>
    <w:rsid w:val="369B046E"/>
    <w:rsid w:val="369D517D"/>
    <w:rsid w:val="36A4650C"/>
    <w:rsid w:val="36A77DAA"/>
    <w:rsid w:val="36B30CB6"/>
    <w:rsid w:val="36BA0E3D"/>
    <w:rsid w:val="36BA5D2F"/>
    <w:rsid w:val="36BF2124"/>
    <w:rsid w:val="36C42854"/>
    <w:rsid w:val="36DA1F2E"/>
    <w:rsid w:val="36DC7704"/>
    <w:rsid w:val="36FF67FF"/>
    <w:rsid w:val="37015A93"/>
    <w:rsid w:val="371552FC"/>
    <w:rsid w:val="37254F27"/>
    <w:rsid w:val="37396A83"/>
    <w:rsid w:val="377A4B26"/>
    <w:rsid w:val="377E3A62"/>
    <w:rsid w:val="37807C4D"/>
    <w:rsid w:val="378B02FC"/>
    <w:rsid w:val="37B10BEA"/>
    <w:rsid w:val="37B207B5"/>
    <w:rsid w:val="37C30D25"/>
    <w:rsid w:val="37C41C2B"/>
    <w:rsid w:val="37D408F9"/>
    <w:rsid w:val="37DC6E40"/>
    <w:rsid w:val="37DF696F"/>
    <w:rsid w:val="37E74C0F"/>
    <w:rsid w:val="37E8067A"/>
    <w:rsid w:val="37EA31A8"/>
    <w:rsid w:val="37F720AC"/>
    <w:rsid w:val="382B20B3"/>
    <w:rsid w:val="38465EC0"/>
    <w:rsid w:val="38495459"/>
    <w:rsid w:val="384F06F9"/>
    <w:rsid w:val="385B20CD"/>
    <w:rsid w:val="385C6972"/>
    <w:rsid w:val="38635F53"/>
    <w:rsid w:val="3872263A"/>
    <w:rsid w:val="38817344"/>
    <w:rsid w:val="388A7983"/>
    <w:rsid w:val="389B6CF0"/>
    <w:rsid w:val="389D1465"/>
    <w:rsid w:val="38A71472"/>
    <w:rsid w:val="38A74BF9"/>
    <w:rsid w:val="38B7563D"/>
    <w:rsid w:val="38BE1B5C"/>
    <w:rsid w:val="38DB7D7B"/>
    <w:rsid w:val="38E726E0"/>
    <w:rsid w:val="38EE3475"/>
    <w:rsid w:val="390414E4"/>
    <w:rsid w:val="390A3637"/>
    <w:rsid w:val="3914724D"/>
    <w:rsid w:val="3931022D"/>
    <w:rsid w:val="393A5014"/>
    <w:rsid w:val="39561614"/>
    <w:rsid w:val="396665B7"/>
    <w:rsid w:val="396C0E37"/>
    <w:rsid w:val="396E16FC"/>
    <w:rsid w:val="39847797"/>
    <w:rsid w:val="39BB7346"/>
    <w:rsid w:val="39CF56D4"/>
    <w:rsid w:val="39DD669A"/>
    <w:rsid w:val="39E37992"/>
    <w:rsid w:val="3A1C6D85"/>
    <w:rsid w:val="3A1F0DF9"/>
    <w:rsid w:val="3A2E021B"/>
    <w:rsid w:val="3A3448AB"/>
    <w:rsid w:val="3A4F678F"/>
    <w:rsid w:val="3A6F4BA3"/>
    <w:rsid w:val="3A6F5083"/>
    <w:rsid w:val="3A933220"/>
    <w:rsid w:val="3A9B0410"/>
    <w:rsid w:val="3AAA60BB"/>
    <w:rsid w:val="3ACB7183"/>
    <w:rsid w:val="3AE841F3"/>
    <w:rsid w:val="3B1A02DA"/>
    <w:rsid w:val="3B2459B4"/>
    <w:rsid w:val="3B2A0FAA"/>
    <w:rsid w:val="3B3B4F65"/>
    <w:rsid w:val="3B4626B8"/>
    <w:rsid w:val="3B5B0FEB"/>
    <w:rsid w:val="3B7C2C07"/>
    <w:rsid w:val="3B7D236D"/>
    <w:rsid w:val="3BB92E6A"/>
    <w:rsid w:val="3BC767F9"/>
    <w:rsid w:val="3BCE5DD9"/>
    <w:rsid w:val="3BD0212B"/>
    <w:rsid w:val="3BD258C9"/>
    <w:rsid w:val="3BDA7340"/>
    <w:rsid w:val="3BE75B33"/>
    <w:rsid w:val="3BE965F9"/>
    <w:rsid w:val="3C107412"/>
    <w:rsid w:val="3C243C4B"/>
    <w:rsid w:val="3C2459F9"/>
    <w:rsid w:val="3C4168C9"/>
    <w:rsid w:val="3C5B4A7D"/>
    <w:rsid w:val="3C5E46B7"/>
    <w:rsid w:val="3C6A38E9"/>
    <w:rsid w:val="3C7250F5"/>
    <w:rsid w:val="3C800A4A"/>
    <w:rsid w:val="3C880AB0"/>
    <w:rsid w:val="3CA57752"/>
    <w:rsid w:val="3CB35D7B"/>
    <w:rsid w:val="3CB50635"/>
    <w:rsid w:val="3CB62DF3"/>
    <w:rsid w:val="3CBA54A8"/>
    <w:rsid w:val="3CC2331A"/>
    <w:rsid w:val="3CE202A8"/>
    <w:rsid w:val="3CE33B06"/>
    <w:rsid w:val="3CF32897"/>
    <w:rsid w:val="3D0038A0"/>
    <w:rsid w:val="3D0F323B"/>
    <w:rsid w:val="3D137E0A"/>
    <w:rsid w:val="3D216F2D"/>
    <w:rsid w:val="3D2F6973"/>
    <w:rsid w:val="3D412FC6"/>
    <w:rsid w:val="3D4D2D2E"/>
    <w:rsid w:val="3D53527D"/>
    <w:rsid w:val="3D577B32"/>
    <w:rsid w:val="3D597229"/>
    <w:rsid w:val="3D776940"/>
    <w:rsid w:val="3D8529C3"/>
    <w:rsid w:val="3D87623F"/>
    <w:rsid w:val="3DA212CB"/>
    <w:rsid w:val="3DA41C7B"/>
    <w:rsid w:val="3DA45043"/>
    <w:rsid w:val="3DA913E5"/>
    <w:rsid w:val="3DBF00CF"/>
    <w:rsid w:val="3DC525B3"/>
    <w:rsid w:val="3DD47DF1"/>
    <w:rsid w:val="3DEB12BB"/>
    <w:rsid w:val="3E185E32"/>
    <w:rsid w:val="3E2919ED"/>
    <w:rsid w:val="3E3948A1"/>
    <w:rsid w:val="3E3B5BB9"/>
    <w:rsid w:val="3E435C62"/>
    <w:rsid w:val="3E4619B8"/>
    <w:rsid w:val="3E4F1EC7"/>
    <w:rsid w:val="3E57400A"/>
    <w:rsid w:val="3E5F0F6A"/>
    <w:rsid w:val="3E620AC7"/>
    <w:rsid w:val="3E720C9E"/>
    <w:rsid w:val="3E841CC2"/>
    <w:rsid w:val="3E8A3BB3"/>
    <w:rsid w:val="3EA871A4"/>
    <w:rsid w:val="3EAB2402"/>
    <w:rsid w:val="3EB92D30"/>
    <w:rsid w:val="3EC63814"/>
    <w:rsid w:val="3ED262EA"/>
    <w:rsid w:val="3EEB28DF"/>
    <w:rsid w:val="3EF71CDA"/>
    <w:rsid w:val="3EFC2C5D"/>
    <w:rsid w:val="3F0E08CB"/>
    <w:rsid w:val="3F3D39E2"/>
    <w:rsid w:val="3F4B0F9A"/>
    <w:rsid w:val="3FA2799A"/>
    <w:rsid w:val="3FAF5BB6"/>
    <w:rsid w:val="3FC020EA"/>
    <w:rsid w:val="3FC13570"/>
    <w:rsid w:val="3FEB04B3"/>
    <w:rsid w:val="3FF8490F"/>
    <w:rsid w:val="4010684E"/>
    <w:rsid w:val="403E177F"/>
    <w:rsid w:val="4042792B"/>
    <w:rsid w:val="404448BC"/>
    <w:rsid w:val="404A640F"/>
    <w:rsid w:val="405E1406"/>
    <w:rsid w:val="40690E39"/>
    <w:rsid w:val="40691B67"/>
    <w:rsid w:val="40733156"/>
    <w:rsid w:val="40834568"/>
    <w:rsid w:val="409E0CC7"/>
    <w:rsid w:val="40A4535A"/>
    <w:rsid w:val="40B105F4"/>
    <w:rsid w:val="40B12799"/>
    <w:rsid w:val="40D10977"/>
    <w:rsid w:val="40ED0D4B"/>
    <w:rsid w:val="40FD3F09"/>
    <w:rsid w:val="411128F0"/>
    <w:rsid w:val="41126768"/>
    <w:rsid w:val="41151554"/>
    <w:rsid w:val="41320BD3"/>
    <w:rsid w:val="414152CA"/>
    <w:rsid w:val="4141765A"/>
    <w:rsid w:val="415110E2"/>
    <w:rsid w:val="415146FD"/>
    <w:rsid w:val="415575CE"/>
    <w:rsid w:val="416877D3"/>
    <w:rsid w:val="416E383B"/>
    <w:rsid w:val="417C49FE"/>
    <w:rsid w:val="4181636E"/>
    <w:rsid w:val="41A54B4A"/>
    <w:rsid w:val="41AE2D1C"/>
    <w:rsid w:val="41B0445E"/>
    <w:rsid w:val="41B33AA7"/>
    <w:rsid w:val="41C5325F"/>
    <w:rsid w:val="41C639A7"/>
    <w:rsid w:val="41CA788D"/>
    <w:rsid w:val="41D75A95"/>
    <w:rsid w:val="41E30EFE"/>
    <w:rsid w:val="420936C7"/>
    <w:rsid w:val="421D0489"/>
    <w:rsid w:val="42274495"/>
    <w:rsid w:val="422E2341"/>
    <w:rsid w:val="42390D6B"/>
    <w:rsid w:val="424B327F"/>
    <w:rsid w:val="426104F4"/>
    <w:rsid w:val="426923B8"/>
    <w:rsid w:val="427A45AA"/>
    <w:rsid w:val="428117D6"/>
    <w:rsid w:val="42831B60"/>
    <w:rsid w:val="428D00BE"/>
    <w:rsid w:val="42AC04F6"/>
    <w:rsid w:val="42C07EB5"/>
    <w:rsid w:val="42CB7533"/>
    <w:rsid w:val="42CC5625"/>
    <w:rsid w:val="431C679B"/>
    <w:rsid w:val="43246398"/>
    <w:rsid w:val="435F5219"/>
    <w:rsid w:val="43661FA0"/>
    <w:rsid w:val="437C1F45"/>
    <w:rsid w:val="437E00E5"/>
    <w:rsid w:val="439E5C56"/>
    <w:rsid w:val="43B12A88"/>
    <w:rsid w:val="43B83004"/>
    <w:rsid w:val="43BB5451"/>
    <w:rsid w:val="43BD6E5F"/>
    <w:rsid w:val="43C07951"/>
    <w:rsid w:val="43D3757F"/>
    <w:rsid w:val="43ED087F"/>
    <w:rsid w:val="43F40165"/>
    <w:rsid w:val="441B472E"/>
    <w:rsid w:val="441F4A5B"/>
    <w:rsid w:val="442F0DCA"/>
    <w:rsid w:val="443570D7"/>
    <w:rsid w:val="4448673A"/>
    <w:rsid w:val="4459501E"/>
    <w:rsid w:val="446E63AB"/>
    <w:rsid w:val="44887A84"/>
    <w:rsid w:val="44961852"/>
    <w:rsid w:val="449851D6"/>
    <w:rsid w:val="44E15803"/>
    <w:rsid w:val="44F259C2"/>
    <w:rsid w:val="450B0DDE"/>
    <w:rsid w:val="451A2516"/>
    <w:rsid w:val="45303661"/>
    <w:rsid w:val="45421FCD"/>
    <w:rsid w:val="4576695D"/>
    <w:rsid w:val="459B1F40"/>
    <w:rsid w:val="45A476A5"/>
    <w:rsid w:val="45AC2B2B"/>
    <w:rsid w:val="45C11FC0"/>
    <w:rsid w:val="45E2669A"/>
    <w:rsid w:val="45E75259"/>
    <w:rsid w:val="45FD4563"/>
    <w:rsid w:val="46032E96"/>
    <w:rsid w:val="460B5851"/>
    <w:rsid w:val="460D530B"/>
    <w:rsid w:val="46233B9F"/>
    <w:rsid w:val="46235681"/>
    <w:rsid w:val="46276812"/>
    <w:rsid w:val="462C55F9"/>
    <w:rsid w:val="464B2443"/>
    <w:rsid w:val="46801E15"/>
    <w:rsid w:val="46BF7B12"/>
    <w:rsid w:val="46D27A40"/>
    <w:rsid w:val="46D31D8E"/>
    <w:rsid w:val="46E266F9"/>
    <w:rsid w:val="46EF64CA"/>
    <w:rsid w:val="46F866AE"/>
    <w:rsid w:val="46FA0409"/>
    <w:rsid w:val="47082F5C"/>
    <w:rsid w:val="47174AD8"/>
    <w:rsid w:val="471F1551"/>
    <w:rsid w:val="473E2065"/>
    <w:rsid w:val="47474688"/>
    <w:rsid w:val="47543636"/>
    <w:rsid w:val="475A3339"/>
    <w:rsid w:val="47695665"/>
    <w:rsid w:val="476F1007"/>
    <w:rsid w:val="47795428"/>
    <w:rsid w:val="47882E21"/>
    <w:rsid w:val="47A15E61"/>
    <w:rsid w:val="47C76B8A"/>
    <w:rsid w:val="47F80042"/>
    <w:rsid w:val="48080CD4"/>
    <w:rsid w:val="480E5EDB"/>
    <w:rsid w:val="48154BA4"/>
    <w:rsid w:val="485D29BF"/>
    <w:rsid w:val="487F395F"/>
    <w:rsid w:val="489D100D"/>
    <w:rsid w:val="48C52312"/>
    <w:rsid w:val="48D013E2"/>
    <w:rsid w:val="49093633"/>
    <w:rsid w:val="49296D45"/>
    <w:rsid w:val="493059DD"/>
    <w:rsid w:val="49322248"/>
    <w:rsid w:val="4933371F"/>
    <w:rsid w:val="493545AB"/>
    <w:rsid w:val="494E2313"/>
    <w:rsid w:val="49522C7F"/>
    <w:rsid w:val="49621A56"/>
    <w:rsid w:val="49660998"/>
    <w:rsid w:val="49715A2D"/>
    <w:rsid w:val="49763089"/>
    <w:rsid w:val="499D0B37"/>
    <w:rsid w:val="49AD606D"/>
    <w:rsid w:val="49BB167F"/>
    <w:rsid w:val="49C35B92"/>
    <w:rsid w:val="49C90446"/>
    <w:rsid w:val="49CC7DFC"/>
    <w:rsid w:val="49D51AEB"/>
    <w:rsid w:val="49E11675"/>
    <w:rsid w:val="49ED62A0"/>
    <w:rsid w:val="49F57B95"/>
    <w:rsid w:val="49F66C27"/>
    <w:rsid w:val="49FB07B0"/>
    <w:rsid w:val="49FE565F"/>
    <w:rsid w:val="4A0E6D99"/>
    <w:rsid w:val="4A1A65A2"/>
    <w:rsid w:val="4A2413C1"/>
    <w:rsid w:val="4A315EB1"/>
    <w:rsid w:val="4A41607E"/>
    <w:rsid w:val="4A44591A"/>
    <w:rsid w:val="4A4A73D8"/>
    <w:rsid w:val="4A527BD5"/>
    <w:rsid w:val="4A702F34"/>
    <w:rsid w:val="4A706FB0"/>
    <w:rsid w:val="4A9B0728"/>
    <w:rsid w:val="4AA71029"/>
    <w:rsid w:val="4AAF28D1"/>
    <w:rsid w:val="4AB03279"/>
    <w:rsid w:val="4AB12B4E"/>
    <w:rsid w:val="4AC42904"/>
    <w:rsid w:val="4AC9433B"/>
    <w:rsid w:val="4AE864D4"/>
    <w:rsid w:val="4AEE3FFB"/>
    <w:rsid w:val="4AF1706D"/>
    <w:rsid w:val="4B10712C"/>
    <w:rsid w:val="4B146BA5"/>
    <w:rsid w:val="4B262FD0"/>
    <w:rsid w:val="4B281166"/>
    <w:rsid w:val="4B4D0F13"/>
    <w:rsid w:val="4B565F6E"/>
    <w:rsid w:val="4B703D18"/>
    <w:rsid w:val="4B751DCD"/>
    <w:rsid w:val="4B8F0CB2"/>
    <w:rsid w:val="4B8F3F68"/>
    <w:rsid w:val="4BA56C4D"/>
    <w:rsid w:val="4BAF73C3"/>
    <w:rsid w:val="4BB212CB"/>
    <w:rsid w:val="4BBF129A"/>
    <w:rsid w:val="4BDD4E1E"/>
    <w:rsid w:val="4C2550C9"/>
    <w:rsid w:val="4C2D26A8"/>
    <w:rsid w:val="4C312059"/>
    <w:rsid w:val="4C382624"/>
    <w:rsid w:val="4C586ACF"/>
    <w:rsid w:val="4C62632A"/>
    <w:rsid w:val="4C720A7B"/>
    <w:rsid w:val="4C945753"/>
    <w:rsid w:val="4C9A22FD"/>
    <w:rsid w:val="4CBD32D6"/>
    <w:rsid w:val="4CC254E6"/>
    <w:rsid w:val="4CD174D7"/>
    <w:rsid w:val="4CE26193"/>
    <w:rsid w:val="4CE34B29"/>
    <w:rsid w:val="4CE832B7"/>
    <w:rsid w:val="4CF5766A"/>
    <w:rsid w:val="4D046F69"/>
    <w:rsid w:val="4D1122D4"/>
    <w:rsid w:val="4D1C7995"/>
    <w:rsid w:val="4D314B85"/>
    <w:rsid w:val="4D352139"/>
    <w:rsid w:val="4D37405A"/>
    <w:rsid w:val="4D381304"/>
    <w:rsid w:val="4D3E28A0"/>
    <w:rsid w:val="4D4128AF"/>
    <w:rsid w:val="4D461C73"/>
    <w:rsid w:val="4D467EC5"/>
    <w:rsid w:val="4D4D75A2"/>
    <w:rsid w:val="4D663D60"/>
    <w:rsid w:val="4D673D6B"/>
    <w:rsid w:val="4DC1754C"/>
    <w:rsid w:val="4DC220FC"/>
    <w:rsid w:val="4DC74523"/>
    <w:rsid w:val="4DCE7BB7"/>
    <w:rsid w:val="4DDE6C7A"/>
    <w:rsid w:val="4DE52644"/>
    <w:rsid w:val="4DEB5D35"/>
    <w:rsid w:val="4DFC0584"/>
    <w:rsid w:val="4E013245"/>
    <w:rsid w:val="4E054FA6"/>
    <w:rsid w:val="4E28352F"/>
    <w:rsid w:val="4E2C224E"/>
    <w:rsid w:val="4E3713AB"/>
    <w:rsid w:val="4E4F2DA9"/>
    <w:rsid w:val="4E5873A6"/>
    <w:rsid w:val="4E62626F"/>
    <w:rsid w:val="4E7A1B98"/>
    <w:rsid w:val="4E7B61FE"/>
    <w:rsid w:val="4E95627B"/>
    <w:rsid w:val="4EA830AA"/>
    <w:rsid w:val="4EA96124"/>
    <w:rsid w:val="4EAB75D6"/>
    <w:rsid w:val="4EB34D80"/>
    <w:rsid w:val="4EB97F4D"/>
    <w:rsid w:val="4EC004A5"/>
    <w:rsid w:val="4EC64E12"/>
    <w:rsid w:val="4ECF3EEA"/>
    <w:rsid w:val="4ED344AE"/>
    <w:rsid w:val="4EF62403"/>
    <w:rsid w:val="4EF92D15"/>
    <w:rsid w:val="4EFE5534"/>
    <w:rsid w:val="4F22226C"/>
    <w:rsid w:val="4F710AFD"/>
    <w:rsid w:val="4F7111DE"/>
    <w:rsid w:val="4F820F5D"/>
    <w:rsid w:val="4F822221"/>
    <w:rsid w:val="4FB5281E"/>
    <w:rsid w:val="4FBD16B4"/>
    <w:rsid w:val="4FD639DB"/>
    <w:rsid w:val="4FF43C08"/>
    <w:rsid w:val="4FFA44AF"/>
    <w:rsid w:val="500656EA"/>
    <w:rsid w:val="50095513"/>
    <w:rsid w:val="5015592D"/>
    <w:rsid w:val="501A5098"/>
    <w:rsid w:val="501C4F0D"/>
    <w:rsid w:val="5025337C"/>
    <w:rsid w:val="50281B04"/>
    <w:rsid w:val="502F33BD"/>
    <w:rsid w:val="50554DF4"/>
    <w:rsid w:val="505E3468"/>
    <w:rsid w:val="50966F9E"/>
    <w:rsid w:val="50AF5037"/>
    <w:rsid w:val="50BB2A88"/>
    <w:rsid w:val="50BF6A72"/>
    <w:rsid w:val="50C8299F"/>
    <w:rsid w:val="50D64CE2"/>
    <w:rsid w:val="510734C7"/>
    <w:rsid w:val="510A7E4A"/>
    <w:rsid w:val="51150640"/>
    <w:rsid w:val="512166AA"/>
    <w:rsid w:val="512322CB"/>
    <w:rsid w:val="512E03AD"/>
    <w:rsid w:val="512E314A"/>
    <w:rsid w:val="512E7AC2"/>
    <w:rsid w:val="514E7348"/>
    <w:rsid w:val="515E0EB3"/>
    <w:rsid w:val="516543C6"/>
    <w:rsid w:val="51676676"/>
    <w:rsid w:val="516B2505"/>
    <w:rsid w:val="51761433"/>
    <w:rsid w:val="51986815"/>
    <w:rsid w:val="51B84622"/>
    <w:rsid w:val="51C27D36"/>
    <w:rsid w:val="51D4574B"/>
    <w:rsid w:val="520C6D30"/>
    <w:rsid w:val="520F4294"/>
    <w:rsid w:val="52195048"/>
    <w:rsid w:val="52295F56"/>
    <w:rsid w:val="522960B8"/>
    <w:rsid w:val="524F0A3A"/>
    <w:rsid w:val="525E180D"/>
    <w:rsid w:val="5297014C"/>
    <w:rsid w:val="529766F8"/>
    <w:rsid w:val="529C78D8"/>
    <w:rsid w:val="529D307A"/>
    <w:rsid w:val="529F47E0"/>
    <w:rsid w:val="52AE7979"/>
    <w:rsid w:val="52CA163E"/>
    <w:rsid w:val="52E635B0"/>
    <w:rsid w:val="52FB6732"/>
    <w:rsid w:val="52FC4A0B"/>
    <w:rsid w:val="53005373"/>
    <w:rsid w:val="53010E8A"/>
    <w:rsid w:val="53034162"/>
    <w:rsid w:val="5314461F"/>
    <w:rsid w:val="531A53CB"/>
    <w:rsid w:val="535574D8"/>
    <w:rsid w:val="53582C67"/>
    <w:rsid w:val="535F50D0"/>
    <w:rsid w:val="537312E8"/>
    <w:rsid w:val="537A08C9"/>
    <w:rsid w:val="537D14F5"/>
    <w:rsid w:val="53824486"/>
    <w:rsid w:val="539154AF"/>
    <w:rsid w:val="53962EE1"/>
    <w:rsid w:val="539F0D5A"/>
    <w:rsid w:val="53C30D8D"/>
    <w:rsid w:val="53D46B7A"/>
    <w:rsid w:val="53EE23BF"/>
    <w:rsid w:val="53F06FCA"/>
    <w:rsid w:val="540E12C9"/>
    <w:rsid w:val="54642756"/>
    <w:rsid w:val="547307E2"/>
    <w:rsid w:val="547630D1"/>
    <w:rsid w:val="54A85071"/>
    <w:rsid w:val="54B7270E"/>
    <w:rsid w:val="54BF4C96"/>
    <w:rsid w:val="54F25559"/>
    <w:rsid w:val="550D12C8"/>
    <w:rsid w:val="55286102"/>
    <w:rsid w:val="553A5043"/>
    <w:rsid w:val="556C60B3"/>
    <w:rsid w:val="557F3674"/>
    <w:rsid w:val="558F7F2F"/>
    <w:rsid w:val="55D342C0"/>
    <w:rsid w:val="55EB4403"/>
    <w:rsid w:val="55F22EC4"/>
    <w:rsid w:val="5606068F"/>
    <w:rsid w:val="560E52F8"/>
    <w:rsid w:val="56222973"/>
    <w:rsid w:val="56310F05"/>
    <w:rsid w:val="56345D01"/>
    <w:rsid w:val="56347BFE"/>
    <w:rsid w:val="56383F0B"/>
    <w:rsid w:val="56445083"/>
    <w:rsid w:val="56552F27"/>
    <w:rsid w:val="565C2946"/>
    <w:rsid w:val="56890A8D"/>
    <w:rsid w:val="568D0DB1"/>
    <w:rsid w:val="56B67D84"/>
    <w:rsid w:val="56C11464"/>
    <w:rsid w:val="56C33BDD"/>
    <w:rsid w:val="5720659C"/>
    <w:rsid w:val="572425F8"/>
    <w:rsid w:val="57283E0B"/>
    <w:rsid w:val="57452F9B"/>
    <w:rsid w:val="575E47E5"/>
    <w:rsid w:val="576737A0"/>
    <w:rsid w:val="576B5785"/>
    <w:rsid w:val="57760C8E"/>
    <w:rsid w:val="5785616A"/>
    <w:rsid w:val="578C3FD7"/>
    <w:rsid w:val="57B41ECF"/>
    <w:rsid w:val="57E9559F"/>
    <w:rsid w:val="57EB51CE"/>
    <w:rsid w:val="57F17159"/>
    <w:rsid w:val="57FE3247"/>
    <w:rsid w:val="581F1A3E"/>
    <w:rsid w:val="581F559B"/>
    <w:rsid w:val="58226E39"/>
    <w:rsid w:val="58254B7B"/>
    <w:rsid w:val="582F7C9C"/>
    <w:rsid w:val="58325FE5"/>
    <w:rsid w:val="583848AE"/>
    <w:rsid w:val="583E1426"/>
    <w:rsid w:val="5841694D"/>
    <w:rsid w:val="585C28AB"/>
    <w:rsid w:val="58615BB3"/>
    <w:rsid w:val="586701A1"/>
    <w:rsid w:val="586F7B54"/>
    <w:rsid w:val="58871392"/>
    <w:rsid w:val="589A10C5"/>
    <w:rsid w:val="58BB5FE9"/>
    <w:rsid w:val="58C24204"/>
    <w:rsid w:val="58D75D19"/>
    <w:rsid w:val="58DB7B6B"/>
    <w:rsid w:val="58E00368"/>
    <w:rsid w:val="58ED4F64"/>
    <w:rsid w:val="59154BEF"/>
    <w:rsid w:val="59210902"/>
    <w:rsid w:val="592D1F39"/>
    <w:rsid w:val="593B3F1E"/>
    <w:rsid w:val="593E44C7"/>
    <w:rsid w:val="59517F0B"/>
    <w:rsid w:val="595F58A2"/>
    <w:rsid w:val="59654336"/>
    <w:rsid w:val="598F746B"/>
    <w:rsid w:val="5999295C"/>
    <w:rsid w:val="599D2627"/>
    <w:rsid w:val="59A65A05"/>
    <w:rsid w:val="59B61F2F"/>
    <w:rsid w:val="59C1099F"/>
    <w:rsid w:val="59C208D3"/>
    <w:rsid w:val="59C4180C"/>
    <w:rsid w:val="59C969D3"/>
    <w:rsid w:val="59CA5962"/>
    <w:rsid w:val="5A0927A0"/>
    <w:rsid w:val="5A187629"/>
    <w:rsid w:val="5A2532A7"/>
    <w:rsid w:val="5A2570B4"/>
    <w:rsid w:val="5A317220"/>
    <w:rsid w:val="5A33532D"/>
    <w:rsid w:val="5A4E698F"/>
    <w:rsid w:val="5A6220B6"/>
    <w:rsid w:val="5A726C23"/>
    <w:rsid w:val="5A985AD8"/>
    <w:rsid w:val="5AA93841"/>
    <w:rsid w:val="5AAD49D1"/>
    <w:rsid w:val="5AB865E5"/>
    <w:rsid w:val="5ABF3065"/>
    <w:rsid w:val="5AC445F6"/>
    <w:rsid w:val="5AD122E5"/>
    <w:rsid w:val="5AD703AE"/>
    <w:rsid w:val="5AE453BD"/>
    <w:rsid w:val="5AF42EC6"/>
    <w:rsid w:val="5AFA040B"/>
    <w:rsid w:val="5B1B5005"/>
    <w:rsid w:val="5B1C0F1F"/>
    <w:rsid w:val="5B224E09"/>
    <w:rsid w:val="5B3927B9"/>
    <w:rsid w:val="5B445851"/>
    <w:rsid w:val="5B4535FC"/>
    <w:rsid w:val="5B4F5409"/>
    <w:rsid w:val="5B6A1223"/>
    <w:rsid w:val="5B6C7E29"/>
    <w:rsid w:val="5B7E082A"/>
    <w:rsid w:val="5BAD170D"/>
    <w:rsid w:val="5BF50512"/>
    <w:rsid w:val="5BFF6ACC"/>
    <w:rsid w:val="5C0A6562"/>
    <w:rsid w:val="5C0A6E8C"/>
    <w:rsid w:val="5C180DA3"/>
    <w:rsid w:val="5C194662"/>
    <w:rsid w:val="5C2A6C04"/>
    <w:rsid w:val="5C2B1EBA"/>
    <w:rsid w:val="5C2C297C"/>
    <w:rsid w:val="5C337866"/>
    <w:rsid w:val="5C367357"/>
    <w:rsid w:val="5C495E44"/>
    <w:rsid w:val="5C551969"/>
    <w:rsid w:val="5C7D4F86"/>
    <w:rsid w:val="5C896D10"/>
    <w:rsid w:val="5C8E760E"/>
    <w:rsid w:val="5C91292C"/>
    <w:rsid w:val="5CA96CF6"/>
    <w:rsid w:val="5CB32A73"/>
    <w:rsid w:val="5CCC56F5"/>
    <w:rsid w:val="5CD050B5"/>
    <w:rsid w:val="5CFD7060"/>
    <w:rsid w:val="5D0123F2"/>
    <w:rsid w:val="5D072428"/>
    <w:rsid w:val="5D187049"/>
    <w:rsid w:val="5D23147E"/>
    <w:rsid w:val="5D235F07"/>
    <w:rsid w:val="5D2E6FEF"/>
    <w:rsid w:val="5D3B6409"/>
    <w:rsid w:val="5D444EF8"/>
    <w:rsid w:val="5D454A73"/>
    <w:rsid w:val="5D747B5B"/>
    <w:rsid w:val="5D752101"/>
    <w:rsid w:val="5D8B5480"/>
    <w:rsid w:val="5D981D53"/>
    <w:rsid w:val="5DD14A36"/>
    <w:rsid w:val="5DD92690"/>
    <w:rsid w:val="5DDE6969"/>
    <w:rsid w:val="5DFC702A"/>
    <w:rsid w:val="5E005E6E"/>
    <w:rsid w:val="5E055233"/>
    <w:rsid w:val="5E22218C"/>
    <w:rsid w:val="5E224037"/>
    <w:rsid w:val="5E401FE2"/>
    <w:rsid w:val="5E4931BC"/>
    <w:rsid w:val="5E4A70E9"/>
    <w:rsid w:val="5E581E70"/>
    <w:rsid w:val="5E677C9B"/>
    <w:rsid w:val="5E6B2278"/>
    <w:rsid w:val="5E784311"/>
    <w:rsid w:val="5E7D5649"/>
    <w:rsid w:val="5E803DEA"/>
    <w:rsid w:val="5E8F1627"/>
    <w:rsid w:val="5E916DC8"/>
    <w:rsid w:val="5E96467B"/>
    <w:rsid w:val="5E9B09F9"/>
    <w:rsid w:val="5EA20CD3"/>
    <w:rsid w:val="5EB12E81"/>
    <w:rsid w:val="5EB660B8"/>
    <w:rsid w:val="5EEA547B"/>
    <w:rsid w:val="5EED0B0C"/>
    <w:rsid w:val="5EFB03E4"/>
    <w:rsid w:val="5F087AE6"/>
    <w:rsid w:val="5F0D5B98"/>
    <w:rsid w:val="5F1B5D93"/>
    <w:rsid w:val="5F1D12CB"/>
    <w:rsid w:val="5F294F51"/>
    <w:rsid w:val="5F2B1033"/>
    <w:rsid w:val="5F35587B"/>
    <w:rsid w:val="5F4D3766"/>
    <w:rsid w:val="5F4F22C4"/>
    <w:rsid w:val="5F504E76"/>
    <w:rsid w:val="5F5528B7"/>
    <w:rsid w:val="5F574344"/>
    <w:rsid w:val="5F5875E4"/>
    <w:rsid w:val="5F64242D"/>
    <w:rsid w:val="5F681F1D"/>
    <w:rsid w:val="5F7D646E"/>
    <w:rsid w:val="5F7D7F1C"/>
    <w:rsid w:val="5F821A41"/>
    <w:rsid w:val="5F8235B3"/>
    <w:rsid w:val="5F824C39"/>
    <w:rsid w:val="5F920D48"/>
    <w:rsid w:val="5F936A1D"/>
    <w:rsid w:val="5FB05B4B"/>
    <w:rsid w:val="5FB80723"/>
    <w:rsid w:val="5FB9411A"/>
    <w:rsid w:val="5FC30301"/>
    <w:rsid w:val="5FD21144"/>
    <w:rsid w:val="5FD71A66"/>
    <w:rsid w:val="5FEA7730"/>
    <w:rsid w:val="5FF540B9"/>
    <w:rsid w:val="5FFA069B"/>
    <w:rsid w:val="5FFE63DD"/>
    <w:rsid w:val="600D3631"/>
    <w:rsid w:val="601E25DC"/>
    <w:rsid w:val="60657FE9"/>
    <w:rsid w:val="607D096B"/>
    <w:rsid w:val="60981BA4"/>
    <w:rsid w:val="609B54C7"/>
    <w:rsid w:val="60B577B8"/>
    <w:rsid w:val="60B72FE0"/>
    <w:rsid w:val="60B976D8"/>
    <w:rsid w:val="60CD491F"/>
    <w:rsid w:val="60DA0809"/>
    <w:rsid w:val="60EA1611"/>
    <w:rsid w:val="60EA7270"/>
    <w:rsid w:val="60EF580B"/>
    <w:rsid w:val="60F6302D"/>
    <w:rsid w:val="610712C2"/>
    <w:rsid w:val="61092F57"/>
    <w:rsid w:val="6110141C"/>
    <w:rsid w:val="612B059A"/>
    <w:rsid w:val="612B1454"/>
    <w:rsid w:val="61427DA8"/>
    <w:rsid w:val="614B38A4"/>
    <w:rsid w:val="614B78B7"/>
    <w:rsid w:val="615C0334"/>
    <w:rsid w:val="61761FA3"/>
    <w:rsid w:val="61811074"/>
    <w:rsid w:val="619C3F0D"/>
    <w:rsid w:val="61A730E0"/>
    <w:rsid w:val="61B424C8"/>
    <w:rsid w:val="61B825BC"/>
    <w:rsid w:val="61C15914"/>
    <w:rsid w:val="61D21690"/>
    <w:rsid w:val="61DA0020"/>
    <w:rsid w:val="61DC05B2"/>
    <w:rsid w:val="62031A89"/>
    <w:rsid w:val="620D6B6D"/>
    <w:rsid w:val="6219320E"/>
    <w:rsid w:val="621A37F2"/>
    <w:rsid w:val="62344338"/>
    <w:rsid w:val="623B212D"/>
    <w:rsid w:val="623E682E"/>
    <w:rsid w:val="625E47E9"/>
    <w:rsid w:val="6269523A"/>
    <w:rsid w:val="626D17D6"/>
    <w:rsid w:val="62753F10"/>
    <w:rsid w:val="62836482"/>
    <w:rsid w:val="628C282C"/>
    <w:rsid w:val="629038C3"/>
    <w:rsid w:val="62934162"/>
    <w:rsid w:val="62955E55"/>
    <w:rsid w:val="62C16F08"/>
    <w:rsid w:val="62C87F3B"/>
    <w:rsid w:val="62D1432C"/>
    <w:rsid w:val="62D73DFA"/>
    <w:rsid w:val="62DD4F4B"/>
    <w:rsid w:val="62EF131E"/>
    <w:rsid w:val="62F24A93"/>
    <w:rsid w:val="62F7128B"/>
    <w:rsid w:val="63065CD5"/>
    <w:rsid w:val="63075E72"/>
    <w:rsid w:val="63091321"/>
    <w:rsid w:val="63105DC5"/>
    <w:rsid w:val="63116428"/>
    <w:rsid w:val="633962AA"/>
    <w:rsid w:val="633E33FA"/>
    <w:rsid w:val="6340727D"/>
    <w:rsid w:val="63585FEA"/>
    <w:rsid w:val="635D46A7"/>
    <w:rsid w:val="635E1A4C"/>
    <w:rsid w:val="63831726"/>
    <w:rsid w:val="6389196F"/>
    <w:rsid w:val="63A11D9E"/>
    <w:rsid w:val="63A67290"/>
    <w:rsid w:val="63AE3561"/>
    <w:rsid w:val="63B42696"/>
    <w:rsid w:val="63B56327"/>
    <w:rsid w:val="63D06B04"/>
    <w:rsid w:val="63DF4E72"/>
    <w:rsid w:val="63E044E9"/>
    <w:rsid w:val="63F35B2D"/>
    <w:rsid w:val="64176014"/>
    <w:rsid w:val="641F786F"/>
    <w:rsid w:val="642364CD"/>
    <w:rsid w:val="64491BE5"/>
    <w:rsid w:val="64511BB6"/>
    <w:rsid w:val="64560557"/>
    <w:rsid w:val="645F5F9F"/>
    <w:rsid w:val="646511A7"/>
    <w:rsid w:val="649D0724"/>
    <w:rsid w:val="64A752BA"/>
    <w:rsid w:val="64B67DAA"/>
    <w:rsid w:val="64CF401E"/>
    <w:rsid w:val="64DC0FDF"/>
    <w:rsid w:val="64DD4E4E"/>
    <w:rsid w:val="64E03CA3"/>
    <w:rsid w:val="64E16127"/>
    <w:rsid w:val="64F22C70"/>
    <w:rsid w:val="650545E2"/>
    <w:rsid w:val="65154E0A"/>
    <w:rsid w:val="652016BA"/>
    <w:rsid w:val="6522377E"/>
    <w:rsid w:val="6527447A"/>
    <w:rsid w:val="655C2FFD"/>
    <w:rsid w:val="65771194"/>
    <w:rsid w:val="657D7DA4"/>
    <w:rsid w:val="658114EF"/>
    <w:rsid w:val="65960098"/>
    <w:rsid w:val="65AA3652"/>
    <w:rsid w:val="65B10E33"/>
    <w:rsid w:val="65C41CFB"/>
    <w:rsid w:val="65D60AC7"/>
    <w:rsid w:val="65E32B41"/>
    <w:rsid w:val="65EE2A50"/>
    <w:rsid w:val="65F128EE"/>
    <w:rsid w:val="662B5608"/>
    <w:rsid w:val="663A71E5"/>
    <w:rsid w:val="663E1E4C"/>
    <w:rsid w:val="663F7D97"/>
    <w:rsid w:val="66563E7C"/>
    <w:rsid w:val="66571DE3"/>
    <w:rsid w:val="6689537B"/>
    <w:rsid w:val="668A47AC"/>
    <w:rsid w:val="668A6C93"/>
    <w:rsid w:val="668C6B3F"/>
    <w:rsid w:val="66953589"/>
    <w:rsid w:val="66AB6254"/>
    <w:rsid w:val="66D005D0"/>
    <w:rsid w:val="66D126B0"/>
    <w:rsid w:val="66D63C10"/>
    <w:rsid w:val="66E92013"/>
    <w:rsid w:val="66EC6F90"/>
    <w:rsid w:val="66F255B7"/>
    <w:rsid w:val="66FB3454"/>
    <w:rsid w:val="670A045C"/>
    <w:rsid w:val="670B716E"/>
    <w:rsid w:val="6716225F"/>
    <w:rsid w:val="672229B1"/>
    <w:rsid w:val="675A4090"/>
    <w:rsid w:val="676036B1"/>
    <w:rsid w:val="677714F7"/>
    <w:rsid w:val="67874E83"/>
    <w:rsid w:val="679A7B08"/>
    <w:rsid w:val="679C6B4C"/>
    <w:rsid w:val="67A1421E"/>
    <w:rsid w:val="67A354C4"/>
    <w:rsid w:val="67C25F42"/>
    <w:rsid w:val="67C9401B"/>
    <w:rsid w:val="67EA66B4"/>
    <w:rsid w:val="680926B6"/>
    <w:rsid w:val="680A1C4F"/>
    <w:rsid w:val="681A41F0"/>
    <w:rsid w:val="6844504A"/>
    <w:rsid w:val="6853303E"/>
    <w:rsid w:val="68562B69"/>
    <w:rsid w:val="685E3EBD"/>
    <w:rsid w:val="6870457B"/>
    <w:rsid w:val="687F4C1D"/>
    <w:rsid w:val="68830991"/>
    <w:rsid w:val="68A76DEF"/>
    <w:rsid w:val="68B622A2"/>
    <w:rsid w:val="68C1444C"/>
    <w:rsid w:val="68C2756A"/>
    <w:rsid w:val="68CB1738"/>
    <w:rsid w:val="68DD2333"/>
    <w:rsid w:val="68F170ED"/>
    <w:rsid w:val="69037103"/>
    <w:rsid w:val="690D1CEB"/>
    <w:rsid w:val="690F0847"/>
    <w:rsid w:val="690F0BE9"/>
    <w:rsid w:val="6915152B"/>
    <w:rsid w:val="6917406C"/>
    <w:rsid w:val="69342E70"/>
    <w:rsid w:val="693D1B33"/>
    <w:rsid w:val="694A247E"/>
    <w:rsid w:val="694A7E4A"/>
    <w:rsid w:val="695A130B"/>
    <w:rsid w:val="696279DD"/>
    <w:rsid w:val="697B45FB"/>
    <w:rsid w:val="697E2537"/>
    <w:rsid w:val="697E3A53"/>
    <w:rsid w:val="69847953"/>
    <w:rsid w:val="69896C65"/>
    <w:rsid w:val="699F653B"/>
    <w:rsid w:val="69A71894"/>
    <w:rsid w:val="69B30FB3"/>
    <w:rsid w:val="69CF65B0"/>
    <w:rsid w:val="69D01719"/>
    <w:rsid w:val="69E15273"/>
    <w:rsid w:val="69EF29CD"/>
    <w:rsid w:val="69FC1BE0"/>
    <w:rsid w:val="6A040161"/>
    <w:rsid w:val="6A1339DD"/>
    <w:rsid w:val="6A26203C"/>
    <w:rsid w:val="6A2E1469"/>
    <w:rsid w:val="6A3273AF"/>
    <w:rsid w:val="6A3C4858"/>
    <w:rsid w:val="6A5E1EE4"/>
    <w:rsid w:val="6A69230B"/>
    <w:rsid w:val="6A7241DA"/>
    <w:rsid w:val="6A937403"/>
    <w:rsid w:val="6AAD6A36"/>
    <w:rsid w:val="6AB06526"/>
    <w:rsid w:val="6ABD7DF6"/>
    <w:rsid w:val="6ACB5C2B"/>
    <w:rsid w:val="6AD9366F"/>
    <w:rsid w:val="6ADA2A71"/>
    <w:rsid w:val="6AF8486A"/>
    <w:rsid w:val="6B071B4A"/>
    <w:rsid w:val="6B182A49"/>
    <w:rsid w:val="6B19056B"/>
    <w:rsid w:val="6B217424"/>
    <w:rsid w:val="6B6C2B07"/>
    <w:rsid w:val="6B882FFF"/>
    <w:rsid w:val="6B8C0D41"/>
    <w:rsid w:val="6BA3608B"/>
    <w:rsid w:val="6BA66E4A"/>
    <w:rsid w:val="6BAE6F0A"/>
    <w:rsid w:val="6BEA5A68"/>
    <w:rsid w:val="6BF16DF6"/>
    <w:rsid w:val="6BF71E5E"/>
    <w:rsid w:val="6C17640D"/>
    <w:rsid w:val="6C2602F3"/>
    <w:rsid w:val="6C2C28FE"/>
    <w:rsid w:val="6C376EFF"/>
    <w:rsid w:val="6C507FC1"/>
    <w:rsid w:val="6C513D7B"/>
    <w:rsid w:val="6C6258FC"/>
    <w:rsid w:val="6C6475C8"/>
    <w:rsid w:val="6C684E81"/>
    <w:rsid w:val="6C6D760C"/>
    <w:rsid w:val="6C7215F1"/>
    <w:rsid w:val="6C7254B6"/>
    <w:rsid w:val="6C742662"/>
    <w:rsid w:val="6CBD3075"/>
    <w:rsid w:val="6CBE4EEC"/>
    <w:rsid w:val="6CC13006"/>
    <w:rsid w:val="6CC446FE"/>
    <w:rsid w:val="6CF23B24"/>
    <w:rsid w:val="6D062D75"/>
    <w:rsid w:val="6D0D5EB2"/>
    <w:rsid w:val="6D0E459C"/>
    <w:rsid w:val="6D1E63B1"/>
    <w:rsid w:val="6D2032E6"/>
    <w:rsid w:val="6D342975"/>
    <w:rsid w:val="6D370656"/>
    <w:rsid w:val="6D372C22"/>
    <w:rsid w:val="6D503294"/>
    <w:rsid w:val="6D871E5D"/>
    <w:rsid w:val="6DB7708E"/>
    <w:rsid w:val="6DC9002B"/>
    <w:rsid w:val="6DDE3657"/>
    <w:rsid w:val="6DEF7365"/>
    <w:rsid w:val="6DF73A48"/>
    <w:rsid w:val="6DF8337A"/>
    <w:rsid w:val="6E1C4E4E"/>
    <w:rsid w:val="6E297030"/>
    <w:rsid w:val="6E3F5BBC"/>
    <w:rsid w:val="6E502C6C"/>
    <w:rsid w:val="6E521FD7"/>
    <w:rsid w:val="6E664226"/>
    <w:rsid w:val="6E7D0E15"/>
    <w:rsid w:val="6E866BAD"/>
    <w:rsid w:val="6E8C46C4"/>
    <w:rsid w:val="6E9047F2"/>
    <w:rsid w:val="6E9D1166"/>
    <w:rsid w:val="6EC07D65"/>
    <w:rsid w:val="6EC60A8D"/>
    <w:rsid w:val="6EC86F6E"/>
    <w:rsid w:val="6EDD4597"/>
    <w:rsid w:val="6EE175F6"/>
    <w:rsid w:val="6F0230C8"/>
    <w:rsid w:val="6F560DE8"/>
    <w:rsid w:val="6F764817"/>
    <w:rsid w:val="6F7E6BF3"/>
    <w:rsid w:val="6F827023"/>
    <w:rsid w:val="6FC572DF"/>
    <w:rsid w:val="6FCE5BF7"/>
    <w:rsid w:val="6FEF189F"/>
    <w:rsid w:val="6FEF5D43"/>
    <w:rsid w:val="6FF055E2"/>
    <w:rsid w:val="6FFE5185"/>
    <w:rsid w:val="70003A62"/>
    <w:rsid w:val="70074E3A"/>
    <w:rsid w:val="70092FF8"/>
    <w:rsid w:val="701F6D13"/>
    <w:rsid w:val="702279FC"/>
    <w:rsid w:val="702F4391"/>
    <w:rsid w:val="703F77CC"/>
    <w:rsid w:val="70447E3C"/>
    <w:rsid w:val="70495C48"/>
    <w:rsid w:val="704A2A3D"/>
    <w:rsid w:val="705A140E"/>
    <w:rsid w:val="7084221D"/>
    <w:rsid w:val="70995ECF"/>
    <w:rsid w:val="709C0E93"/>
    <w:rsid w:val="70B207FF"/>
    <w:rsid w:val="70BF2A0E"/>
    <w:rsid w:val="70C31153"/>
    <w:rsid w:val="70D76A75"/>
    <w:rsid w:val="70E37F25"/>
    <w:rsid w:val="70F6775A"/>
    <w:rsid w:val="710E3FF5"/>
    <w:rsid w:val="711A0B9D"/>
    <w:rsid w:val="71321D8A"/>
    <w:rsid w:val="7141612A"/>
    <w:rsid w:val="71526589"/>
    <w:rsid w:val="715B4FAC"/>
    <w:rsid w:val="7161477F"/>
    <w:rsid w:val="716A17CC"/>
    <w:rsid w:val="71717CF1"/>
    <w:rsid w:val="717B5E76"/>
    <w:rsid w:val="719170B1"/>
    <w:rsid w:val="719B1CDE"/>
    <w:rsid w:val="71A17684"/>
    <w:rsid w:val="71B31295"/>
    <w:rsid w:val="71B811A6"/>
    <w:rsid w:val="71C55B0A"/>
    <w:rsid w:val="71EC35A3"/>
    <w:rsid w:val="71F94A47"/>
    <w:rsid w:val="721D6B97"/>
    <w:rsid w:val="723513B9"/>
    <w:rsid w:val="723B6834"/>
    <w:rsid w:val="72401A80"/>
    <w:rsid w:val="724463AD"/>
    <w:rsid w:val="72550630"/>
    <w:rsid w:val="725620A9"/>
    <w:rsid w:val="727A3E4E"/>
    <w:rsid w:val="7281214F"/>
    <w:rsid w:val="728501EE"/>
    <w:rsid w:val="72A4012B"/>
    <w:rsid w:val="72A95837"/>
    <w:rsid w:val="72B8241C"/>
    <w:rsid w:val="72C46849"/>
    <w:rsid w:val="72D52916"/>
    <w:rsid w:val="72D82ABE"/>
    <w:rsid w:val="72DD4E94"/>
    <w:rsid w:val="72F17CFC"/>
    <w:rsid w:val="73064B45"/>
    <w:rsid w:val="73131B2F"/>
    <w:rsid w:val="73173CE2"/>
    <w:rsid w:val="731857BB"/>
    <w:rsid w:val="7318735E"/>
    <w:rsid w:val="731B27F6"/>
    <w:rsid w:val="732D5A3F"/>
    <w:rsid w:val="73343453"/>
    <w:rsid w:val="73373C88"/>
    <w:rsid w:val="73412411"/>
    <w:rsid w:val="73463ECB"/>
    <w:rsid w:val="734A6502"/>
    <w:rsid w:val="73627B42"/>
    <w:rsid w:val="73702CF6"/>
    <w:rsid w:val="73704370"/>
    <w:rsid w:val="739174B8"/>
    <w:rsid w:val="73920EBF"/>
    <w:rsid w:val="73A365F5"/>
    <w:rsid w:val="73A429A0"/>
    <w:rsid w:val="73D65B7A"/>
    <w:rsid w:val="73DC2164"/>
    <w:rsid w:val="73DC4D25"/>
    <w:rsid w:val="73DC52C4"/>
    <w:rsid w:val="73DE5EB2"/>
    <w:rsid w:val="73DF2697"/>
    <w:rsid w:val="73F81B3F"/>
    <w:rsid w:val="74081181"/>
    <w:rsid w:val="740F40B8"/>
    <w:rsid w:val="742C182C"/>
    <w:rsid w:val="7431777C"/>
    <w:rsid w:val="74343D24"/>
    <w:rsid w:val="744A3547"/>
    <w:rsid w:val="744D51D2"/>
    <w:rsid w:val="745436E9"/>
    <w:rsid w:val="74556589"/>
    <w:rsid w:val="7465289D"/>
    <w:rsid w:val="7469726F"/>
    <w:rsid w:val="746A3BEA"/>
    <w:rsid w:val="748A603A"/>
    <w:rsid w:val="749D5D6D"/>
    <w:rsid w:val="74A23383"/>
    <w:rsid w:val="74B409C4"/>
    <w:rsid w:val="74B66A46"/>
    <w:rsid w:val="74BB5506"/>
    <w:rsid w:val="74C27582"/>
    <w:rsid w:val="74CD520A"/>
    <w:rsid w:val="74D17167"/>
    <w:rsid w:val="74DF3644"/>
    <w:rsid w:val="75087BAF"/>
    <w:rsid w:val="751221E3"/>
    <w:rsid w:val="75190329"/>
    <w:rsid w:val="7521086E"/>
    <w:rsid w:val="75231131"/>
    <w:rsid w:val="75274981"/>
    <w:rsid w:val="75285475"/>
    <w:rsid w:val="7534651D"/>
    <w:rsid w:val="75633811"/>
    <w:rsid w:val="7564262E"/>
    <w:rsid w:val="75812EAD"/>
    <w:rsid w:val="75842495"/>
    <w:rsid w:val="758E56B6"/>
    <w:rsid w:val="75933184"/>
    <w:rsid w:val="759A22AD"/>
    <w:rsid w:val="75B855D2"/>
    <w:rsid w:val="75C379FA"/>
    <w:rsid w:val="75ED62E0"/>
    <w:rsid w:val="75F36C4E"/>
    <w:rsid w:val="76004806"/>
    <w:rsid w:val="76110225"/>
    <w:rsid w:val="761402B1"/>
    <w:rsid w:val="762A5170"/>
    <w:rsid w:val="762F086F"/>
    <w:rsid w:val="76316133"/>
    <w:rsid w:val="76330607"/>
    <w:rsid w:val="76333EAE"/>
    <w:rsid w:val="76412E37"/>
    <w:rsid w:val="765451DC"/>
    <w:rsid w:val="765A05BC"/>
    <w:rsid w:val="767353F2"/>
    <w:rsid w:val="767825EE"/>
    <w:rsid w:val="768C46AC"/>
    <w:rsid w:val="76962A74"/>
    <w:rsid w:val="769D02A6"/>
    <w:rsid w:val="769E5DCD"/>
    <w:rsid w:val="76B31878"/>
    <w:rsid w:val="76BD6FDB"/>
    <w:rsid w:val="76C53359"/>
    <w:rsid w:val="76D85AD0"/>
    <w:rsid w:val="76DB4EA8"/>
    <w:rsid w:val="76DD5D22"/>
    <w:rsid w:val="76EA61FF"/>
    <w:rsid w:val="76EF1C48"/>
    <w:rsid w:val="770372E4"/>
    <w:rsid w:val="770A68B1"/>
    <w:rsid w:val="772207AC"/>
    <w:rsid w:val="773F2A17"/>
    <w:rsid w:val="775237CF"/>
    <w:rsid w:val="77561351"/>
    <w:rsid w:val="775E513F"/>
    <w:rsid w:val="77866F8C"/>
    <w:rsid w:val="778B45B5"/>
    <w:rsid w:val="77A9308F"/>
    <w:rsid w:val="77AA492E"/>
    <w:rsid w:val="77B33969"/>
    <w:rsid w:val="77B3540E"/>
    <w:rsid w:val="77BB4043"/>
    <w:rsid w:val="77C5611D"/>
    <w:rsid w:val="77D00809"/>
    <w:rsid w:val="77FF6F6D"/>
    <w:rsid w:val="780B2656"/>
    <w:rsid w:val="78415524"/>
    <w:rsid w:val="78482494"/>
    <w:rsid w:val="784A3E33"/>
    <w:rsid w:val="786C5C11"/>
    <w:rsid w:val="786D7532"/>
    <w:rsid w:val="787E3A98"/>
    <w:rsid w:val="788259A6"/>
    <w:rsid w:val="78911745"/>
    <w:rsid w:val="78BD7DA6"/>
    <w:rsid w:val="78CA2EA9"/>
    <w:rsid w:val="78D6184E"/>
    <w:rsid w:val="78F22CE7"/>
    <w:rsid w:val="790E653D"/>
    <w:rsid w:val="79256331"/>
    <w:rsid w:val="79265D8B"/>
    <w:rsid w:val="793D1463"/>
    <w:rsid w:val="794371E8"/>
    <w:rsid w:val="79444A09"/>
    <w:rsid w:val="796675DC"/>
    <w:rsid w:val="79876F3B"/>
    <w:rsid w:val="798835C0"/>
    <w:rsid w:val="79914562"/>
    <w:rsid w:val="79935991"/>
    <w:rsid w:val="79986827"/>
    <w:rsid w:val="799C2A97"/>
    <w:rsid w:val="799C4845"/>
    <w:rsid w:val="79C771E2"/>
    <w:rsid w:val="79D9271B"/>
    <w:rsid w:val="79ED50A1"/>
    <w:rsid w:val="79F30AC2"/>
    <w:rsid w:val="79FA2101"/>
    <w:rsid w:val="7A100362"/>
    <w:rsid w:val="7A1A5A52"/>
    <w:rsid w:val="7A606E5F"/>
    <w:rsid w:val="7A74131E"/>
    <w:rsid w:val="7A765096"/>
    <w:rsid w:val="7A7E3F4B"/>
    <w:rsid w:val="7A9A52A7"/>
    <w:rsid w:val="7A9E3444"/>
    <w:rsid w:val="7AA87668"/>
    <w:rsid w:val="7ACC6BEA"/>
    <w:rsid w:val="7ACF2BC4"/>
    <w:rsid w:val="7ADC65FD"/>
    <w:rsid w:val="7AE11581"/>
    <w:rsid w:val="7AF7642E"/>
    <w:rsid w:val="7AFB16F7"/>
    <w:rsid w:val="7B241A11"/>
    <w:rsid w:val="7B26210E"/>
    <w:rsid w:val="7B2F5245"/>
    <w:rsid w:val="7B334F2B"/>
    <w:rsid w:val="7B5042D8"/>
    <w:rsid w:val="7B5E4E76"/>
    <w:rsid w:val="7B637DB6"/>
    <w:rsid w:val="7B673063"/>
    <w:rsid w:val="7B676E25"/>
    <w:rsid w:val="7B6A2721"/>
    <w:rsid w:val="7B784E3E"/>
    <w:rsid w:val="7B7B3AC4"/>
    <w:rsid w:val="7B841A35"/>
    <w:rsid w:val="7BA060D4"/>
    <w:rsid w:val="7BB01186"/>
    <w:rsid w:val="7BB92FD8"/>
    <w:rsid w:val="7BC77D94"/>
    <w:rsid w:val="7BDA728E"/>
    <w:rsid w:val="7BE76C0E"/>
    <w:rsid w:val="7BEC38D9"/>
    <w:rsid w:val="7BF0651E"/>
    <w:rsid w:val="7C1E6245"/>
    <w:rsid w:val="7C1F3E1B"/>
    <w:rsid w:val="7C2106CE"/>
    <w:rsid w:val="7C2B0D47"/>
    <w:rsid w:val="7C484810"/>
    <w:rsid w:val="7C642B27"/>
    <w:rsid w:val="7C651F05"/>
    <w:rsid w:val="7C731C1C"/>
    <w:rsid w:val="7C765821"/>
    <w:rsid w:val="7C782AB0"/>
    <w:rsid w:val="7C7E6484"/>
    <w:rsid w:val="7C88331E"/>
    <w:rsid w:val="7CA22FEA"/>
    <w:rsid w:val="7CAB3634"/>
    <w:rsid w:val="7CEF6506"/>
    <w:rsid w:val="7CF40EC8"/>
    <w:rsid w:val="7CF66AAB"/>
    <w:rsid w:val="7CF85855"/>
    <w:rsid w:val="7CFA011A"/>
    <w:rsid w:val="7CFD08F0"/>
    <w:rsid w:val="7D056BA5"/>
    <w:rsid w:val="7D330928"/>
    <w:rsid w:val="7D510C4B"/>
    <w:rsid w:val="7D5611AF"/>
    <w:rsid w:val="7D61509E"/>
    <w:rsid w:val="7D6D684D"/>
    <w:rsid w:val="7D8269D3"/>
    <w:rsid w:val="7DD80EB4"/>
    <w:rsid w:val="7DE15E86"/>
    <w:rsid w:val="7DFE2FC3"/>
    <w:rsid w:val="7E067666"/>
    <w:rsid w:val="7E11330D"/>
    <w:rsid w:val="7E207BF6"/>
    <w:rsid w:val="7E290672"/>
    <w:rsid w:val="7E3E6E71"/>
    <w:rsid w:val="7E5A082B"/>
    <w:rsid w:val="7E5C63E0"/>
    <w:rsid w:val="7E670A3E"/>
    <w:rsid w:val="7E763D23"/>
    <w:rsid w:val="7E8F46DC"/>
    <w:rsid w:val="7E9E5C9C"/>
    <w:rsid w:val="7EAD6101"/>
    <w:rsid w:val="7EB33FB5"/>
    <w:rsid w:val="7EB93807"/>
    <w:rsid w:val="7EBD63C0"/>
    <w:rsid w:val="7EBF1CF5"/>
    <w:rsid w:val="7ED82D3A"/>
    <w:rsid w:val="7EE24D87"/>
    <w:rsid w:val="7EEA095D"/>
    <w:rsid w:val="7EEC1626"/>
    <w:rsid w:val="7F0B7248"/>
    <w:rsid w:val="7F140DB1"/>
    <w:rsid w:val="7F2A57B6"/>
    <w:rsid w:val="7F4F16B1"/>
    <w:rsid w:val="7F695182"/>
    <w:rsid w:val="7F763462"/>
    <w:rsid w:val="7F7A0221"/>
    <w:rsid w:val="7F8D0FEB"/>
    <w:rsid w:val="7F983D01"/>
    <w:rsid w:val="7FB725E1"/>
    <w:rsid w:val="7FC02287"/>
    <w:rsid w:val="7FC76391"/>
    <w:rsid w:val="7FC76394"/>
    <w:rsid w:val="7FDA2C42"/>
    <w:rsid w:val="7FE83C65"/>
    <w:rsid w:val="7FE92466"/>
    <w:rsid w:val="7FEB7236"/>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39" w:semiHidden="0" w:name="toc 2"/>
    <w:lsdException w:qFormat="1" w:unhideWhenUsed="0" w:uiPriority="99" w:semiHidden="0" w:name="toc 3"/>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qFormat="1" w:unhideWhenUsed="0" w:uiPriority="0" w:semiHidden="0" w:name="Normal Indent"/>
    <w:lsdException w:qFormat="1" w:unhideWhenUsed="0" w:uiPriority="99"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iPriority="99" w:name="index heading" w:locked="1"/>
    <w:lsdException w:qFormat="1" w:unhideWhenUsed="0" w:uiPriority="99" w:semiHidden="0" w:name="caption"/>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semiHidden="0" w:name="annotation reference"/>
    <w:lsdException w:uiPriority="99" w:name="line number" w:locked="1"/>
    <w:lsdException w:qFormat="1" w:unhideWhenUsed="0" w:uiPriority="0"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qFormat="1" w:unhideWhenUsed="0" w:uiPriority="99" w:semiHidden="0" w:name="List"/>
    <w:lsdException w:uiPriority="99" w:name="List Bullet" w:locked="1"/>
    <w:lsdException w:uiPriority="99" w:name="List Number" w:locked="1"/>
    <w:lsdException w:qFormat="1" w:unhideWhenUsed="0" w:uiPriority="99" w:semiHidden="0" w:name="List 2"/>
    <w:lsdException w:qFormat="1" w:unhideWhenUsed="0" w:uiPriority="99" w:semiHidden="0" w:name="List 3"/>
    <w:lsdException w:qFormat="1" w:unhideWhenUsed="0" w:uiPriority="99" w:semiHidden="0" w:name="List 4"/>
    <w:lsdException w:qFormat="1" w:unhideWhenUsed="0" w:uiPriority="99" w:semiHidden="0" w:name="List 5"/>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iPriority="1" w:name="Default Paragraph Font"/>
    <w:lsdException w:qFormat="1" w:unhideWhenUsed="0" w:uiPriority="0" w:semiHidden="0" w:name="Body Text"/>
    <w:lsdException w:qFormat="1" w:unhideWhenUsed="0" w:uiPriority="99" w:semiHidden="0" w:name="Body Text Indent"/>
    <w:lsdException w:uiPriority="99" w:name="List Continue" w:locked="1"/>
    <w:lsdException w:qFormat="1" w:unhideWhenUsed="0" w:uiPriority="99" w:semiHidden="0" w:name="List Continue 2"/>
    <w:lsdException w:qFormat="1" w:unhideWhenUsed="0" w:uiPriority="99" w:semiHidden="0" w:name="List Continue 3"/>
    <w:lsdException w:qFormat="1" w:unhideWhenUsed="0" w:uiPriority="99" w:semiHidden="0" w:name="List Continue 4"/>
    <w:lsdException w:qFormat="1" w:unhideWhenUsed="0" w:uiPriority="99" w:semiHidden="0" w:name="List Continue 5"/>
    <w:lsdException w:uiPriority="99" w:name="Message Header" w:locked="1"/>
    <w:lsdException w:qFormat="1" w:unhideWhenUsed="0" w:uiPriority="11" w:semiHidden="0" w:name="Subtitle" w:locked="1"/>
    <w:lsdException w:uiPriority="99" w:name="Salutation" w:locked="1"/>
    <w:lsdException w:qFormat="1" w:unhideWhenUsed="0" w:uiPriority="99" w:semiHidden="0" w:name="Date"/>
    <w:lsdException w:qFormat="1" w:unhideWhenUsed="0" w:uiPriority="0" w:semiHidden="0" w:name="Body Text First Indent" w:locked="1"/>
    <w:lsdException w:qFormat="1" w:uiPriority="99" w:name="Body Text First Indent 2" w:locked="1"/>
    <w:lsdException w:uiPriority="99" w:name="Note Heading" w:locked="1"/>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0" w:semiHidden="0" w:name="Block Text" w:locked="1"/>
    <w:lsdException w:qFormat="1" w:unhideWhenUsed="0" w:uiPriority="99" w:semiHidden="0" w:name="Hyperlink"/>
    <w:lsdException w:qFormat="1" w:unhideWhenUsed="0" w:uiPriority="99" w:semiHidden="0" w:name="FollowedHyperlink"/>
    <w:lsdException w:qFormat="1" w:unhideWhenUsed="0" w:uiPriority="22" w:semiHidden="0" w:name="Strong" w:locked="1"/>
    <w:lsdException w:qFormat="1" w:unhideWhenUsed="0" w:uiPriority="20" w:semiHidden="0" w:name="Emphasis" w:locked="1"/>
    <w:lsdException w:uiPriority="99" w:name="Document Map" w:locked="1"/>
    <w:lsdException w:qFormat="1" w:unhideWhenUsed="0" w:uiPriority="0"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0" w:semiHidden="0" w:name="Table Grid" w:locked="1"/>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4"/>
      <w:szCs w:val="22"/>
      <w:lang w:val="en-US" w:eastAsia="zh-CN" w:bidi="ar-SA"/>
    </w:rPr>
  </w:style>
  <w:style w:type="paragraph" w:styleId="3">
    <w:name w:val="heading 1"/>
    <w:basedOn w:val="1"/>
    <w:next w:val="2"/>
    <w:link w:val="56"/>
    <w:qFormat/>
    <w:uiPriority w:val="0"/>
    <w:pPr>
      <w:keepNext/>
      <w:keepLines/>
      <w:numPr>
        <w:ilvl w:val="0"/>
        <w:numId w:val="1"/>
      </w:numPr>
      <w:adjustRightInd w:val="0"/>
      <w:spacing w:before="160" w:after="160" w:line="160" w:lineRule="atLeast"/>
      <w:textAlignment w:val="baseline"/>
      <w:outlineLvl w:val="0"/>
    </w:pPr>
    <w:rPr>
      <w:rFonts w:ascii="黑体" w:eastAsia="黑体"/>
      <w:kern w:val="44"/>
      <w:sz w:val="32"/>
      <w:szCs w:val="20"/>
    </w:rPr>
  </w:style>
  <w:style w:type="paragraph" w:styleId="4">
    <w:name w:val="heading 2"/>
    <w:basedOn w:val="1"/>
    <w:next w:val="2"/>
    <w:link w:val="57"/>
    <w:qFormat/>
    <w:uiPriority w:val="0"/>
    <w:pPr>
      <w:keepNext/>
      <w:keepLines/>
      <w:numPr>
        <w:ilvl w:val="1"/>
        <w:numId w:val="1"/>
      </w:numPr>
      <w:tabs>
        <w:tab w:val="left" w:pos="0"/>
        <w:tab w:val="left" w:pos="360"/>
      </w:tabs>
      <w:adjustRightInd w:val="0"/>
      <w:spacing w:before="160" w:after="160" w:line="160" w:lineRule="atLeast"/>
      <w:textAlignment w:val="baseline"/>
      <w:outlineLvl w:val="1"/>
    </w:pPr>
    <w:rPr>
      <w:rFonts w:ascii="黑体" w:eastAsia="黑体"/>
      <w:kern w:val="0"/>
      <w:sz w:val="28"/>
      <w:szCs w:val="20"/>
    </w:rPr>
  </w:style>
  <w:style w:type="paragraph" w:styleId="5">
    <w:name w:val="heading 3"/>
    <w:basedOn w:val="1"/>
    <w:next w:val="2"/>
    <w:link w:val="58"/>
    <w:qFormat/>
    <w:uiPriority w:val="0"/>
    <w:pPr>
      <w:keepNext/>
      <w:keepLines/>
      <w:numPr>
        <w:ilvl w:val="2"/>
        <w:numId w:val="1"/>
      </w:numPr>
      <w:tabs>
        <w:tab w:val="left" w:pos="360"/>
      </w:tabs>
      <w:adjustRightInd w:val="0"/>
      <w:spacing w:before="160" w:after="160" w:line="160" w:lineRule="atLeast"/>
      <w:ind w:hanging="284"/>
      <w:textAlignment w:val="baseline"/>
      <w:outlineLvl w:val="2"/>
    </w:pPr>
    <w:rPr>
      <w:rFonts w:ascii="黑体" w:eastAsia="黑体"/>
      <w:kern w:val="0"/>
      <w:sz w:val="28"/>
      <w:szCs w:val="20"/>
    </w:rPr>
  </w:style>
  <w:style w:type="paragraph" w:styleId="6">
    <w:name w:val="heading 4"/>
    <w:basedOn w:val="1"/>
    <w:next w:val="1"/>
    <w:link w:val="59"/>
    <w:qFormat/>
    <w:uiPriority w:val="0"/>
    <w:pPr>
      <w:keepNext/>
      <w:keepLines/>
      <w:numPr>
        <w:ilvl w:val="3"/>
        <w:numId w:val="1"/>
      </w:numPr>
      <w:tabs>
        <w:tab w:val="left" w:pos="0"/>
        <w:tab w:val="left" w:pos="360"/>
      </w:tabs>
      <w:adjustRightInd w:val="0"/>
      <w:spacing w:before="280" w:after="290" w:line="376" w:lineRule="atLeast"/>
      <w:textAlignment w:val="baseline"/>
      <w:outlineLvl w:val="3"/>
    </w:pPr>
    <w:rPr>
      <w:rFonts w:ascii="Arial" w:hAnsi="Arial" w:eastAsia="黑体"/>
      <w:b/>
      <w:kern w:val="0"/>
      <w:sz w:val="28"/>
      <w:szCs w:val="20"/>
    </w:rPr>
  </w:style>
  <w:style w:type="paragraph" w:styleId="7">
    <w:name w:val="heading 5"/>
    <w:basedOn w:val="1"/>
    <w:next w:val="1"/>
    <w:link w:val="60"/>
    <w:qFormat/>
    <w:uiPriority w:val="0"/>
    <w:pPr>
      <w:keepNext/>
      <w:keepLines/>
      <w:numPr>
        <w:ilvl w:val="4"/>
        <w:numId w:val="1"/>
      </w:numPr>
      <w:tabs>
        <w:tab w:val="left" w:pos="0"/>
        <w:tab w:val="left" w:pos="360"/>
      </w:tabs>
      <w:adjustRightInd w:val="0"/>
      <w:spacing w:before="280" w:after="290" w:line="376" w:lineRule="atLeast"/>
      <w:textAlignment w:val="baseline"/>
      <w:outlineLvl w:val="4"/>
    </w:pPr>
    <w:rPr>
      <w:rFonts w:ascii="Times New Roman" w:hAnsi="Times New Roman"/>
      <w:b/>
      <w:kern w:val="0"/>
      <w:sz w:val="28"/>
      <w:szCs w:val="20"/>
    </w:rPr>
  </w:style>
  <w:style w:type="paragraph" w:styleId="8">
    <w:name w:val="heading 6"/>
    <w:basedOn w:val="1"/>
    <w:next w:val="1"/>
    <w:link w:val="61"/>
    <w:qFormat/>
    <w:uiPriority w:val="0"/>
    <w:pPr>
      <w:keepNext/>
      <w:keepLines/>
      <w:numPr>
        <w:ilvl w:val="5"/>
        <w:numId w:val="1"/>
      </w:numPr>
      <w:tabs>
        <w:tab w:val="left" w:pos="0"/>
        <w:tab w:val="left" w:pos="360"/>
      </w:tabs>
      <w:adjustRightInd w:val="0"/>
      <w:spacing w:before="240" w:after="64" w:line="320" w:lineRule="atLeast"/>
      <w:textAlignment w:val="baseline"/>
      <w:outlineLvl w:val="5"/>
    </w:pPr>
    <w:rPr>
      <w:rFonts w:ascii="Arial" w:hAnsi="Arial" w:eastAsia="黑体"/>
      <w:b/>
      <w:kern w:val="0"/>
      <w:szCs w:val="20"/>
    </w:rPr>
  </w:style>
  <w:style w:type="paragraph" w:styleId="9">
    <w:name w:val="heading 7"/>
    <w:basedOn w:val="1"/>
    <w:next w:val="1"/>
    <w:link w:val="62"/>
    <w:qFormat/>
    <w:uiPriority w:val="0"/>
    <w:pPr>
      <w:keepNext/>
      <w:keepLines/>
      <w:numPr>
        <w:ilvl w:val="6"/>
        <w:numId w:val="1"/>
      </w:numPr>
      <w:tabs>
        <w:tab w:val="left" w:pos="0"/>
        <w:tab w:val="left" w:pos="360"/>
      </w:tabs>
      <w:adjustRightInd w:val="0"/>
      <w:spacing w:before="240" w:after="64" w:line="320" w:lineRule="atLeast"/>
      <w:textAlignment w:val="baseline"/>
      <w:outlineLvl w:val="6"/>
    </w:pPr>
    <w:rPr>
      <w:rFonts w:ascii="Times New Roman" w:hAnsi="Times New Roman"/>
      <w:b/>
      <w:kern w:val="0"/>
      <w:szCs w:val="20"/>
    </w:rPr>
  </w:style>
  <w:style w:type="paragraph" w:styleId="10">
    <w:name w:val="heading 8"/>
    <w:basedOn w:val="1"/>
    <w:next w:val="1"/>
    <w:link w:val="63"/>
    <w:qFormat/>
    <w:uiPriority w:val="0"/>
    <w:pPr>
      <w:keepNext/>
      <w:keepLines/>
      <w:numPr>
        <w:ilvl w:val="7"/>
        <w:numId w:val="1"/>
      </w:numPr>
      <w:tabs>
        <w:tab w:val="left" w:pos="0"/>
        <w:tab w:val="left" w:pos="360"/>
      </w:tabs>
      <w:adjustRightInd w:val="0"/>
      <w:spacing w:before="240" w:after="64" w:line="320" w:lineRule="atLeast"/>
      <w:textAlignment w:val="baseline"/>
      <w:outlineLvl w:val="7"/>
    </w:pPr>
    <w:rPr>
      <w:rFonts w:ascii="Arial" w:hAnsi="Arial" w:eastAsia="黑体"/>
      <w:kern w:val="0"/>
      <w:szCs w:val="20"/>
    </w:rPr>
  </w:style>
  <w:style w:type="paragraph" w:styleId="11">
    <w:name w:val="heading 9"/>
    <w:basedOn w:val="1"/>
    <w:next w:val="1"/>
    <w:link w:val="64"/>
    <w:qFormat/>
    <w:uiPriority w:val="0"/>
    <w:pPr>
      <w:keepNext/>
      <w:keepLines/>
      <w:numPr>
        <w:ilvl w:val="8"/>
        <w:numId w:val="1"/>
      </w:numPr>
      <w:tabs>
        <w:tab w:val="left" w:pos="0"/>
        <w:tab w:val="left" w:pos="360"/>
      </w:tabs>
      <w:adjustRightInd w:val="0"/>
      <w:spacing w:before="240" w:after="64" w:line="320" w:lineRule="atLeast"/>
      <w:textAlignment w:val="baseline"/>
      <w:outlineLvl w:val="8"/>
    </w:pPr>
    <w:rPr>
      <w:rFonts w:ascii="Arial" w:hAnsi="Arial" w:eastAsia="黑体"/>
      <w:kern w:val="0"/>
      <w:szCs w:val="20"/>
    </w:rPr>
  </w:style>
  <w:style w:type="character" w:default="1" w:styleId="49">
    <w:name w:val="Default Paragraph Font"/>
    <w:semiHidden/>
    <w:unhideWhenUsed/>
    <w:qFormat/>
    <w:uiPriority w:val="1"/>
  </w:style>
  <w:style w:type="table" w:default="1" w:styleId="47">
    <w:name w:val="Normal Table"/>
    <w:semiHidden/>
    <w:unhideWhenUsed/>
    <w:qFormat/>
    <w:uiPriority w:val="99"/>
    <w:tblPr>
      <w:tblCellMar>
        <w:top w:w="0" w:type="dxa"/>
        <w:left w:w="108" w:type="dxa"/>
        <w:bottom w:w="0" w:type="dxa"/>
        <w:right w:w="108" w:type="dxa"/>
      </w:tblCellMar>
    </w:tblPr>
  </w:style>
  <w:style w:type="paragraph" w:customStyle="1" w:styleId="2">
    <w:name w:val="文档正文"/>
    <w:basedOn w:val="1"/>
    <w:qFormat/>
    <w:uiPriority w:val="99"/>
    <w:pPr>
      <w:adjustRightInd w:val="0"/>
      <w:spacing w:line="480" w:lineRule="atLeast"/>
      <w:ind w:firstLine="567"/>
      <w:textAlignment w:val="baseline"/>
    </w:pPr>
    <w:rPr>
      <w:rFonts w:ascii="仿宋_GB2312" w:eastAsia="仿宋_GB2312"/>
      <w:kern w:val="0"/>
      <w:sz w:val="28"/>
      <w:szCs w:val="20"/>
    </w:rPr>
  </w:style>
  <w:style w:type="paragraph" w:styleId="12">
    <w:name w:val="List 3"/>
    <w:basedOn w:val="1"/>
    <w:qFormat/>
    <w:uiPriority w:val="99"/>
    <w:pPr>
      <w:ind w:left="600" w:leftChars="400" w:hanging="200" w:hangingChars="200"/>
    </w:pPr>
    <w:rPr>
      <w:rFonts w:ascii="Times New Roman" w:hAnsi="Times New Roman"/>
      <w:szCs w:val="20"/>
    </w:rPr>
  </w:style>
  <w:style w:type="paragraph" w:styleId="13">
    <w:name w:val="Normal Indent"/>
    <w:basedOn w:val="1"/>
    <w:qFormat/>
    <w:uiPriority w:val="0"/>
    <w:pPr>
      <w:ind w:firstLine="420"/>
    </w:pPr>
    <w:rPr>
      <w:rFonts w:ascii="Times New Roman" w:hAnsi="Times New Roman"/>
      <w:sz w:val="28"/>
      <w:szCs w:val="20"/>
    </w:rPr>
  </w:style>
  <w:style w:type="paragraph" w:styleId="14">
    <w:name w:val="caption"/>
    <w:basedOn w:val="1"/>
    <w:next w:val="1"/>
    <w:qFormat/>
    <w:uiPriority w:val="99"/>
    <w:pPr>
      <w:spacing w:before="152" w:after="160"/>
    </w:pPr>
    <w:rPr>
      <w:rFonts w:ascii="Arial" w:hAnsi="Arial" w:eastAsia="黑体" w:cs="Arial"/>
      <w:sz w:val="20"/>
      <w:szCs w:val="20"/>
    </w:rPr>
  </w:style>
  <w:style w:type="paragraph" w:styleId="15">
    <w:name w:val="annotation text"/>
    <w:basedOn w:val="1"/>
    <w:next w:val="13"/>
    <w:link w:val="65"/>
    <w:qFormat/>
    <w:uiPriority w:val="99"/>
    <w:pPr>
      <w:jc w:val="left"/>
    </w:pPr>
  </w:style>
  <w:style w:type="paragraph" w:styleId="16">
    <w:name w:val="Body Text 3"/>
    <w:basedOn w:val="1"/>
    <w:link w:val="67"/>
    <w:qFormat/>
    <w:uiPriority w:val="99"/>
    <w:pPr>
      <w:spacing w:after="120"/>
    </w:pPr>
    <w:rPr>
      <w:rFonts w:ascii="Times New Roman" w:hAnsi="Times New Roman"/>
      <w:sz w:val="16"/>
      <w:szCs w:val="16"/>
    </w:rPr>
  </w:style>
  <w:style w:type="paragraph" w:styleId="17">
    <w:name w:val="Body Text"/>
    <w:basedOn w:val="1"/>
    <w:next w:val="18"/>
    <w:link w:val="68"/>
    <w:qFormat/>
    <w:uiPriority w:val="0"/>
    <w:pPr>
      <w:spacing w:line="360" w:lineRule="auto"/>
    </w:pPr>
    <w:rPr>
      <w:rFonts w:ascii="Times New Roman" w:hAnsi="Times New Roman"/>
      <w:szCs w:val="20"/>
    </w:rPr>
  </w:style>
  <w:style w:type="paragraph" w:customStyle="1" w:styleId="18">
    <w:name w:val="Default"/>
    <w:next w:val="19"/>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9">
    <w:name w:val="大标题"/>
    <w:basedOn w:val="1"/>
    <w:next w:val="20"/>
    <w:qFormat/>
    <w:uiPriority w:val="0"/>
    <w:pPr>
      <w:jc w:val="center"/>
    </w:pPr>
    <w:rPr>
      <w:rFonts w:ascii="Arial" w:hAnsi="Arial"/>
      <w:b/>
      <w:sz w:val="28"/>
      <w:szCs w:val="24"/>
    </w:rPr>
  </w:style>
  <w:style w:type="paragraph" w:styleId="20">
    <w:name w:val="Body Text First Indent 2"/>
    <w:basedOn w:val="21"/>
    <w:next w:val="17"/>
    <w:link w:val="99"/>
    <w:semiHidden/>
    <w:unhideWhenUsed/>
    <w:qFormat/>
    <w:locked/>
    <w:uiPriority w:val="99"/>
    <w:pPr>
      <w:spacing w:after="120"/>
      <w:ind w:left="420" w:leftChars="200" w:firstLine="420" w:firstLineChars="200"/>
    </w:pPr>
    <w:rPr>
      <w:rFonts w:ascii="Calibri"/>
      <w:sz w:val="24"/>
      <w:szCs w:val="22"/>
    </w:rPr>
  </w:style>
  <w:style w:type="paragraph" w:styleId="21">
    <w:name w:val="Body Text Indent"/>
    <w:basedOn w:val="1"/>
    <w:next w:val="17"/>
    <w:link w:val="69"/>
    <w:qFormat/>
    <w:uiPriority w:val="99"/>
    <w:pPr>
      <w:ind w:firstLine="645"/>
    </w:pPr>
    <w:rPr>
      <w:rFonts w:ascii="宋体"/>
      <w:sz w:val="32"/>
      <w:szCs w:val="20"/>
    </w:rPr>
  </w:style>
  <w:style w:type="paragraph" w:styleId="22">
    <w:name w:val="List 2"/>
    <w:basedOn w:val="1"/>
    <w:qFormat/>
    <w:uiPriority w:val="99"/>
    <w:pPr>
      <w:ind w:left="400" w:leftChars="200" w:hanging="200" w:hangingChars="200"/>
    </w:pPr>
    <w:rPr>
      <w:rFonts w:ascii="Times New Roman" w:hAnsi="Times New Roman"/>
      <w:szCs w:val="20"/>
    </w:rPr>
  </w:style>
  <w:style w:type="paragraph" w:styleId="23">
    <w:name w:val="Block Text"/>
    <w:basedOn w:val="1"/>
    <w:qFormat/>
    <w:locked/>
    <w:uiPriority w:val="0"/>
    <w:pPr>
      <w:autoSpaceDE w:val="0"/>
      <w:autoSpaceDN w:val="0"/>
      <w:adjustRightInd w:val="0"/>
      <w:spacing w:line="500" w:lineRule="exact"/>
      <w:ind w:left="391" w:right="246"/>
    </w:pPr>
    <w:rPr>
      <w:rFonts w:ascii="仿宋_GB2312" w:hAnsi="Times New Roman" w:eastAsia="仿宋_GB2312"/>
      <w:kern w:val="0"/>
      <w:szCs w:val="24"/>
    </w:rPr>
  </w:style>
  <w:style w:type="paragraph" w:styleId="24">
    <w:name w:val="toc 3"/>
    <w:basedOn w:val="1"/>
    <w:next w:val="1"/>
    <w:qFormat/>
    <w:uiPriority w:val="99"/>
    <w:pPr>
      <w:tabs>
        <w:tab w:val="right" w:leader="dot" w:pos="8776"/>
      </w:tabs>
      <w:spacing w:line="400" w:lineRule="exact"/>
      <w:ind w:left="400" w:leftChars="400" w:firstLine="200" w:firstLineChars="200"/>
    </w:pPr>
    <w:rPr>
      <w:rFonts w:ascii="宋体"/>
      <w:bCs/>
      <w:sz w:val="18"/>
      <w:szCs w:val="18"/>
    </w:rPr>
  </w:style>
  <w:style w:type="paragraph" w:styleId="25">
    <w:name w:val="Plain Text"/>
    <w:basedOn w:val="1"/>
    <w:link w:val="70"/>
    <w:qFormat/>
    <w:uiPriority w:val="0"/>
    <w:pPr>
      <w:spacing w:line="360" w:lineRule="auto"/>
      <w:ind w:firstLine="200" w:firstLineChars="200"/>
    </w:pPr>
    <w:rPr>
      <w:rFonts w:ascii="宋体" w:hAnsi="宋体" w:eastAsia="仿宋_GB2312" w:cs="Courier New"/>
      <w:szCs w:val="21"/>
    </w:rPr>
  </w:style>
  <w:style w:type="paragraph" w:styleId="26">
    <w:name w:val="Date"/>
    <w:basedOn w:val="1"/>
    <w:next w:val="1"/>
    <w:link w:val="71"/>
    <w:qFormat/>
    <w:uiPriority w:val="99"/>
    <w:pPr>
      <w:ind w:left="2500" w:leftChars="2500"/>
    </w:pPr>
  </w:style>
  <w:style w:type="paragraph" w:styleId="27">
    <w:name w:val="Body Text Indent 2"/>
    <w:basedOn w:val="1"/>
    <w:link w:val="72"/>
    <w:qFormat/>
    <w:uiPriority w:val="99"/>
    <w:pPr>
      <w:ind w:firstLine="630"/>
    </w:pPr>
    <w:rPr>
      <w:rFonts w:ascii="宋体"/>
      <w:sz w:val="32"/>
      <w:szCs w:val="20"/>
    </w:rPr>
  </w:style>
  <w:style w:type="paragraph" w:styleId="28">
    <w:name w:val="List Continue 5"/>
    <w:basedOn w:val="1"/>
    <w:qFormat/>
    <w:uiPriority w:val="99"/>
    <w:pPr>
      <w:spacing w:after="120"/>
      <w:ind w:left="1000" w:leftChars="1000"/>
    </w:pPr>
    <w:rPr>
      <w:rFonts w:ascii="Times New Roman" w:hAnsi="Times New Roman"/>
      <w:szCs w:val="20"/>
    </w:rPr>
  </w:style>
  <w:style w:type="paragraph" w:styleId="29">
    <w:name w:val="Balloon Text"/>
    <w:basedOn w:val="1"/>
    <w:link w:val="73"/>
    <w:qFormat/>
    <w:uiPriority w:val="99"/>
    <w:rPr>
      <w:sz w:val="18"/>
      <w:szCs w:val="18"/>
    </w:rPr>
  </w:style>
  <w:style w:type="paragraph" w:styleId="30">
    <w:name w:val="footer"/>
    <w:basedOn w:val="1"/>
    <w:link w:val="74"/>
    <w:qFormat/>
    <w:uiPriority w:val="99"/>
    <w:pPr>
      <w:tabs>
        <w:tab w:val="center" w:pos="4153"/>
        <w:tab w:val="right" w:pos="8306"/>
      </w:tabs>
      <w:snapToGrid w:val="0"/>
      <w:jc w:val="left"/>
    </w:pPr>
    <w:rPr>
      <w:kern w:val="0"/>
      <w:sz w:val="18"/>
      <w:szCs w:val="18"/>
    </w:rPr>
  </w:style>
  <w:style w:type="paragraph" w:styleId="31">
    <w:name w:val="header"/>
    <w:basedOn w:val="1"/>
    <w:link w:val="75"/>
    <w:qFormat/>
    <w:uiPriority w:val="0"/>
    <w:pPr>
      <w:pBdr>
        <w:bottom w:val="single" w:color="auto" w:sz="6" w:space="1"/>
      </w:pBdr>
      <w:tabs>
        <w:tab w:val="center" w:pos="4153"/>
        <w:tab w:val="right" w:pos="8306"/>
      </w:tabs>
      <w:snapToGrid w:val="0"/>
      <w:jc w:val="center"/>
    </w:pPr>
    <w:rPr>
      <w:kern w:val="0"/>
      <w:sz w:val="18"/>
      <w:szCs w:val="18"/>
    </w:rPr>
  </w:style>
  <w:style w:type="paragraph" w:styleId="32">
    <w:name w:val="toc 1"/>
    <w:basedOn w:val="1"/>
    <w:next w:val="1"/>
    <w:qFormat/>
    <w:uiPriority w:val="39"/>
    <w:pPr>
      <w:tabs>
        <w:tab w:val="right" w:leader="dot" w:pos="8776"/>
      </w:tabs>
      <w:spacing w:line="360" w:lineRule="exact"/>
      <w:ind w:firstLine="200" w:firstLineChars="200"/>
    </w:pPr>
    <w:rPr>
      <w:rFonts w:ascii="华文中宋" w:eastAsia="华文中宋"/>
      <w:b/>
      <w:szCs w:val="24"/>
    </w:rPr>
  </w:style>
  <w:style w:type="paragraph" w:styleId="33">
    <w:name w:val="List Continue 4"/>
    <w:basedOn w:val="1"/>
    <w:qFormat/>
    <w:uiPriority w:val="99"/>
    <w:pPr>
      <w:spacing w:after="120"/>
      <w:ind w:left="800" w:leftChars="800"/>
    </w:pPr>
    <w:rPr>
      <w:rFonts w:ascii="Times New Roman" w:hAnsi="Times New Roman"/>
      <w:szCs w:val="20"/>
    </w:rPr>
  </w:style>
  <w:style w:type="paragraph" w:styleId="34">
    <w:name w:val="Subtitle"/>
    <w:basedOn w:val="1"/>
    <w:next w:val="1"/>
    <w:qFormat/>
    <w:locked/>
    <w:uiPriority w:val="11"/>
    <w:pPr>
      <w:spacing w:before="60" w:after="60" w:line="360" w:lineRule="auto"/>
      <w:jc w:val="left"/>
      <w:outlineLvl w:val="1"/>
    </w:pPr>
    <w:rPr>
      <w:rFonts w:ascii="Calibri Light" w:hAnsi="Calibri Light"/>
      <w:b/>
      <w:bCs/>
      <w:kern w:val="28"/>
      <w:sz w:val="28"/>
      <w:szCs w:val="32"/>
    </w:rPr>
  </w:style>
  <w:style w:type="paragraph" w:styleId="35">
    <w:name w:val="List"/>
    <w:basedOn w:val="1"/>
    <w:qFormat/>
    <w:uiPriority w:val="99"/>
    <w:pPr>
      <w:ind w:left="200" w:hanging="200" w:hangingChars="200"/>
    </w:pPr>
    <w:rPr>
      <w:rFonts w:ascii="Times New Roman" w:hAnsi="Times New Roman"/>
      <w:szCs w:val="20"/>
    </w:rPr>
  </w:style>
  <w:style w:type="paragraph" w:styleId="36">
    <w:name w:val="footnote text"/>
    <w:basedOn w:val="1"/>
    <w:link w:val="76"/>
    <w:qFormat/>
    <w:uiPriority w:val="99"/>
    <w:pPr>
      <w:adjustRightInd w:val="0"/>
      <w:spacing w:line="312" w:lineRule="atLeast"/>
      <w:jc w:val="left"/>
    </w:pPr>
    <w:rPr>
      <w:rFonts w:ascii="Times New Roman" w:hAnsi="Times New Roman"/>
      <w:kern w:val="0"/>
      <w:sz w:val="18"/>
      <w:szCs w:val="20"/>
    </w:rPr>
  </w:style>
  <w:style w:type="paragraph" w:styleId="37">
    <w:name w:val="List 5"/>
    <w:basedOn w:val="1"/>
    <w:qFormat/>
    <w:uiPriority w:val="99"/>
    <w:pPr>
      <w:ind w:left="1000" w:leftChars="800" w:hanging="200" w:hangingChars="200"/>
    </w:pPr>
    <w:rPr>
      <w:rFonts w:ascii="Times New Roman" w:hAnsi="Times New Roman"/>
      <w:szCs w:val="20"/>
    </w:rPr>
  </w:style>
  <w:style w:type="paragraph" w:styleId="38">
    <w:name w:val="Body Text Indent 3"/>
    <w:basedOn w:val="1"/>
    <w:link w:val="77"/>
    <w:qFormat/>
    <w:uiPriority w:val="99"/>
    <w:pPr>
      <w:spacing w:line="360" w:lineRule="auto"/>
      <w:ind w:firstLine="468"/>
    </w:pPr>
    <w:rPr>
      <w:rFonts w:ascii="Times New Roman" w:hAnsi="Times New Roman"/>
      <w:szCs w:val="20"/>
    </w:rPr>
  </w:style>
  <w:style w:type="paragraph" w:styleId="39">
    <w:name w:val="toc 2"/>
    <w:basedOn w:val="1"/>
    <w:next w:val="1"/>
    <w:qFormat/>
    <w:uiPriority w:val="39"/>
    <w:pPr>
      <w:tabs>
        <w:tab w:val="right" w:leader="dot" w:pos="8776"/>
      </w:tabs>
      <w:spacing w:line="360" w:lineRule="auto"/>
      <w:ind w:left="200" w:leftChars="200" w:firstLine="200" w:firstLineChars="200"/>
      <w:jc w:val="distribute"/>
    </w:pPr>
    <w:rPr>
      <w:rFonts w:ascii="华文中宋" w:eastAsia="华文中宋"/>
      <w:szCs w:val="24"/>
    </w:rPr>
  </w:style>
  <w:style w:type="paragraph" w:styleId="40">
    <w:name w:val="Body Text 2"/>
    <w:basedOn w:val="1"/>
    <w:link w:val="78"/>
    <w:qFormat/>
    <w:uiPriority w:val="99"/>
    <w:pPr>
      <w:spacing w:after="120" w:line="480" w:lineRule="auto"/>
    </w:pPr>
    <w:rPr>
      <w:rFonts w:ascii="Times New Roman" w:hAnsi="Times New Roman"/>
      <w:szCs w:val="20"/>
    </w:rPr>
  </w:style>
  <w:style w:type="paragraph" w:styleId="41">
    <w:name w:val="List 4"/>
    <w:basedOn w:val="1"/>
    <w:qFormat/>
    <w:uiPriority w:val="99"/>
    <w:pPr>
      <w:ind w:left="800" w:leftChars="600" w:hanging="200" w:hangingChars="200"/>
    </w:pPr>
    <w:rPr>
      <w:rFonts w:ascii="Times New Roman" w:hAnsi="Times New Roman"/>
      <w:szCs w:val="20"/>
    </w:rPr>
  </w:style>
  <w:style w:type="paragraph" w:styleId="42">
    <w:name w:val="List Continue 2"/>
    <w:basedOn w:val="1"/>
    <w:qFormat/>
    <w:uiPriority w:val="99"/>
    <w:pPr>
      <w:spacing w:after="120"/>
      <w:ind w:left="400" w:leftChars="400"/>
    </w:pPr>
    <w:rPr>
      <w:rFonts w:ascii="Times New Roman" w:hAnsi="Times New Roman"/>
      <w:szCs w:val="20"/>
    </w:rPr>
  </w:style>
  <w:style w:type="paragraph" w:styleId="43">
    <w:name w:val="Normal (Web)"/>
    <w:basedOn w:val="1"/>
    <w:qFormat/>
    <w:uiPriority w:val="99"/>
    <w:pPr>
      <w:widowControl/>
      <w:spacing w:before="100" w:beforeAutospacing="1" w:after="100" w:afterAutospacing="1"/>
      <w:jc w:val="left"/>
    </w:pPr>
    <w:rPr>
      <w:rFonts w:ascii="宋体"/>
      <w:kern w:val="0"/>
      <w:szCs w:val="24"/>
    </w:rPr>
  </w:style>
  <w:style w:type="paragraph" w:styleId="44">
    <w:name w:val="List Continue 3"/>
    <w:basedOn w:val="1"/>
    <w:qFormat/>
    <w:uiPriority w:val="99"/>
    <w:pPr>
      <w:spacing w:after="120"/>
      <w:ind w:left="600" w:leftChars="600"/>
    </w:pPr>
    <w:rPr>
      <w:rFonts w:ascii="Times New Roman" w:hAnsi="Times New Roman"/>
      <w:szCs w:val="20"/>
    </w:rPr>
  </w:style>
  <w:style w:type="paragraph" w:styleId="45">
    <w:name w:val="annotation subject"/>
    <w:basedOn w:val="15"/>
    <w:next w:val="15"/>
    <w:link w:val="66"/>
    <w:qFormat/>
    <w:uiPriority w:val="99"/>
    <w:rPr>
      <w:b/>
      <w:bCs/>
    </w:rPr>
  </w:style>
  <w:style w:type="paragraph" w:styleId="46">
    <w:name w:val="Body Text First Indent"/>
    <w:basedOn w:val="17"/>
    <w:qFormat/>
    <w:locked/>
    <w:uiPriority w:val="0"/>
    <w:pPr>
      <w:ind w:firstLine="420" w:firstLineChars="100"/>
    </w:pPr>
  </w:style>
  <w:style w:type="table" w:styleId="48">
    <w:name w:val="Table Grid"/>
    <w:basedOn w:val="47"/>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0">
    <w:name w:val="page number"/>
    <w:qFormat/>
    <w:uiPriority w:val="0"/>
    <w:rPr>
      <w:rFonts w:cs="Times New Roman"/>
    </w:rPr>
  </w:style>
  <w:style w:type="character" w:styleId="51">
    <w:name w:val="FollowedHyperlink"/>
    <w:qFormat/>
    <w:uiPriority w:val="99"/>
    <w:rPr>
      <w:rFonts w:cs="Times New Roman"/>
      <w:color w:val="800080"/>
      <w:u w:val="single"/>
    </w:rPr>
  </w:style>
  <w:style w:type="character" w:styleId="52">
    <w:name w:val="Hyperlink"/>
    <w:qFormat/>
    <w:uiPriority w:val="99"/>
    <w:rPr>
      <w:rFonts w:cs="Times New Roman"/>
      <w:color w:val="0000FF"/>
      <w:u w:val="single"/>
    </w:rPr>
  </w:style>
  <w:style w:type="character" w:styleId="53">
    <w:name w:val="annotation reference"/>
    <w:qFormat/>
    <w:uiPriority w:val="99"/>
    <w:rPr>
      <w:rFonts w:cs="Times New Roman"/>
      <w:sz w:val="21"/>
      <w:szCs w:val="21"/>
    </w:rPr>
  </w:style>
  <w:style w:type="paragraph" w:customStyle="1" w:styleId="54">
    <w:name w:val="正文1"/>
    <w:qFormat/>
    <w:uiPriority w:val="0"/>
    <w:pPr>
      <w:widowControl w:val="0"/>
      <w:adjustRightInd w:val="0"/>
      <w:spacing w:line="360" w:lineRule="atLeast"/>
    </w:pPr>
    <w:rPr>
      <w:rFonts w:ascii="宋体" w:hAnsi="Times New Roman" w:eastAsia="宋体" w:cs="Times New Roman"/>
      <w:b/>
      <w:position w:val="-10"/>
      <w:sz w:val="24"/>
      <w:szCs w:val="22"/>
      <w:lang w:val="en-US" w:eastAsia="zh-CN" w:bidi="ar-SA"/>
    </w:rPr>
  </w:style>
  <w:style w:type="paragraph" w:customStyle="1" w:styleId="55">
    <w:name w:val="无间隔1"/>
    <w:basedOn w:val="1"/>
    <w:qFormat/>
    <w:uiPriority w:val="1"/>
    <w:pPr>
      <w:spacing w:line="400" w:lineRule="exact"/>
    </w:pPr>
  </w:style>
  <w:style w:type="character" w:customStyle="1" w:styleId="56">
    <w:name w:val="标题 1 字符"/>
    <w:link w:val="3"/>
    <w:qFormat/>
    <w:uiPriority w:val="9"/>
    <w:rPr>
      <w:rFonts w:ascii="Calibri" w:hAnsi="Calibri"/>
      <w:b/>
      <w:bCs/>
      <w:kern w:val="44"/>
      <w:sz w:val="44"/>
      <w:szCs w:val="44"/>
    </w:rPr>
  </w:style>
  <w:style w:type="character" w:customStyle="1" w:styleId="57">
    <w:name w:val="标题 2 字符"/>
    <w:link w:val="4"/>
    <w:qFormat/>
    <w:uiPriority w:val="0"/>
    <w:rPr>
      <w:rFonts w:ascii="黑体" w:hAnsi="Calibri" w:eastAsia="黑体"/>
      <w:sz w:val="28"/>
    </w:rPr>
  </w:style>
  <w:style w:type="character" w:customStyle="1" w:styleId="58">
    <w:name w:val="标题 3 字符"/>
    <w:link w:val="5"/>
    <w:semiHidden/>
    <w:qFormat/>
    <w:uiPriority w:val="9"/>
    <w:rPr>
      <w:rFonts w:ascii="Calibri" w:hAnsi="Calibri"/>
      <w:b/>
      <w:bCs/>
      <w:sz w:val="32"/>
      <w:szCs w:val="32"/>
    </w:rPr>
  </w:style>
  <w:style w:type="character" w:customStyle="1" w:styleId="59">
    <w:name w:val="标题 4 字符"/>
    <w:link w:val="6"/>
    <w:semiHidden/>
    <w:qFormat/>
    <w:uiPriority w:val="9"/>
    <w:rPr>
      <w:rFonts w:ascii="Cambria" w:hAnsi="Cambria" w:eastAsia="宋体" w:cs="Times New Roman"/>
      <w:b/>
      <w:bCs/>
      <w:sz w:val="28"/>
      <w:szCs w:val="28"/>
    </w:rPr>
  </w:style>
  <w:style w:type="character" w:customStyle="1" w:styleId="60">
    <w:name w:val="标题 5 字符"/>
    <w:link w:val="7"/>
    <w:semiHidden/>
    <w:qFormat/>
    <w:uiPriority w:val="9"/>
    <w:rPr>
      <w:rFonts w:ascii="Calibri" w:hAnsi="Calibri"/>
      <w:b/>
      <w:bCs/>
      <w:sz w:val="28"/>
      <w:szCs w:val="28"/>
    </w:rPr>
  </w:style>
  <w:style w:type="character" w:customStyle="1" w:styleId="61">
    <w:name w:val="标题 6 字符"/>
    <w:link w:val="8"/>
    <w:semiHidden/>
    <w:qFormat/>
    <w:uiPriority w:val="9"/>
    <w:rPr>
      <w:rFonts w:ascii="Cambria" w:hAnsi="Cambria" w:eastAsia="宋体" w:cs="Times New Roman"/>
      <w:b/>
      <w:bCs/>
      <w:sz w:val="24"/>
      <w:szCs w:val="24"/>
    </w:rPr>
  </w:style>
  <w:style w:type="character" w:customStyle="1" w:styleId="62">
    <w:name w:val="标题 7 字符"/>
    <w:link w:val="9"/>
    <w:semiHidden/>
    <w:qFormat/>
    <w:uiPriority w:val="9"/>
    <w:rPr>
      <w:rFonts w:ascii="Calibri" w:hAnsi="Calibri"/>
      <w:b/>
      <w:bCs/>
      <w:sz w:val="24"/>
      <w:szCs w:val="24"/>
    </w:rPr>
  </w:style>
  <w:style w:type="character" w:customStyle="1" w:styleId="63">
    <w:name w:val="标题 8 字符"/>
    <w:link w:val="10"/>
    <w:semiHidden/>
    <w:qFormat/>
    <w:uiPriority w:val="9"/>
    <w:rPr>
      <w:rFonts w:ascii="Cambria" w:hAnsi="Cambria" w:eastAsia="宋体" w:cs="Times New Roman"/>
      <w:sz w:val="24"/>
      <w:szCs w:val="24"/>
    </w:rPr>
  </w:style>
  <w:style w:type="character" w:customStyle="1" w:styleId="64">
    <w:name w:val="标题 9 字符"/>
    <w:link w:val="11"/>
    <w:semiHidden/>
    <w:qFormat/>
    <w:uiPriority w:val="9"/>
    <w:rPr>
      <w:rFonts w:ascii="Cambria" w:hAnsi="Cambria" w:eastAsia="宋体" w:cs="Times New Roman"/>
      <w:szCs w:val="21"/>
    </w:rPr>
  </w:style>
  <w:style w:type="character" w:customStyle="1" w:styleId="65">
    <w:name w:val="批注文字 字符"/>
    <w:link w:val="15"/>
    <w:qFormat/>
    <w:uiPriority w:val="99"/>
    <w:rPr>
      <w:rFonts w:ascii="Calibri" w:hAnsi="Calibri"/>
    </w:rPr>
  </w:style>
  <w:style w:type="character" w:customStyle="1" w:styleId="66">
    <w:name w:val="批注主题 字符"/>
    <w:link w:val="45"/>
    <w:semiHidden/>
    <w:qFormat/>
    <w:uiPriority w:val="99"/>
    <w:rPr>
      <w:rFonts w:ascii="Calibri" w:hAnsi="Calibri"/>
      <w:b/>
      <w:bCs/>
    </w:rPr>
  </w:style>
  <w:style w:type="character" w:customStyle="1" w:styleId="67">
    <w:name w:val="正文文本 3 字符"/>
    <w:link w:val="16"/>
    <w:semiHidden/>
    <w:qFormat/>
    <w:uiPriority w:val="99"/>
    <w:rPr>
      <w:rFonts w:ascii="Calibri" w:hAnsi="Calibri"/>
      <w:sz w:val="16"/>
      <w:szCs w:val="16"/>
    </w:rPr>
  </w:style>
  <w:style w:type="character" w:customStyle="1" w:styleId="68">
    <w:name w:val="正文文本 字符"/>
    <w:link w:val="17"/>
    <w:semiHidden/>
    <w:qFormat/>
    <w:uiPriority w:val="99"/>
    <w:rPr>
      <w:rFonts w:ascii="Calibri" w:hAnsi="Calibri"/>
    </w:rPr>
  </w:style>
  <w:style w:type="character" w:customStyle="1" w:styleId="69">
    <w:name w:val="正文文本缩进 字符"/>
    <w:link w:val="21"/>
    <w:semiHidden/>
    <w:qFormat/>
    <w:uiPriority w:val="99"/>
    <w:rPr>
      <w:rFonts w:ascii="Calibri" w:hAnsi="Calibri"/>
    </w:rPr>
  </w:style>
  <w:style w:type="character" w:customStyle="1" w:styleId="70">
    <w:name w:val="纯文本 字符"/>
    <w:link w:val="25"/>
    <w:semiHidden/>
    <w:qFormat/>
    <w:uiPriority w:val="99"/>
    <w:rPr>
      <w:rFonts w:ascii="宋体" w:hAnsi="Courier New" w:cs="Courier New"/>
      <w:szCs w:val="21"/>
    </w:rPr>
  </w:style>
  <w:style w:type="character" w:customStyle="1" w:styleId="71">
    <w:name w:val="日期 字符"/>
    <w:link w:val="26"/>
    <w:semiHidden/>
    <w:qFormat/>
    <w:uiPriority w:val="99"/>
    <w:rPr>
      <w:rFonts w:ascii="Calibri" w:hAnsi="Calibri"/>
    </w:rPr>
  </w:style>
  <w:style w:type="character" w:customStyle="1" w:styleId="72">
    <w:name w:val="正文文本缩进 2 字符"/>
    <w:link w:val="27"/>
    <w:semiHidden/>
    <w:qFormat/>
    <w:uiPriority w:val="99"/>
    <w:rPr>
      <w:rFonts w:ascii="Calibri" w:hAnsi="Calibri"/>
    </w:rPr>
  </w:style>
  <w:style w:type="character" w:customStyle="1" w:styleId="73">
    <w:name w:val="批注框文本 字符"/>
    <w:link w:val="29"/>
    <w:semiHidden/>
    <w:qFormat/>
    <w:uiPriority w:val="99"/>
    <w:rPr>
      <w:rFonts w:ascii="Calibri" w:hAnsi="Calibri"/>
      <w:sz w:val="0"/>
      <w:szCs w:val="0"/>
    </w:rPr>
  </w:style>
  <w:style w:type="character" w:customStyle="1" w:styleId="74">
    <w:name w:val="页脚 字符"/>
    <w:link w:val="30"/>
    <w:qFormat/>
    <w:uiPriority w:val="99"/>
    <w:rPr>
      <w:rFonts w:ascii="Calibri" w:hAnsi="Calibri"/>
      <w:sz w:val="18"/>
      <w:szCs w:val="18"/>
    </w:rPr>
  </w:style>
  <w:style w:type="character" w:customStyle="1" w:styleId="75">
    <w:name w:val="页眉 字符"/>
    <w:link w:val="31"/>
    <w:semiHidden/>
    <w:qFormat/>
    <w:uiPriority w:val="99"/>
    <w:rPr>
      <w:rFonts w:ascii="Calibri" w:hAnsi="Calibri"/>
      <w:sz w:val="18"/>
      <w:szCs w:val="18"/>
    </w:rPr>
  </w:style>
  <w:style w:type="character" w:customStyle="1" w:styleId="76">
    <w:name w:val="脚注文本 字符"/>
    <w:link w:val="36"/>
    <w:semiHidden/>
    <w:qFormat/>
    <w:uiPriority w:val="99"/>
    <w:rPr>
      <w:rFonts w:ascii="Calibri" w:hAnsi="Calibri"/>
      <w:sz w:val="18"/>
      <w:szCs w:val="18"/>
    </w:rPr>
  </w:style>
  <w:style w:type="character" w:customStyle="1" w:styleId="77">
    <w:name w:val="正文文本缩进 3 字符"/>
    <w:link w:val="38"/>
    <w:semiHidden/>
    <w:qFormat/>
    <w:uiPriority w:val="99"/>
    <w:rPr>
      <w:rFonts w:ascii="Calibri" w:hAnsi="Calibri"/>
      <w:sz w:val="16"/>
      <w:szCs w:val="16"/>
    </w:rPr>
  </w:style>
  <w:style w:type="character" w:customStyle="1" w:styleId="78">
    <w:name w:val="正文文本 2 字符"/>
    <w:link w:val="40"/>
    <w:semiHidden/>
    <w:qFormat/>
    <w:uiPriority w:val="99"/>
    <w:rPr>
      <w:rFonts w:ascii="Calibri" w:hAnsi="Calibri"/>
    </w:rPr>
  </w:style>
  <w:style w:type="paragraph" w:customStyle="1" w:styleId="79">
    <w:name w:val="表格"/>
    <w:basedOn w:val="1"/>
    <w:qFormat/>
    <w:uiPriority w:val="0"/>
    <w:pPr>
      <w:adjustRightInd w:val="0"/>
      <w:spacing w:line="400" w:lineRule="atLeast"/>
      <w:textAlignment w:val="baseline"/>
    </w:pPr>
    <w:rPr>
      <w:rFonts w:ascii="仿宋_GB2312" w:eastAsia="仿宋_GB2312"/>
      <w:kern w:val="0"/>
      <w:sz w:val="28"/>
      <w:szCs w:val="20"/>
    </w:rPr>
  </w:style>
  <w:style w:type="paragraph" w:customStyle="1" w:styleId="80">
    <w:name w:val="简单回函地址"/>
    <w:basedOn w:val="1"/>
    <w:qFormat/>
    <w:uiPriority w:val="99"/>
    <w:rPr>
      <w:rFonts w:ascii="Times New Roman" w:hAnsi="Times New Roman"/>
      <w:szCs w:val="20"/>
    </w:rPr>
  </w:style>
  <w:style w:type="paragraph" w:customStyle="1" w:styleId="81">
    <w:name w:val="Blockquote"/>
    <w:basedOn w:val="1"/>
    <w:qFormat/>
    <w:uiPriority w:val="99"/>
    <w:pPr>
      <w:autoSpaceDE w:val="0"/>
      <w:autoSpaceDN w:val="0"/>
      <w:adjustRightInd w:val="0"/>
      <w:spacing w:before="100" w:after="100"/>
      <w:ind w:left="360" w:right="360"/>
      <w:jc w:val="left"/>
    </w:pPr>
    <w:rPr>
      <w:rFonts w:ascii="Times New Roman" w:hAnsi="Times New Roman"/>
      <w:kern w:val="0"/>
      <w:szCs w:val="20"/>
    </w:rPr>
  </w:style>
  <w:style w:type="paragraph" w:customStyle="1" w:styleId="82">
    <w:name w:val="font5"/>
    <w:basedOn w:val="1"/>
    <w:qFormat/>
    <w:uiPriority w:val="99"/>
    <w:pPr>
      <w:widowControl/>
      <w:spacing w:before="100" w:beforeAutospacing="1" w:after="100" w:afterAutospacing="1" w:line="360" w:lineRule="auto"/>
      <w:ind w:firstLine="200" w:firstLineChars="200"/>
      <w:jc w:val="left"/>
    </w:pPr>
    <w:rPr>
      <w:rFonts w:ascii="宋体" w:hAnsi="宋体" w:eastAsia="仿宋_GB2312" w:cs="Arial Unicode MS"/>
      <w:kern w:val="0"/>
      <w:szCs w:val="24"/>
    </w:rPr>
  </w:style>
  <w:style w:type="paragraph" w:customStyle="1" w:styleId="83">
    <w:name w:val="font6"/>
    <w:basedOn w:val="1"/>
    <w:qFormat/>
    <w:uiPriority w:val="99"/>
    <w:pPr>
      <w:widowControl/>
      <w:spacing w:before="100" w:beforeAutospacing="1" w:after="100" w:afterAutospacing="1" w:line="360" w:lineRule="auto"/>
      <w:ind w:firstLine="200" w:firstLineChars="200"/>
      <w:jc w:val="left"/>
    </w:pPr>
    <w:rPr>
      <w:rFonts w:ascii="宋体" w:hAnsi="宋体" w:eastAsia="仿宋_GB2312" w:cs="Arial Unicode MS"/>
      <w:kern w:val="0"/>
      <w:sz w:val="18"/>
      <w:szCs w:val="18"/>
    </w:rPr>
  </w:style>
  <w:style w:type="paragraph" w:customStyle="1" w:styleId="84">
    <w:name w:val="font7"/>
    <w:basedOn w:val="1"/>
    <w:qFormat/>
    <w:uiPriority w:val="99"/>
    <w:pPr>
      <w:widowControl/>
      <w:spacing w:before="100" w:beforeAutospacing="1" w:after="100" w:afterAutospacing="1" w:line="360" w:lineRule="auto"/>
      <w:ind w:firstLine="200" w:firstLineChars="200"/>
      <w:jc w:val="left"/>
    </w:pPr>
    <w:rPr>
      <w:rFonts w:ascii="仿宋_GB2312" w:hAnsi="Times New Roman" w:eastAsia="仿宋_GB2312"/>
      <w:kern w:val="0"/>
      <w:szCs w:val="24"/>
    </w:rPr>
  </w:style>
  <w:style w:type="paragraph" w:customStyle="1" w:styleId="85">
    <w:name w:val="xl2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Arial Unicode MS" w:eastAsia="Times New Roman" w:cs="Arial Unicode MS"/>
      <w:kern w:val="0"/>
      <w:szCs w:val="24"/>
    </w:rPr>
  </w:style>
  <w:style w:type="paragraph" w:customStyle="1" w:styleId="86">
    <w:name w:val="xl2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Arial Unicode MS" w:eastAsia="Times New Roman" w:cs="Arial Unicode MS"/>
      <w:kern w:val="0"/>
      <w:szCs w:val="24"/>
    </w:rPr>
  </w:style>
  <w:style w:type="paragraph" w:customStyle="1" w:styleId="87">
    <w:name w:val="xl26"/>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360" w:lineRule="auto"/>
      <w:ind w:firstLine="200" w:firstLineChars="200"/>
      <w:jc w:val="center"/>
    </w:pPr>
    <w:rPr>
      <w:rFonts w:ascii="Arial Unicode MS" w:eastAsia="Times New Roman" w:cs="Arial Unicode MS"/>
      <w:kern w:val="0"/>
      <w:sz w:val="18"/>
      <w:szCs w:val="18"/>
    </w:rPr>
  </w:style>
  <w:style w:type="paragraph" w:customStyle="1" w:styleId="88">
    <w:name w:val="正文内容"/>
    <w:basedOn w:val="1"/>
    <w:qFormat/>
    <w:uiPriority w:val="99"/>
    <w:pPr>
      <w:widowControl/>
      <w:jc w:val="left"/>
    </w:pPr>
    <w:rPr>
      <w:rFonts w:ascii="宋体" w:cs="宋体"/>
      <w:kern w:val="0"/>
      <w:sz w:val="28"/>
      <w:szCs w:val="24"/>
    </w:rPr>
  </w:style>
  <w:style w:type="paragraph" w:customStyle="1" w:styleId="89">
    <w:name w:val="Default Text"/>
    <w:basedOn w:val="1"/>
    <w:qFormat/>
    <w:uiPriority w:val="99"/>
    <w:pPr>
      <w:widowControl/>
      <w:overflowPunct w:val="0"/>
      <w:autoSpaceDE w:val="0"/>
      <w:autoSpaceDN w:val="0"/>
      <w:adjustRightInd w:val="0"/>
      <w:jc w:val="left"/>
      <w:textAlignment w:val="baseline"/>
    </w:pPr>
    <w:rPr>
      <w:rFonts w:ascii="Times New Roman" w:hAnsi="Times New Roman"/>
      <w:kern w:val="0"/>
      <w:szCs w:val="24"/>
    </w:rPr>
  </w:style>
  <w:style w:type="paragraph" w:customStyle="1" w:styleId="90">
    <w:name w:val="_Style 6"/>
    <w:basedOn w:val="1"/>
    <w:qFormat/>
    <w:uiPriority w:val="99"/>
    <w:pPr>
      <w:adjustRightInd w:val="0"/>
      <w:spacing w:line="360" w:lineRule="atLeast"/>
    </w:pPr>
    <w:rPr>
      <w:rFonts w:ascii="Times New Roman" w:hAnsi="Times New Roman"/>
      <w:szCs w:val="24"/>
    </w:rPr>
  </w:style>
  <w:style w:type="paragraph" w:customStyle="1" w:styleId="91">
    <w:name w:val="p0"/>
    <w:basedOn w:val="1"/>
    <w:qFormat/>
    <w:uiPriority w:val="99"/>
    <w:pPr>
      <w:widowControl/>
    </w:pPr>
    <w:rPr>
      <w:rFonts w:ascii="Times New Roman" w:hAnsi="Times New Roman"/>
      <w:kern w:val="0"/>
      <w:szCs w:val="21"/>
    </w:rPr>
  </w:style>
  <w:style w:type="character" w:customStyle="1" w:styleId="92">
    <w:name w:val="1051"/>
    <w:qFormat/>
    <w:uiPriority w:val="99"/>
    <w:rPr>
      <w:rFonts w:cs="Times New Roman"/>
      <w:sz w:val="21"/>
      <w:szCs w:val="21"/>
    </w:rPr>
  </w:style>
  <w:style w:type="character" w:customStyle="1" w:styleId="93">
    <w:name w:val="ca-10"/>
    <w:basedOn w:val="49"/>
    <w:qFormat/>
    <w:uiPriority w:val="0"/>
  </w:style>
  <w:style w:type="character" w:customStyle="1" w:styleId="94">
    <w:name w:val="ca-12"/>
    <w:basedOn w:val="49"/>
    <w:qFormat/>
    <w:uiPriority w:val="0"/>
  </w:style>
  <w:style w:type="character" w:customStyle="1" w:styleId="95">
    <w:name w:val="页眉 Char"/>
    <w:qFormat/>
    <w:uiPriority w:val="0"/>
    <w:rPr>
      <w:sz w:val="18"/>
      <w:szCs w:val="18"/>
    </w:rPr>
  </w:style>
  <w:style w:type="character" w:customStyle="1" w:styleId="96">
    <w:name w:val="页脚 Char"/>
    <w:qFormat/>
    <w:uiPriority w:val="0"/>
    <w:rPr>
      <w:sz w:val="18"/>
      <w:szCs w:val="18"/>
    </w:rPr>
  </w:style>
  <w:style w:type="paragraph" w:customStyle="1" w:styleId="97">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styleId="98">
    <w:name w:val="List Paragraph"/>
    <w:basedOn w:val="1"/>
    <w:qFormat/>
    <w:uiPriority w:val="99"/>
    <w:pPr>
      <w:ind w:firstLine="420" w:firstLineChars="200"/>
    </w:pPr>
  </w:style>
  <w:style w:type="character" w:customStyle="1" w:styleId="99">
    <w:name w:val="正文文本首行缩进 2 字符"/>
    <w:basedOn w:val="69"/>
    <w:link w:val="20"/>
    <w:semiHidden/>
    <w:qFormat/>
    <w:uiPriority w:val="99"/>
    <w:rPr>
      <w:rFonts w:ascii="Calibri" w:hAnsi="Calibri"/>
      <w:kern w:val="2"/>
      <w:sz w:val="24"/>
      <w:szCs w:val="22"/>
    </w:rPr>
  </w:style>
  <w:style w:type="paragraph" w:customStyle="1" w:styleId="100">
    <w:name w:val="样式3"/>
    <w:basedOn w:val="25"/>
    <w:qFormat/>
    <w:uiPriority w:val="0"/>
    <w:pPr>
      <w:spacing w:line="0" w:lineRule="atLeast"/>
      <w:outlineLvl w:val="0"/>
    </w:pPr>
    <w:rPr>
      <w:sz w:val="28"/>
    </w:rPr>
  </w:style>
  <w:style w:type="paragraph" w:customStyle="1" w:styleId="101">
    <w:name w:val="Table Paragraph"/>
    <w:basedOn w:val="1"/>
    <w:qFormat/>
    <w:uiPriority w:val="1"/>
    <w:rPr>
      <w:rFonts w:ascii="宋体" w:hAnsi="宋体" w:cs="宋体"/>
      <w:lang w:val="zh-CN" w:bidi="zh-CN"/>
    </w:rPr>
  </w:style>
  <w:style w:type="paragraph" w:customStyle="1" w:styleId="102">
    <w:name w:val="Revision"/>
    <w:hidden/>
    <w:unhideWhenUsed/>
    <w:qFormat/>
    <w:uiPriority w:val="99"/>
    <w:rPr>
      <w:rFonts w:ascii="Calibri" w:hAnsi="Calibri" w:eastAsia="宋体" w:cs="Times New Roman"/>
      <w:kern w:val="2"/>
      <w:sz w:val="24"/>
      <w:szCs w:val="22"/>
      <w:lang w:val="en-US" w:eastAsia="zh-CN" w:bidi="ar-SA"/>
    </w:rPr>
  </w:style>
  <w:style w:type="paragraph" w:customStyle="1" w:styleId="103">
    <w:name w:val="列出段落11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38</Pages>
  <Words>2537</Words>
  <Characters>2624</Characters>
  <Lines>153</Lines>
  <Paragraphs>43</Paragraphs>
  <TotalTime>39</TotalTime>
  <ScaleCrop>false</ScaleCrop>
  <LinksUpToDate>false</LinksUpToDate>
  <CharactersWithSpaces>2707</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2024-07-15T04:44:00Z</dcterms:created>
  <dc:creator>张鹏飞</dc:creator>
  <cp:lastModifiedBy>苏唐琴行</cp:lastModifiedBy>
  <cp:lastPrinted>2021-08-30T04:11:00Z</cp:lastPrinted>
  <dcterms:modified xsi:type="dcterms:W3CDTF">2025-08-27T00:45:12Z</dcterms:modified>
  <dc:title>洛</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0E691B113B774BDCA9E11DB102348632_13</vt:lpwstr>
  </property>
  <property fmtid="{D5CDD505-2E9C-101B-9397-08002B2CF9AE}" pid="4" name="commondata">
    <vt:lpwstr>eyJoZGlkIjoiZDU5ODE0N2QzZTY2Y2Y3NjY0ZjQ3OTEzYmE5Njk3ZWUifQ==</vt:lpwstr>
  </property>
  <property fmtid="{D5CDD505-2E9C-101B-9397-08002B2CF9AE}" pid="5" name="KSOTemplateDocerSaveRecord">
    <vt:lpwstr>eyJoZGlkIjoiOGRkYjQ3ZWY0NzU3ZWE2YjhmZjk3ZjIwYjM5ZDQ0NDMiLCJ1c2VySWQiOiIyMjQ4MTU4MzMifQ==</vt:lpwstr>
  </property>
</Properties>
</file>