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D557">
      <w:pPr>
        <w:pStyle w:val="29"/>
        <w:ind w:firstLine="0" w:firstLineChars="0"/>
        <w:rPr>
          <w:rFonts w:hint="eastAsia" w:ascii="宋体" w:hAnsi="宋体" w:eastAsia="宋体" w:cs="宋体"/>
          <w:bCs/>
          <w:color w:val="auto"/>
          <w:sz w:val="52"/>
          <w:szCs w:val="52"/>
          <w:highlight w:val="none"/>
        </w:rPr>
      </w:pPr>
    </w:p>
    <w:p w14:paraId="5A8D89F4">
      <w:pPr>
        <w:pStyle w:val="29"/>
        <w:ind w:firstLine="420"/>
        <w:rPr>
          <w:rFonts w:hint="eastAsia" w:ascii="宋体" w:hAnsi="宋体" w:eastAsia="宋体" w:cs="宋体"/>
          <w:color w:val="auto"/>
          <w:highlight w:val="none"/>
        </w:rPr>
      </w:pPr>
    </w:p>
    <w:p w14:paraId="0E7ABEF2">
      <w:pPr>
        <w:pStyle w:val="32"/>
        <w:autoSpaceDN w:val="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开元壹号66#地块·天逸</w:t>
      </w:r>
      <w:r>
        <w:rPr>
          <w:rFonts w:hint="eastAsia" w:ascii="宋体" w:hAnsi="宋体" w:eastAsia="宋体" w:cs="宋体"/>
          <w:b/>
          <w:color w:val="auto"/>
          <w:sz w:val="36"/>
          <w:szCs w:val="36"/>
          <w:highlight w:val="none"/>
        </w:rPr>
        <w:t>项目亮化工程施工合同</w:t>
      </w:r>
    </w:p>
    <w:p w14:paraId="0E8BD284">
      <w:pPr>
        <w:pStyle w:val="32"/>
        <w:autoSpaceDN w:val="0"/>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-补充协议</w:t>
      </w:r>
    </w:p>
    <w:p w14:paraId="330D15D8">
      <w:pPr>
        <w:pStyle w:val="32"/>
        <w:autoSpaceDN w:val="0"/>
        <w:ind w:firstLine="783" w:firstLineChars="150"/>
        <w:rPr>
          <w:rFonts w:hint="eastAsia" w:ascii="宋体" w:hAnsi="宋体" w:eastAsia="宋体" w:cs="宋体"/>
          <w:b/>
          <w:bCs/>
          <w:color w:val="auto"/>
          <w:sz w:val="52"/>
          <w:szCs w:val="52"/>
          <w:highlight w:val="none"/>
        </w:rPr>
      </w:pPr>
    </w:p>
    <w:p w14:paraId="37B13C35">
      <w:pPr>
        <w:autoSpaceDN w:val="0"/>
        <w:spacing w:line="500" w:lineRule="exact"/>
        <w:ind w:firstLine="0" w:firstLineChars="0"/>
        <w:rPr>
          <w:rFonts w:hint="eastAsia" w:ascii="宋体" w:hAnsi="宋体" w:eastAsia="宋体" w:cs="宋体"/>
          <w:color w:val="auto"/>
          <w:sz w:val="44"/>
          <w:szCs w:val="44"/>
          <w:highlight w:val="none"/>
        </w:rPr>
      </w:pPr>
    </w:p>
    <w:p w14:paraId="7D07F61A">
      <w:pPr>
        <w:autoSpaceDN w:val="0"/>
        <w:spacing w:line="500" w:lineRule="exact"/>
        <w:ind w:firstLine="0" w:firstLineChars="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p>
    <w:p w14:paraId="5158BFCC">
      <w:pPr>
        <w:autoSpaceDN w:val="0"/>
        <w:spacing w:line="500" w:lineRule="exact"/>
        <w:ind w:firstLine="4620" w:firstLineChars="1050"/>
        <w:rPr>
          <w:rFonts w:hint="eastAsia" w:ascii="宋体" w:hAnsi="宋体" w:eastAsia="宋体" w:cs="宋体"/>
          <w:color w:val="auto"/>
          <w:szCs w:val="21"/>
          <w:highlight w:val="none"/>
        </w:rPr>
      </w:pPr>
      <w:r>
        <w:rPr>
          <w:rFonts w:hint="eastAsia" w:ascii="宋体" w:hAnsi="宋体" w:eastAsia="宋体" w:cs="宋体"/>
          <w:color w:val="auto"/>
          <w:sz w:val="44"/>
          <w:szCs w:val="44"/>
          <w:highlight w:val="none"/>
        </w:rPr>
        <w:t xml:space="preserve">     </w:t>
      </w:r>
    </w:p>
    <w:p w14:paraId="699D6284">
      <w:pPr>
        <w:autoSpaceDN w:val="0"/>
        <w:spacing w:line="500" w:lineRule="exact"/>
        <w:ind w:firstLine="840" w:firstLineChars="300"/>
        <w:rPr>
          <w:rFonts w:hint="eastAsia" w:ascii="宋体" w:hAnsi="宋体" w:eastAsia="宋体" w:cs="宋体"/>
          <w:color w:val="auto"/>
          <w:sz w:val="28"/>
          <w:szCs w:val="28"/>
          <w:highlight w:val="none"/>
        </w:rPr>
      </w:pPr>
    </w:p>
    <w:p w14:paraId="1441DB8B">
      <w:pPr>
        <w:pStyle w:val="7"/>
        <w:rPr>
          <w:rFonts w:hint="eastAsia" w:ascii="宋体" w:hAnsi="宋体" w:eastAsia="宋体" w:cs="宋体"/>
          <w:color w:val="auto"/>
          <w:highlight w:val="none"/>
        </w:rPr>
      </w:pPr>
    </w:p>
    <w:p w14:paraId="1EA1040C">
      <w:pPr>
        <w:autoSpaceDN w:val="0"/>
        <w:spacing w:line="360" w:lineRule="auto"/>
        <w:rPr>
          <w:rFonts w:hint="eastAsia" w:ascii="宋体" w:hAnsi="宋体" w:eastAsia="宋体" w:cs="宋体"/>
          <w:b/>
          <w:bCs/>
          <w:color w:val="auto"/>
          <w:sz w:val="24"/>
          <w:szCs w:val="24"/>
          <w:highlight w:val="none"/>
        </w:rPr>
      </w:pPr>
    </w:p>
    <w:p w14:paraId="3CD45ABC">
      <w:pPr>
        <w:autoSpaceDN w:val="0"/>
        <w:spacing w:line="360" w:lineRule="auto"/>
        <w:ind w:firstLine="675" w:firstLineChars="28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成本代码：KYYH.66-JA-053</w:t>
      </w:r>
      <w:r>
        <w:rPr>
          <w:rFonts w:hint="eastAsia" w:ascii="宋体" w:hAnsi="宋体" w:cs="宋体"/>
          <w:b/>
          <w:bCs/>
          <w:color w:val="auto"/>
          <w:sz w:val="24"/>
          <w:szCs w:val="24"/>
          <w:highlight w:val="none"/>
          <w:lang w:val="en-US" w:eastAsia="zh-CN"/>
        </w:rPr>
        <w:t>-B01</w:t>
      </w:r>
    </w:p>
    <w:p w14:paraId="2A22466C">
      <w:pPr>
        <w:autoSpaceDN w:val="0"/>
        <w:spacing w:line="360" w:lineRule="auto"/>
        <w:ind w:firstLine="675" w:firstLineChars="28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合同编号：</w:t>
      </w:r>
      <w:r>
        <w:rPr>
          <w:rFonts w:hint="eastAsia" w:ascii="宋体" w:hAnsi="宋体" w:cs="宋体"/>
          <w:b/>
          <w:bCs/>
          <w:color w:val="auto"/>
          <w:sz w:val="24"/>
          <w:szCs w:val="24"/>
          <w:highlight w:val="none"/>
          <w:lang w:val="en-US" w:eastAsia="zh-CN"/>
        </w:rPr>
        <w:t xml:space="preserve">3.2.15 </w:t>
      </w:r>
    </w:p>
    <w:p w14:paraId="23B509FE">
      <w:pPr>
        <w:autoSpaceDN w:val="0"/>
        <w:spacing w:line="360" w:lineRule="auto"/>
        <w:ind w:firstLine="675" w:firstLineChars="280"/>
        <w:rPr>
          <w:rFonts w:hint="eastAsia" w:ascii="宋体" w:hAnsi="宋体" w:eastAsia="宋体" w:cs="宋体"/>
          <w:b/>
          <w:bCs/>
          <w:color w:val="auto"/>
          <w:sz w:val="24"/>
          <w:szCs w:val="24"/>
          <w:highlight w:val="none"/>
          <w:lang w:eastAsia="zh-CN"/>
        </w:rPr>
      </w:pPr>
    </w:p>
    <w:p w14:paraId="02465EB7">
      <w:pPr>
        <w:autoSpaceDN w:val="0"/>
        <w:spacing w:line="360" w:lineRule="auto"/>
        <w:ind w:firstLine="843" w:firstLineChars="280"/>
        <w:rPr>
          <w:rFonts w:hint="eastAsia" w:ascii="宋体" w:hAnsi="宋体" w:eastAsia="宋体" w:cs="宋体"/>
          <w:b/>
          <w:bCs/>
          <w:color w:val="auto"/>
          <w:sz w:val="30"/>
          <w:szCs w:val="30"/>
          <w:highlight w:val="none"/>
        </w:rPr>
      </w:pPr>
    </w:p>
    <w:p w14:paraId="6C714763">
      <w:pPr>
        <w:autoSpaceDN w:val="0"/>
        <w:spacing w:line="360" w:lineRule="auto"/>
        <w:ind w:firstLine="843" w:firstLineChars="280"/>
        <w:rPr>
          <w:rFonts w:hint="eastAsia" w:ascii="宋体" w:hAnsi="宋体" w:eastAsia="宋体" w:cs="宋体"/>
          <w:b/>
          <w:bCs/>
          <w:color w:val="auto"/>
          <w:sz w:val="30"/>
          <w:szCs w:val="30"/>
          <w:highlight w:val="none"/>
        </w:rPr>
      </w:pPr>
    </w:p>
    <w:p w14:paraId="162BD00A">
      <w:pPr>
        <w:autoSpaceDN w:val="0"/>
        <w:spacing w:line="360" w:lineRule="auto"/>
        <w:ind w:firstLine="843" w:firstLineChars="280"/>
        <w:rPr>
          <w:rFonts w:hint="eastAsia" w:ascii="宋体" w:hAnsi="宋体" w:eastAsia="宋体" w:cs="宋体"/>
          <w:b/>
          <w:bCs/>
          <w:color w:val="auto"/>
          <w:sz w:val="30"/>
          <w:szCs w:val="30"/>
          <w:highlight w:val="none"/>
        </w:rPr>
      </w:pPr>
    </w:p>
    <w:p w14:paraId="538F6E90">
      <w:pPr>
        <w:pStyle w:val="7"/>
        <w:rPr>
          <w:rFonts w:hint="eastAsia" w:ascii="宋体" w:hAnsi="宋体" w:eastAsia="宋体" w:cs="宋体"/>
          <w:b/>
          <w:bCs/>
          <w:color w:val="auto"/>
          <w:sz w:val="30"/>
          <w:szCs w:val="30"/>
          <w:highlight w:val="none"/>
        </w:rPr>
      </w:pPr>
    </w:p>
    <w:p w14:paraId="07514B04">
      <w:pPr>
        <w:pStyle w:val="8"/>
        <w:rPr>
          <w:rFonts w:hint="eastAsia" w:ascii="宋体" w:hAnsi="宋体" w:eastAsia="宋体" w:cs="宋体"/>
          <w:b/>
          <w:bCs/>
          <w:color w:val="auto"/>
          <w:sz w:val="30"/>
          <w:szCs w:val="30"/>
          <w:highlight w:val="none"/>
        </w:rPr>
      </w:pPr>
    </w:p>
    <w:p w14:paraId="2EA34AD4">
      <w:pPr>
        <w:autoSpaceDN w:val="0"/>
        <w:spacing w:line="360" w:lineRule="auto"/>
        <w:ind w:firstLine="0" w:firstLineChars="0"/>
        <w:rPr>
          <w:rFonts w:hint="eastAsia" w:ascii="宋体" w:hAnsi="宋体" w:eastAsia="宋体" w:cs="宋体"/>
          <w:b/>
          <w:bCs/>
          <w:color w:val="auto"/>
          <w:sz w:val="30"/>
          <w:szCs w:val="30"/>
          <w:highlight w:val="none"/>
        </w:rPr>
      </w:pPr>
    </w:p>
    <w:p w14:paraId="07FE2540">
      <w:pPr>
        <w:autoSpaceDN w:val="0"/>
        <w:spacing w:line="360" w:lineRule="auto"/>
        <w:ind w:firstLine="843" w:firstLineChars="28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发 包 人：</w:t>
      </w:r>
      <w:r>
        <w:rPr>
          <w:rFonts w:hint="eastAsia" w:ascii="宋体" w:hAnsi="宋体" w:cs="宋体"/>
          <w:b/>
          <w:bCs/>
          <w:color w:val="auto"/>
          <w:sz w:val="30"/>
          <w:szCs w:val="30"/>
          <w:highlight w:val="none"/>
          <w:lang w:eastAsia="zh-CN"/>
        </w:rPr>
        <w:t xml:space="preserve"> </w:t>
      </w:r>
      <w:r>
        <w:rPr>
          <w:rFonts w:hint="eastAsia" w:ascii="宋体" w:hAnsi="宋体" w:eastAsia="宋体" w:cs="宋体"/>
          <w:b/>
          <w:bCs/>
          <w:color w:val="auto"/>
          <w:sz w:val="30"/>
          <w:szCs w:val="30"/>
          <w:highlight w:val="none"/>
          <w:u w:val="none"/>
        </w:rPr>
        <w:t>洛阳浩德鑫置地有限公司</w:t>
      </w:r>
    </w:p>
    <w:p w14:paraId="6DFB76AA">
      <w:pPr>
        <w:autoSpaceDN w:val="0"/>
        <w:spacing w:line="360" w:lineRule="auto"/>
        <w:ind w:firstLine="843" w:firstLineChars="28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 xml:space="preserve">   承 包 人：</w:t>
      </w:r>
      <w:r>
        <w:rPr>
          <w:rFonts w:hint="eastAsia" w:ascii="宋体" w:hAnsi="宋体" w:cs="宋体"/>
          <w:b/>
          <w:bCs/>
          <w:color w:val="auto"/>
          <w:sz w:val="30"/>
          <w:szCs w:val="30"/>
          <w:highlight w:val="none"/>
          <w:lang w:eastAsia="zh-CN"/>
        </w:rPr>
        <w:t xml:space="preserve"> 洛阳顺明建筑工程有限公司</w:t>
      </w:r>
    </w:p>
    <w:p w14:paraId="3802C542">
      <w:pPr>
        <w:autoSpaceDN w:val="0"/>
        <w:spacing w:line="360" w:lineRule="auto"/>
        <w:ind w:firstLine="843" w:firstLineChars="28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工程名称：</w:t>
      </w:r>
      <w:r>
        <w:rPr>
          <w:rFonts w:hint="eastAsia" w:ascii="宋体" w:hAnsi="宋体" w:eastAsia="宋体" w:cs="宋体"/>
          <w:b/>
          <w:color w:val="auto"/>
          <w:sz w:val="30"/>
          <w:szCs w:val="30"/>
          <w:highlight w:val="none"/>
          <w:lang w:eastAsia="zh-CN"/>
        </w:rPr>
        <w:t>开元壹号66#地块·天逸</w:t>
      </w:r>
      <w:r>
        <w:rPr>
          <w:rFonts w:hint="eastAsia" w:ascii="宋体" w:hAnsi="宋体" w:eastAsia="宋体" w:cs="宋体"/>
          <w:b/>
          <w:bCs/>
          <w:color w:val="auto"/>
          <w:sz w:val="30"/>
          <w:szCs w:val="30"/>
          <w:highlight w:val="none"/>
        </w:rPr>
        <w:t xml:space="preserve">项目亮化工程 </w:t>
      </w:r>
    </w:p>
    <w:p w14:paraId="6773C255">
      <w:pPr>
        <w:autoSpaceDN w:val="0"/>
        <w:spacing w:line="360" w:lineRule="auto"/>
        <w:ind w:firstLine="1141" w:firstLineChars="37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 xml:space="preserve">  签订日期：</w:t>
      </w:r>
      <w:r>
        <w:rPr>
          <w:rFonts w:hint="eastAsia" w:ascii="宋体" w:hAnsi="宋体" w:cs="宋体"/>
          <w:b/>
          <w:bCs/>
          <w:color w:val="auto"/>
          <w:sz w:val="30"/>
          <w:szCs w:val="30"/>
          <w:highlight w:val="none"/>
          <w:lang w:val="en-US" w:eastAsia="zh-CN"/>
        </w:rPr>
        <w:t>2025</w:t>
      </w:r>
      <w:r>
        <w:rPr>
          <w:rFonts w:hint="eastAsia" w:ascii="宋体" w:hAnsi="宋体" w:cs="宋体"/>
          <w:b/>
          <w:bCs/>
          <w:color w:val="auto"/>
          <w:sz w:val="30"/>
          <w:szCs w:val="30"/>
          <w:highlight w:val="none"/>
          <w:lang w:eastAsia="zh-CN"/>
        </w:rPr>
        <w:t>年</w:t>
      </w:r>
      <w:r>
        <w:rPr>
          <w:rFonts w:hint="eastAsia" w:ascii="宋体" w:hAnsi="宋体" w:cs="宋体"/>
          <w:b/>
          <w:bCs/>
          <w:color w:val="auto"/>
          <w:sz w:val="30"/>
          <w:szCs w:val="30"/>
          <w:highlight w:val="none"/>
          <w:lang w:val="en-US" w:eastAsia="zh-CN"/>
        </w:rPr>
        <w:t>11</w:t>
      </w:r>
      <w:r>
        <w:rPr>
          <w:rFonts w:hint="eastAsia" w:ascii="宋体" w:hAnsi="宋体" w:cs="宋体"/>
          <w:b/>
          <w:bCs/>
          <w:color w:val="auto"/>
          <w:sz w:val="30"/>
          <w:szCs w:val="30"/>
          <w:highlight w:val="none"/>
          <w:lang w:eastAsia="zh-CN"/>
        </w:rPr>
        <w:t>月</w:t>
      </w:r>
      <w:r>
        <w:rPr>
          <w:rFonts w:hint="eastAsia" w:ascii="宋体" w:hAnsi="宋体" w:cs="宋体"/>
          <w:b/>
          <w:bCs/>
          <w:color w:val="auto"/>
          <w:sz w:val="30"/>
          <w:szCs w:val="30"/>
          <w:highlight w:val="none"/>
          <w:lang w:val="en-US" w:eastAsia="zh-CN"/>
        </w:rPr>
        <w:t>20</w:t>
      </w:r>
      <w:r>
        <w:rPr>
          <w:rFonts w:hint="eastAsia" w:ascii="宋体" w:hAnsi="宋体" w:eastAsia="宋体" w:cs="宋体"/>
          <w:b/>
          <w:bCs/>
          <w:color w:val="auto"/>
          <w:sz w:val="30"/>
          <w:szCs w:val="30"/>
          <w:highlight w:val="none"/>
        </w:rPr>
        <w:t>日</w:t>
      </w:r>
    </w:p>
    <w:p w14:paraId="1F8F6FA5">
      <w:pPr>
        <w:autoSpaceDN w:val="0"/>
        <w:ind w:firstLine="141" w:firstLineChars="50"/>
        <w:jc w:val="both"/>
        <w:rPr>
          <w:rFonts w:hint="default"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开元壹号66#地块·天逸</w:t>
      </w:r>
      <w:r>
        <w:rPr>
          <w:rFonts w:hint="eastAsia" w:ascii="宋体" w:hAnsi="宋体" w:eastAsia="宋体" w:cs="宋体"/>
          <w:b/>
          <w:bCs/>
          <w:color w:val="auto"/>
          <w:sz w:val="28"/>
          <w:szCs w:val="28"/>
          <w:highlight w:val="none"/>
        </w:rPr>
        <w:t>项目亮化工程施工合同</w:t>
      </w:r>
      <w:r>
        <w:rPr>
          <w:rFonts w:hint="eastAsia" w:ascii="宋体" w:hAnsi="宋体" w:cs="宋体"/>
          <w:b/>
          <w:bCs/>
          <w:color w:val="auto"/>
          <w:sz w:val="28"/>
          <w:szCs w:val="28"/>
          <w:highlight w:val="none"/>
          <w:lang w:val="en-US" w:eastAsia="zh-CN"/>
        </w:rPr>
        <w:t>-补充协议</w:t>
      </w:r>
    </w:p>
    <w:p w14:paraId="04A173FF">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发包人：</w:t>
      </w:r>
      <w:r>
        <w:rPr>
          <w:rFonts w:hint="eastAsia" w:ascii="宋体" w:hAnsi="宋体" w:eastAsia="宋体" w:cs="宋体"/>
          <w:b/>
          <w:bCs/>
          <w:color w:val="auto"/>
          <w:sz w:val="24"/>
          <w:szCs w:val="24"/>
          <w:highlight w:val="none"/>
          <w:u w:val="none"/>
        </w:rPr>
        <w:t>洛阳浩德鑫置地有限公司（以下简称甲方）</w:t>
      </w:r>
    </w:p>
    <w:p w14:paraId="5EEAB677">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r>
        <w:rPr>
          <w:rFonts w:hint="eastAsia" w:ascii="宋体" w:hAnsi="宋体" w:eastAsia="宋体" w:cs="宋体"/>
          <w:b/>
          <w:bCs/>
          <w:color w:val="auto"/>
          <w:sz w:val="24"/>
          <w:szCs w:val="24"/>
          <w:highlight w:val="none"/>
          <w:u w:val="none"/>
        </w:rPr>
        <w:t xml:space="preserve">914103005542480325 </w:t>
      </w:r>
    </w:p>
    <w:p w14:paraId="680C2E46">
      <w:pPr>
        <w:autoSpaceDN/>
        <w:spacing w:line="360" w:lineRule="auto"/>
        <w:ind w:firstLine="0" w:firstLineChars="0"/>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lang w:val="en-US" w:eastAsia="zh-CN"/>
        </w:rPr>
        <w:t>承包人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洛阳顺明建筑工程有限公司</w:t>
      </w:r>
      <w:r>
        <w:rPr>
          <w:rFonts w:hint="eastAsia" w:ascii="宋体" w:hAnsi="宋体" w:eastAsia="宋体" w:cs="宋体"/>
          <w:b/>
          <w:bCs/>
          <w:color w:val="auto"/>
          <w:sz w:val="24"/>
          <w:szCs w:val="24"/>
          <w:highlight w:val="none"/>
          <w:u w:val="none"/>
        </w:rPr>
        <w:t>（以下简称</w:t>
      </w:r>
      <w:r>
        <w:rPr>
          <w:rFonts w:hint="eastAsia" w:ascii="宋体" w:hAnsi="宋体" w:eastAsia="宋体" w:cs="宋体"/>
          <w:b/>
          <w:bCs/>
          <w:color w:val="auto"/>
          <w:sz w:val="24"/>
          <w:szCs w:val="24"/>
          <w:highlight w:val="none"/>
          <w:u w:val="none"/>
          <w:lang w:val="en-US" w:eastAsia="zh-CN"/>
        </w:rPr>
        <w:t>乙</w:t>
      </w:r>
      <w:r>
        <w:rPr>
          <w:rFonts w:hint="eastAsia" w:ascii="宋体" w:hAnsi="宋体" w:eastAsia="宋体" w:cs="宋体"/>
          <w:b/>
          <w:bCs/>
          <w:color w:val="auto"/>
          <w:sz w:val="24"/>
          <w:szCs w:val="24"/>
          <w:highlight w:val="none"/>
          <w:u w:val="none"/>
        </w:rPr>
        <w:t>方）</w:t>
      </w:r>
    </w:p>
    <w:p w14:paraId="3AAFD136">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 w:val="24"/>
          <w:szCs w:val="24"/>
          <w:highlight w:val="none"/>
        </w:rPr>
        <w:t>统一社会信用代码：</w:t>
      </w:r>
      <w:r>
        <w:rPr>
          <w:rFonts w:hint="eastAsia" w:ascii="宋体" w:hAnsi="宋体" w:cs="宋体"/>
          <w:b/>
          <w:bCs/>
          <w:color w:val="auto"/>
          <w:sz w:val="24"/>
          <w:szCs w:val="24"/>
          <w:highlight w:val="none"/>
          <w:u w:val="none"/>
          <w:lang w:val="en-US" w:eastAsia="zh-CN"/>
        </w:rPr>
        <w:t xml:space="preserve"> 91410300083498720Q </w:t>
      </w:r>
      <w:r>
        <w:rPr>
          <w:rFonts w:hint="eastAsia" w:ascii="宋体" w:hAnsi="宋体" w:eastAsia="宋体" w:cs="宋体"/>
          <w:b/>
          <w:bCs/>
          <w:color w:val="auto"/>
          <w:sz w:val="24"/>
          <w:szCs w:val="24"/>
          <w:highlight w:val="none"/>
          <w:u w:val="none"/>
        </w:rPr>
        <w:t xml:space="preserve">  </w:t>
      </w:r>
      <w:r>
        <w:rPr>
          <w:rFonts w:hint="eastAsia" w:ascii="宋体" w:hAnsi="宋体" w:eastAsia="宋体" w:cs="宋体"/>
          <w:color w:val="auto"/>
          <w:szCs w:val="24"/>
          <w:highlight w:val="none"/>
        </w:rPr>
        <w:t xml:space="preserve">            </w:t>
      </w:r>
    </w:p>
    <w:p w14:paraId="67611C5C">
      <w:pPr>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kern w:val="0"/>
          <w:sz w:val="24"/>
          <w:szCs w:val="24"/>
          <w:highlight w:val="none"/>
        </w:rPr>
        <w:t>依照《中华人民共和国民法典》、《中华人民共和国建筑法》及其他有关法律、行政法规，遵循平等、自愿、公平和诚实信用的原则，双方就本泛光照明工程施工事项协商一致，订立本合同。</w:t>
      </w:r>
    </w:p>
    <w:p w14:paraId="61BD4A45">
      <w:pPr>
        <w:pStyle w:val="2"/>
        <w:numPr>
          <w:ilvl w:val="0"/>
          <w:numId w:val="0"/>
        </w:numPr>
        <w:autoSpaceDN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工程概况</w:t>
      </w:r>
    </w:p>
    <w:p w14:paraId="616C277A">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66地块1#主</w:t>
      </w:r>
      <w:r>
        <w:rPr>
          <w:rFonts w:hint="eastAsia" w:ascii="宋体" w:hAnsi="宋体" w:eastAsia="宋体" w:cs="宋体"/>
          <w:color w:val="auto"/>
          <w:kern w:val="0"/>
          <w:sz w:val="24"/>
          <w:szCs w:val="24"/>
          <w:highlight w:val="none"/>
        </w:rPr>
        <w:t>楼及地下车库工程总建筑面积</w:t>
      </w:r>
      <w:r>
        <w:rPr>
          <w:rFonts w:hint="eastAsia" w:ascii="宋体" w:hAnsi="宋体" w:eastAsia="宋体" w:cs="宋体"/>
          <w:color w:val="auto"/>
          <w:kern w:val="0"/>
          <w:sz w:val="24"/>
          <w:szCs w:val="24"/>
          <w:highlight w:val="none"/>
          <w:lang w:val="en-US" w:eastAsia="zh-CN"/>
        </w:rPr>
        <w:t>37110.32</w:t>
      </w:r>
      <w:r>
        <w:rPr>
          <w:rFonts w:hint="eastAsia" w:ascii="宋体" w:hAnsi="宋体" w:eastAsia="宋体" w:cs="宋体"/>
          <w:color w:val="auto"/>
          <w:spacing w:val="12"/>
          <w:szCs w:val="21"/>
          <w:highlight w:val="none"/>
        </w:rPr>
        <w:t>㎡</w:t>
      </w:r>
      <w:r>
        <w:rPr>
          <w:rFonts w:hint="eastAsia" w:ascii="宋体" w:hAnsi="宋体" w:eastAsia="宋体" w:cs="宋体"/>
          <w:color w:val="auto"/>
          <w:kern w:val="0"/>
          <w:sz w:val="24"/>
          <w:szCs w:val="24"/>
          <w:highlight w:val="none"/>
        </w:rPr>
        <w:t>,其中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地上建筑面积</w:t>
      </w:r>
      <w:r>
        <w:rPr>
          <w:rFonts w:hint="eastAsia" w:ascii="宋体" w:hAnsi="宋体" w:eastAsia="宋体" w:cs="宋体"/>
          <w:color w:val="auto"/>
          <w:kern w:val="0"/>
          <w:sz w:val="24"/>
          <w:szCs w:val="24"/>
          <w:highlight w:val="none"/>
          <w:lang w:val="en-US" w:eastAsia="zh-CN"/>
        </w:rPr>
        <w:t>27519.28</w:t>
      </w:r>
      <w:r>
        <w:rPr>
          <w:rFonts w:hint="eastAsia" w:ascii="宋体" w:hAnsi="宋体" w:eastAsia="宋体" w:cs="宋体"/>
          <w:color w:val="auto"/>
          <w:spacing w:val="12"/>
          <w:szCs w:val="21"/>
          <w:highlight w:val="none"/>
        </w:rPr>
        <w:t>㎡</w:t>
      </w:r>
      <w:r>
        <w:rPr>
          <w:rFonts w:hint="eastAsia" w:ascii="宋体" w:hAnsi="宋体" w:eastAsia="宋体" w:cs="宋体"/>
          <w:color w:val="auto"/>
          <w:spacing w:val="12"/>
          <w:szCs w:val="21"/>
          <w:highlight w:val="none"/>
          <w:lang w:eastAsia="zh-CN"/>
        </w:rPr>
        <w:t>（</w:t>
      </w:r>
      <w:r>
        <w:rPr>
          <w:rFonts w:hint="eastAsia" w:ascii="宋体" w:hAnsi="宋体" w:eastAsia="宋体" w:cs="宋体"/>
          <w:color w:val="auto"/>
          <w:kern w:val="0"/>
          <w:sz w:val="24"/>
          <w:szCs w:val="24"/>
          <w:highlight w:val="none"/>
        </w:rPr>
        <w:t>地上建筑为</w:t>
      </w:r>
      <w:r>
        <w:rPr>
          <w:rFonts w:hint="eastAsia" w:ascii="宋体" w:hAnsi="宋体" w:eastAsia="宋体" w:cs="宋体"/>
          <w:color w:val="auto"/>
          <w:kern w:val="0"/>
          <w:sz w:val="24"/>
          <w:szCs w:val="24"/>
          <w:highlight w:val="none"/>
          <w:lang w:val="en-US" w:eastAsia="zh-CN"/>
        </w:rPr>
        <w:t xml:space="preserve">1 </w:t>
      </w:r>
      <w:r>
        <w:rPr>
          <w:rFonts w:hint="eastAsia" w:ascii="宋体" w:hAnsi="宋体" w:eastAsia="宋体" w:cs="宋体"/>
          <w:color w:val="auto"/>
          <w:kern w:val="0"/>
          <w:sz w:val="24"/>
          <w:szCs w:val="24"/>
          <w:highlight w:val="none"/>
        </w:rPr>
        <w:t>#楼</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共24 </w:t>
      </w:r>
      <w:r>
        <w:rPr>
          <w:rFonts w:hint="eastAsia" w:ascii="宋体" w:hAnsi="宋体" w:eastAsia="宋体" w:cs="宋体"/>
          <w:color w:val="auto"/>
          <w:kern w:val="0"/>
          <w:sz w:val="24"/>
          <w:szCs w:val="24"/>
          <w:highlight w:val="none"/>
        </w:rPr>
        <w:t>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,地下建筑面积9591.04</w:t>
      </w:r>
      <w:r>
        <w:rPr>
          <w:rFonts w:hint="eastAsia" w:ascii="宋体" w:hAnsi="宋体" w:eastAsia="宋体" w:cs="宋体"/>
          <w:color w:val="auto"/>
          <w:spacing w:val="12"/>
          <w:szCs w:val="21"/>
          <w:highlight w:val="none"/>
        </w:rPr>
        <w:t>㎡</w:t>
      </w:r>
      <w:r>
        <w:rPr>
          <w:rFonts w:hint="eastAsia" w:ascii="宋体" w:hAnsi="宋体" w:eastAsia="宋体" w:cs="宋体"/>
          <w:color w:val="auto"/>
          <w:spacing w:val="12"/>
          <w:szCs w:val="21"/>
          <w:highlight w:val="none"/>
          <w:lang w:eastAsia="zh-CN"/>
        </w:rPr>
        <w:t>（</w:t>
      </w:r>
      <w:r>
        <w:rPr>
          <w:rFonts w:hint="eastAsia" w:ascii="宋体" w:hAnsi="宋体" w:eastAsia="宋体" w:cs="宋体"/>
          <w:color w:val="auto"/>
          <w:kern w:val="0"/>
          <w:sz w:val="24"/>
          <w:szCs w:val="24"/>
          <w:highlight w:val="none"/>
        </w:rPr>
        <w:t>地下一、二层主要功能为复式机动车库和相关设备用房</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CEBEA7D">
      <w:pPr>
        <w:numPr>
          <w:ilvl w:val="-1"/>
          <w:numId w:val="0"/>
        </w:numPr>
        <w:autoSpaceDN w:val="0"/>
        <w:spacing w:line="360" w:lineRule="auto"/>
        <w:ind w:firstLine="480" w:firstLineChars="200"/>
        <w:rPr>
          <w:rFonts w:hint="eastAsia" w:ascii="宋体" w:hAnsi="宋体" w:eastAsia="宋体" w:cs="宋体"/>
          <w:color w:val="auto"/>
          <w:spacing w:val="0"/>
          <w:kern w:val="28"/>
          <w:sz w:val="24"/>
          <w:szCs w:val="24"/>
          <w:highlight w:val="none"/>
          <w:lang w:bidi="ar"/>
        </w:rPr>
      </w:pPr>
      <w:r>
        <w:rPr>
          <w:rFonts w:hint="eastAsia" w:ascii="宋体" w:hAnsi="宋体" w:cs="宋体"/>
          <w:color w:val="auto"/>
          <w:kern w:val="28"/>
          <w:sz w:val="24"/>
          <w:szCs w:val="24"/>
          <w:highlight w:val="none"/>
          <w:lang w:val="en-US" w:eastAsia="zh-CN" w:bidi="ar"/>
        </w:rPr>
        <w:t>2、</w:t>
      </w:r>
      <w:r>
        <w:rPr>
          <w:rFonts w:hint="eastAsia" w:ascii="宋体" w:hAnsi="宋体" w:eastAsia="宋体" w:cs="宋体"/>
          <w:color w:val="auto"/>
          <w:kern w:val="28"/>
          <w:sz w:val="24"/>
          <w:szCs w:val="24"/>
          <w:highlight w:val="none"/>
          <w:lang w:bidi="ar"/>
        </w:rPr>
        <w:t>工程地点：</w:t>
      </w:r>
      <w:r>
        <w:rPr>
          <w:rFonts w:hint="eastAsia" w:ascii="宋体" w:hAnsi="宋体" w:eastAsia="宋体" w:cs="宋体"/>
          <w:color w:val="auto"/>
          <w:spacing w:val="0"/>
          <w:kern w:val="28"/>
          <w:sz w:val="24"/>
          <w:szCs w:val="24"/>
          <w:highlight w:val="none"/>
          <w:lang w:bidi="ar"/>
        </w:rPr>
        <w:t>洛阳市洛龙区开元大道与</w:t>
      </w:r>
      <w:r>
        <w:rPr>
          <w:rFonts w:hint="eastAsia" w:ascii="宋体" w:hAnsi="宋体" w:eastAsia="宋体" w:cs="宋体"/>
          <w:color w:val="auto"/>
          <w:spacing w:val="0"/>
          <w:kern w:val="28"/>
          <w:sz w:val="24"/>
          <w:szCs w:val="24"/>
          <w:highlight w:val="none"/>
          <w:lang w:val="en-US" w:eastAsia="zh-CN" w:bidi="ar"/>
        </w:rPr>
        <w:t>乐天</w:t>
      </w:r>
      <w:r>
        <w:rPr>
          <w:rFonts w:hint="eastAsia" w:ascii="宋体" w:hAnsi="宋体" w:eastAsia="宋体" w:cs="宋体"/>
          <w:color w:val="auto"/>
          <w:spacing w:val="0"/>
          <w:kern w:val="28"/>
          <w:sz w:val="24"/>
          <w:szCs w:val="24"/>
          <w:highlight w:val="none"/>
          <w:lang w:bidi="ar"/>
        </w:rPr>
        <w:t>路交叉口。</w:t>
      </w:r>
    </w:p>
    <w:p w14:paraId="42D92521">
      <w:pPr>
        <w:numPr>
          <w:ilvl w:val="-1"/>
          <w:numId w:val="0"/>
        </w:numPr>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资金来源：自筹资金。</w:t>
      </w:r>
    </w:p>
    <w:p w14:paraId="5608697C">
      <w:pPr>
        <w:pStyle w:val="2"/>
        <w:numPr>
          <w:ilvl w:val="0"/>
          <w:numId w:val="0"/>
        </w:numPr>
        <w:autoSpaceDN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工程承包范围</w:t>
      </w:r>
    </w:p>
    <w:p w14:paraId="661F953F">
      <w:pPr>
        <w:widowControl/>
        <w:overflowPunct/>
        <w:spacing w:before="4"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乙方承担项目亮化工程施工图纸的全部内容。工程内容和承包范围包括但不限于：门厅夜景亮化以及图纸范围内的照明施工；含一层夜景照明配电箱间的电缆</w:t>
      </w:r>
      <w:r>
        <w:rPr>
          <w:rFonts w:hint="eastAsia" w:ascii="宋体" w:hAnsi="宋体" w:cs="宋体"/>
          <w:color w:val="auto"/>
          <w:sz w:val="24"/>
          <w:szCs w:val="24"/>
          <w:highlight w:val="none"/>
          <w:lang w:val="en-US" w:eastAsia="zh-CN"/>
        </w:rPr>
        <w:t>配管采购、</w:t>
      </w:r>
      <w:r>
        <w:rPr>
          <w:rFonts w:hint="eastAsia" w:ascii="宋体" w:hAnsi="宋体" w:eastAsia="宋体" w:cs="宋体"/>
          <w:color w:val="auto"/>
          <w:sz w:val="24"/>
          <w:szCs w:val="24"/>
          <w:highlight w:val="none"/>
        </w:rPr>
        <w:t>敷设安装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夜景照明配电箱</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采购、安装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门厅夜景亮化</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管线设备采购、安装</w:t>
      </w:r>
      <w:r>
        <w:rPr>
          <w:rFonts w:hint="eastAsia" w:ascii="宋体" w:hAnsi="宋体" w:eastAsia="宋体" w:cs="宋体"/>
          <w:color w:val="auto"/>
          <w:sz w:val="24"/>
          <w:szCs w:val="24"/>
          <w:highlight w:val="none"/>
        </w:rPr>
        <w:t>。</w:t>
      </w:r>
    </w:p>
    <w:p w14:paraId="254E7065">
      <w:pPr>
        <w:widowControl/>
        <w:spacing w:before="4"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施工内容具体包含但不限于以下部分：</w:t>
      </w:r>
    </w:p>
    <w:p w14:paraId="78F971E9">
      <w:pPr>
        <w:widowControl/>
        <w:spacing w:before="4"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1、图纸范围内泛光照明灯具的采购及布线、安装。</w:t>
      </w:r>
    </w:p>
    <w:p w14:paraId="3B213068">
      <w:pPr>
        <w:widowControl/>
        <w:spacing w:before="4" w:line="360" w:lineRule="auto"/>
        <w:ind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配电箱</w:t>
      </w:r>
      <w:r>
        <w:rPr>
          <w:rFonts w:hint="eastAsia" w:ascii="宋体" w:hAnsi="宋体" w:eastAsia="宋体" w:cs="宋体"/>
          <w:color w:val="auto"/>
          <w:sz w:val="24"/>
          <w:szCs w:val="24"/>
          <w:highlight w:val="none"/>
        </w:rPr>
        <w:t>的采购及布线、安装。</w:t>
      </w:r>
    </w:p>
    <w:p w14:paraId="603CA7A3">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3、各泛光照明系统中的分时控制系统的安装、调试，实现各照明系统设定时间自动点亮、熄灭功能。</w:t>
      </w:r>
    </w:p>
    <w:p w14:paraId="4082ECC1">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4、甲方提供夜景照明配电箱的进线接驳点，夜景照明配电箱及</w:t>
      </w:r>
      <w:r>
        <w:rPr>
          <w:rFonts w:hint="eastAsia" w:ascii="宋体" w:hAnsi="宋体" w:eastAsia="宋体" w:cs="宋体"/>
          <w:color w:val="auto"/>
          <w:highlight w:val="none"/>
        </w:rPr>
        <w:t>进</w:t>
      </w:r>
      <w:r>
        <w:rPr>
          <w:rFonts w:hint="eastAsia" w:ascii="宋体" w:hAnsi="宋体" w:eastAsia="宋体" w:cs="宋体"/>
          <w:color w:val="auto"/>
          <w:sz w:val="24"/>
          <w:szCs w:val="24"/>
          <w:highlight w:val="none"/>
        </w:rPr>
        <w:t>出线及以后所有工程内容均由乙方负责采购及施工。</w:t>
      </w:r>
    </w:p>
    <w:p w14:paraId="2CCA30AB">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5、设置自身防雷接地系统以及负责完成该系统与总防雷接地系统的连接。 </w:t>
      </w:r>
    </w:p>
    <w:p w14:paraId="11B473A5">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6、竣工后清洁并达到甲方满意。 </w:t>
      </w:r>
    </w:p>
    <w:p w14:paraId="3548A009">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7、保证通过相关部门的竣工验收及制作竣工图并承担相应费用。 </w:t>
      </w:r>
    </w:p>
    <w:p w14:paraId="1BF6286F">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8、提供</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rPr>
        <w:t>年免费保修责任。本工程完成时乙方要按技术要求及投标承诺提交备份材料给予甲方，以便日后维修使用。 </w:t>
      </w:r>
    </w:p>
    <w:p w14:paraId="1F27B9EB">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总包及其他所有相关联的工程间的联系协调工作，配合总承包单位的进度安排，分清界面，服从甲方及总承包单位的管理。泛光照明的所有其他细节和本工程的其他有关工作，以及促使本工程圆满达成所需的合理衍生工作。特别是本项目泛光照明专项工程，乙方有义务施工配合工作等。</w:t>
      </w:r>
    </w:p>
    <w:p w14:paraId="3B66BEE6">
      <w:pPr>
        <w:pStyle w:val="2"/>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三、承包方式</w:t>
      </w:r>
    </w:p>
    <w:p w14:paraId="331DE3B1">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承包方式：固定总价包干，招标图纸范围内的所有工程固定总价一次性包干。固定合同总价中已包括但不限于承包范围内设备和材料（灯具、电缆、电线、辅材、照明配电箱）的购置、安装、调试、检测、办理验收手续及取得合格证所需费用、质保期内的系统维护费和保修期内所需的备品备件、免费对甲方技术人员的培训等费用。</w:t>
      </w:r>
    </w:p>
    <w:p w14:paraId="0F008FAD">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固定总价包括但不限于人工费、材料费（包括材料损耗、材料加工费、材料检验试验费）、材料保管费、设备费、机械使用费、合同工期内的赶工费、施工水电费、规费、管理费、措施费、利润、税金、加班费、农民工工伤保险费、建筑施工人意外伤害保险、包装空运、国外及本地存仓、运输、办理验收直至取得验收合格证明文件和保修费用，以及政策性文件规定的各项应有费用及招标文件明示或暗示的所有一切风险、责任和义务的费用。其中，措施费包含但不限于组织措施费、缩短工期增加费、二次搬运费、检测费、远途施工增加费、夜间施工费、环境保护、文明施工（含扬尘治理，含施工现场为达到环保主管部门要求所需要的各项措施费用）、安全施工、临时设施等，技术措施费、垂直运输费、超高增加费、成品保护费、现场勘察费、垃圾清理及外运费、工程完工验收前成品保护及移交、交叉施工降效费及配合费、设备/材料的安全保管等其他费用。固定总价不随材料市场价格波动、工资、物价、费率的变动或的政府颁发的任何调价文件而发生变化；材料风险费不再调整。</w:t>
      </w:r>
    </w:p>
    <w:p w14:paraId="4CFB6A21">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z w:val="24"/>
          <w:szCs w:val="24"/>
          <w:highlight w:val="none"/>
        </w:rPr>
        <w:t>3、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工期内赶工等因素。合同含税固定总价已充分考虑上述因素并考虑在价格中。合同含税固定总价视为由工程开工至完成</w:t>
      </w:r>
      <w:r>
        <w:rPr>
          <w:rFonts w:hint="eastAsia" w:ascii="宋体" w:hAnsi="宋体" w:eastAsia="宋体" w:cs="宋体"/>
          <w:color w:val="auto"/>
          <w:spacing w:val="12"/>
          <w:sz w:val="24"/>
          <w:szCs w:val="24"/>
          <w:highlight w:val="none"/>
        </w:rPr>
        <w:t>竣工验收并符合交付使用标准的一切费用，甲方将不会就现场状况做出任何变更签证或增加工程款（由于甲方改变工程范围或工作量的、设计</w:t>
      </w:r>
      <w:r>
        <w:rPr>
          <w:rFonts w:hint="eastAsia" w:ascii="宋体" w:hAnsi="宋体" w:eastAsia="宋体" w:cs="宋体"/>
          <w:color w:val="auto"/>
          <w:spacing w:val="0"/>
          <w:sz w:val="24"/>
          <w:szCs w:val="24"/>
          <w:highlight w:val="none"/>
        </w:rPr>
        <w:t>变更除外）。乙方为完成本合同规定的工作所需施工组织中的所有费用均已包含在各分项合同含税价格内，不再另外计取。</w:t>
      </w:r>
    </w:p>
    <w:p w14:paraId="172294AC">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4、施工过程中经甲方认可的实际施工方案仅作为甲方对乙方技术方案的肯定，不作为计价依据，甲方不接受乙方重新组价或者调价的要求。</w:t>
      </w:r>
    </w:p>
    <w:p w14:paraId="4224126C">
      <w:pPr>
        <w:pStyle w:val="7"/>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5、发光字按设计图纸要求，吸塑发光字，模组光源。</w:t>
      </w:r>
    </w:p>
    <w:p w14:paraId="74D4ED40">
      <w:pPr>
        <w:pStyle w:val="7"/>
        <w:ind w:firstLine="480" w:firstLineChars="200"/>
        <w:rPr>
          <w:rFonts w:hint="eastAsia" w:eastAsia="宋体"/>
          <w:color w:val="auto"/>
          <w:highlight w:val="none"/>
          <w:lang w:val="en-US" w:eastAsia="zh-CN"/>
        </w:rPr>
      </w:pPr>
      <w:r>
        <w:rPr>
          <w:rFonts w:hint="eastAsia" w:ascii="宋体" w:hAnsi="宋体" w:cs="宋体"/>
          <w:color w:val="auto"/>
          <w:spacing w:val="0"/>
          <w:sz w:val="24"/>
          <w:szCs w:val="24"/>
          <w:highlight w:val="none"/>
          <w:lang w:val="en-US" w:eastAsia="zh-CN"/>
        </w:rPr>
        <w:t>6、所有材料需根据现场要求确保外立面颜色效果，含在报价中。</w:t>
      </w:r>
    </w:p>
    <w:p w14:paraId="0F17FED1">
      <w:pPr>
        <w:overflowPunct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四、工期要求</w:t>
      </w:r>
    </w:p>
    <w:p w14:paraId="5FBACE45">
      <w:pPr>
        <w:overflowPunct w:val="0"/>
        <w:topLinePunct w:val="0"/>
        <w:autoSpaceDE/>
        <w:spacing w:line="360" w:lineRule="auto"/>
        <w:ind w:left="239" w:leftChars="114" w:firstLine="240" w:firstLineChars="1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z w:val="24"/>
          <w:szCs w:val="24"/>
          <w:highlight w:val="none"/>
        </w:rPr>
        <w:t>本工程工期</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rPr>
        <w:t>日历天，进场时间</w:t>
      </w:r>
      <w:r>
        <w:rPr>
          <w:rFonts w:hint="eastAsia" w:ascii="宋体" w:hAnsi="宋体" w:cs="宋体"/>
          <w:color w:val="auto"/>
          <w:sz w:val="24"/>
          <w:szCs w:val="24"/>
          <w:highlight w:val="none"/>
          <w:lang w:val="en-US" w:eastAsia="zh-CN"/>
        </w:rPr>
        <w:t>以甲方书面通知为准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暂定2025年11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日前施工完成；</w:t>
      </w:r>
      <w:r>
        <w:rPr>
          <w:rFonts w:hint="eastAsia" w:ascii="宋体" w:hAnsi="宋体" w:eastAsia="宋体" w:cs="宋体"/>
          <w:color w:val="auto"/>
          <w:spacing w:val="0"/>
          <w:sz w:val="24"/>
          <w:szCs w:val="24"/>
          <w:highlight w:val="none"/>
        </w:rPr>
        <w:t>乙方承诺满足甲方施工工期要求并不因此要求工期补偿/赔偿。</w:t>
      </w:r>
    </w:p>
    <w:p w14:paraId="201E8B16">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2、施工过程中如遇甲方责任或不可抗力等因素所延误的工期，经甲、乙双方签证认可后予以调整，并在此基础上确定完工日期。 </w:t>
      </w:r>
    </w:p>
    <w:p w14:paraId="61D26894">
      <w:pPr>
        <w:overflowPunct w:val="0"/>
        <w:spacing w:line="360" w:lineRule="auto"/>
        <w:ind w:firstLine="482" w:firstLineChars="200"/>
        <w:rPr>
          <w:rFonts w:hint="eastAsia" w:ascii="宋体" w:hAnsi="宋体" w:eastAsia="宋体" w:cs="宋体"/>
          <w:b/>
          <w:bCs/>
          <w:color w:val="auto"/>
          <w:spacing w:val="0"/>
          <w:kern w:val="2"/>
          <w:sz w:val="24"/>
          <w:szCs w:val="24"/>
          <w:highlight w:val="none"/>
        </w:rPr>
      </w:pPr>
      <w:bookmarkStart w:id="0" w:name="_Hlt503692535"/>
      <w:bookmarkEnd w:id="0"/>
      <w:r>
        <w:rPr>
          <w:rFonts w:hint="eastAsia" w:ascii="宋体" w:hAnsi="宋体" w:eastAsia="宋体" w:cs="宋体"/>
          <w:b/>
          <w:bCs/>
          <w:color w:val="auto"/>
          <w:spacing w:val="0"/>
          <w:kern w:val="2"/>
          <w:sz w:val="24"/>
          <w:szCs w:val="24"/>
          <w:highlight w:val="none"/>
        </w:rPr>
        <w:t>五、合同价格</w:t>
      </w:r>
    </w:p>
    <w:p w14:paraId="306AF4D0">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1、合同含税固定总价为¥</w:t>
      </w:r>
      <w:r>
        <w:rPr>
          <w:rFonts w:hint="eastAsia" w:ascii="宋体" w:hAnsi="宋体" w:eastAsia="宋体" w:cs="宋体"/>
          <w:i w:val="0"/>
          <w:iCs w:val="0"/>
          <w:caps w:val="0"/>
          <w:color w:val="auto"/>
          <w:spacing w:val="0"/>
          <w:kern w:val="2"/>
          <w:sz w:val="24"/>
          <w:szCs w:val="24"/>
          <w:highlight w:val="none"/>
          <w:lang w:val="en-US" w:eastAsia="zh-CN" w:bidi="ar"/>
        </w:rPr>
        <w:t>94586</w:t>
      </w:r>
      <w:r>
        <w:rPr>
          <w:rFonts w:hint="eastAsia" w:ascii="宋体" w:hAnsi="宋体" w:eastAsia="宋体" w:cs="宋体"/>
          <w:color w:val="auto"/>
          <w:spacing w:val="0"/>
          <w:sz w:val="24"/>
          <w:szCs w:val="24"/>
          <w:highlight w:val="none"/>
        </w:rPr>
        <w:t>元（大写人民币</w:t>
      </w:r>
      <w:r>
        <w:rPr>
          <w:rFonts w:hint="eastAsia" w:ascii="宋体" w:hAnsi="宋体" w:cs="宋体"/>
          <w:color w:val="auto"/>
          <w:spacing w:val="0"/>
          <w:sz w:val="24"/>
          <w:szCs w:val="24"/>
          <w:highlight w:val="none"/>
          <w:u w:val="none"/>
          <w:lang w:val="en-US" w:eastAsia="zh-CN"/>
        </w:rPr>
        <w:t>玖万肆仟伍佰捌拾陆元零角零分</w:t>
      </w:r>
      <w:r>
        <w:rPr>
          <w:rFonts w:hint="eastAsia" w:ascii="宋体" w:hAnsi="宋体" w:eastAsia="宋体" w:cs="宋体"/>
          <w:color w:val="auto"/>
          <w:spacing w:val="0"/>
          <w:sz w:val="24"/>
          <w:szCs w:val="24"/>
          <w:highlight w:val="none"/>
        </w:rPr>
        <w:t>（以下简称“合同总价”）。其中不含税金额为¥</w:t>
      </w:r>
      <w:r>
        <w:rPr>
          <w:rFonts w:hint="eastAsia" w:ascii="宋体" w:hAnsi="宋体" w:cs="宋体"/>
          <w:color w:val="auto"/>
          <w:spacing w:val="0"/>
          <w:sz w:val="24"/>
          <w:szCs w:val="24"/>
          <w:highlight w:val="none"/>
          <w:u w:val="none"/>
          <w:lang w:val="en-US" w:eastAsia="zh-CN"/>
        </w:rPr>
        <w:t>86776.15</w:t>
      </w:r>
      <w:r>
        <w:rPr>
          <w:rFonts w:hint="eastAsia" w:ascii="宋体" w:hAnsi="宋体" w:eastAsia="宋体" w:cs="宋体"/>
          <w:color w:val="auto"/>
          <w:spacing w:val="0"/>
          <w:sz w:val="24"/>
          <w:szCs w:val="24"/>
          <w:highlight w:val="none"/>
        </w:rPr>
        <w:t>元（大写人民币</w:t>
      </w:r>
      <w:r>
        <w:rPr>
          <w:rFonts w:hint="eastAsia" w:ascii="宋体" w:hAnsi="宋体" w:cs="宋体"/>
          <w:color w:val="auto"/>
          <w:spacing w:val="0"/>
          <w:sz w:val="24"/>
          <w:szCs w:val="24"/>
          <w:highlight w:val="none"/>
          <w:u w:val="none"/>
          <w:lang w:val="en-US" w:eastAsia="zh-CN"/>
        </w:rPr>
        <w:t>捌万陆仟柒佰柒拾陆元壹角伍分</w:t>
      </w:r>
      <w:r>
        <w:rPr>
          <w:rFonts w:hint="eastAsia" w:ascii="宋体" w:hAnsi="宋体" w:eastAsia="宋体" w:cs="宋体"/>
          <w:color w:val="auto"/>
          <w:spacing w:val="0"/>
          <w:sz w:val="24"/>
          <w:szCs w:val="24"/>
          <w:highlight w:val="none"/>
        </w:rPr>
        <w:t>），增值税税金为¥</w:t>
      </w:r>
      <w:r>
        <w:rPr>
          <w:rFonts w:hint="eastAsia" w:ascii="宋体" w:hAnsi="宋体" w:cs="宋体"/>
          <w:color w:val="auto"/>
          <w:spacing w:val="0"/>
          <w:sz w:val="24"/>
          <w:szCs w:val="24"/>
          <w:highlight w:val="none"/>
          <w:u w:val="none"/>
          <w:lang w:val="en-US" w:eastAsia="zh-CN"/>
        </w:rPr>
        <w:t xml:space="preserve"> 7809.85</w:t>
      </w:r>
      <w:r>
        <w:rPr>
          <w:rFonts w:hint="eastAsia" w:ascii="宋体" w:hAnsi="宋体" w:eastAsia="宋体" w:cs="宋体"/>
          <w:color w:val="auto"/>
          <w:spacing w:val="0"/>
          <w:sz w:val="24"/>
          <w:szCs w:val="24"/>
          <w:highlight w:val="none"/>
        </w:rPr>
        <w:t>元（大写人民币</w:t>
      </w:r>
      <w:r>
        <w:rPr>
          <w:rFonts w:hint="eastAsia" w:ascii="宋体" w:hAnsi="宋体" w:cs="宋体"/>
          <w:color w:val="auto"/>
          <w:spacing w:val="0"/>
          <w:sz w:val="24"/>
          <w:szCs w:val="24"/>
          <w:highlight w:val="none"/>
          <w:u w:val="none"/>
          <w:lang w:val="en-US" w:eastAsia="zh-CN"/>
        </w:rPr>
        <w:t>柒仟捌佰零玖元捌角伍分</w:t>
      </w:r>
      <w:r>
        <w:rPr>
          <w:rFonts w:hint="eastAsia" w:ascii="宋体" w:hAnsi="宋体" w:eastAsia="宋体" w:cs="宋体"/>
          <w:color w:val="auto"/>
          <w:spacing w:val="0"/>
          <w:sz w:val="24"/>
          <w:szCs w:val="24"/>
          <w:highlight w:val="none"/>
        </w:rPr>
        <w:t>），税率</w:t>
      </w:r>
      <w:r>
        <w:rPr>
          <w:rFonts w:hint="eastAsia" w:ascii="宋体" w:hAnsi="宋体" w:cs="宋体"/>
          <w:color w:val="auto"/>
          <w:spacing w:val="0"/>
          <w:sz w:val="24"/>
          <w:szCs w:val="24"/>
          <w:highlight w:val="none"/>
          <w:u w:val="none"/>
          <w:lang w:val="en-US" w:eastAsia="zh-CN"/>
        </w:rPr>
        <w:t xml:space="preserve">9 </w:t>
      </w:r>
      <w:r>
        <w:rPr>
          <w:rFonts w:hint="eastAsia" w:ascii="宋体" w:hAnsi="宋体" w:eastAsia="宋体" w:cs="宋体"/>
          <w:color w:val="auto"/>
          <w:spacing w:val="0"/>
          <w:sz w:val="24"/>
          <w:szCs w:val="24"/>
          <w:highlight w:val="none"/>
        </w:rPr>
        <w:t>%。详见附件《价格清单》。</w:t>
      </w:r>
    </w:p>
    <w:p w14:paraId="36C5B023">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2、增值税税率说明： </w:t>
      </w:r>
    </w:p>
    <w:p w14:paraId="5C9ACC08">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2.1、合同价增值税税率按</w:t>
      </w:r>
      <w:r>
        <w:rPr>
          <w:rFonts w:hint="eastAsia" w:ascii="宋体" w:hAnsi="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4D11074C">
      <w:pPr>
        <w:overflowPunct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2.2、如因乙方纳税资格变更引起增值税税率变化，风险由乙方自行承担（税率增加的，甲方仍按原税率支付税金；税率减小的，甲方按减小后的税率支付税金）。</w:t>
      </w:r>
    </w:p>
    <w:p w14:paraId="4AB96597">
      <w:pPr>
        <w:overflowPunct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六、工程价款支付 </w:t>
      </w:r>
    </w:p>
    <w:p w14:paraId="059CAAE9">
      <w:pPr>
        <w:widowControl/>
        <w:overflowPunct w:val="0"/>
        <w:spacing w:before="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1、本工程无预付款。</w:t>
      </w:r>
    </w:p>
    <w:p w14:paraId="6343CC37">
      <w:pPr>
        <w:widowControl/>
        <w:overflowPunct w:val="0"/>
        <w:spacing w:before="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2、施工完毕并调试完成，经甲方、监理验收合格</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，甲方支付乙方进度款至已完工程造价的80%。</w:t>
      </w:r>
    </w:p>
    <w:p w14:paraId="3833E1D2">
      <w:pPr>
        <w:widowControl/>
        <w:overflowPunct w:val="0"/>
        <w:spacing w:before="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、乙方提交完成工程竣工归档资料并配合甲方完成工程结算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双方签订结算协议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后60日内，甲方支付乙方支付至工程结算价款的97%；</w:t>
      </w:r>
    </w:p>
    <w:p w14:paraId="3E88E4CF">
      <w:pPr>
        <w:widowControl/>
        <w:overflowPunct w:val="0"/>
        <w:spacing w:before="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、结算金额的3%留作质保金，质保期</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w:t>
      </w:r>
      <w:r>
        <w:rPr>
          <w:rFonts w:hint="eastAsia" w:ascii="宋体" w:hAnsi="宋体" w:eastAsia="宋体" w:cs="宋体"/>
          <w:color w:val="auto"/>
          <w:sz w:val="24"/>
          <w:szCs w:val="24"/>
          <w:highlight w:val="none"/>
        </w:rPr>
        <w:t>工程全部施工完成，经甲方、监理及相关部门验收合格之日起开始计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质保期满后且无质量问题的，在质保期满后7个工作日无息退还剩余款项(若有)。</w:t>
      </w:r>
    </w:p>
    <w:p w14:paraId="1016CDB7">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、每次付款前，乙方应按甲方要求出具合法有效的增值税专用发票。</w:t>
      </w:r>
      <w:r>
        <w:rPr>
          <w:rFonts w:hint="eastAsia" w:ascii="宋体" w:hAnsi="宋体" w:cs="宋体"/>
          <w:color w:val="auto"/>
          <w:spacing w:val="0"/>
          <w:sz w:val="24"/>
          <w:szCs w:val="24"/>
          <w:highlight w:val="none"/>
          <w:lang w:val="en-US" w:eastAsia="zh-CN"/>
        </w:rPr>
        <w:t>如乙方延期出具发票或出具的发票有瑕疵，甲方可延迟付款。</w:t>
      </w:r>
      <w:r>
        <w:rPr>
          <w:rFonts w:hint="eastAsia" w:ascii="宋体" w:hAnsi="宋体" w:eastAsia="宋体" w:cs="宋体"/>
          <w:color w:val="auto"/>
          <w:spacing w:val="0"/>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eastAsia="宋体" w:cs="宋体"/>
          <w:color w:val="auto"/>
          <w:spacing w:val="0"/>
          <w:sz w:val="24"/>
          <w:szCs w:val="24"/>
          <w:highlight w:val="none"/>
        </w:rPr>
        <w:tab/>
      </w:r>
    </w:p>
    <w:p w14:paraId="338575C6">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353BCF4">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、对发票不合规的约定：</w:t>
      </w:r>
    </w:p>
    <w:p w14:paraId="5607E6CF">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75DAAE29">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D6391ED">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、其他税务风险的合同约定：</w:t>
      </w:r>
    </w:p>
    <w:p w14:paraId="2F9ADDA2">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591366DE">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2、如果获得开具的汇总专用发票，则乙方应提供其防伪税控系统开具的《销售货物或者提供应税劳务清单》，并加盖发票专用章。</w:t>
      </w:r>
    </w:p>
    <w:p w14:paraId="43AEBFD0">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七、甲方现场移交标准</w:t>
      </w:r>
    </w:p>
    <w:p w14:paraId="260C69D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1、本工程移交界面为工地现状条件，且乙方已充分踏勘现场，对工地现状条件下施工所需的措施费等相关费用已综合考虑在合同固定总价内。</w:t>
      </w:r>
    </w:p>
    <w:p w14:paraId="38D58D0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2、甲方只负责告知施工现场堆放材料的场地，乙方自行解决施工及管理人员住宿办公场所，由此产生的费用由乙方自行承担。</w:t>
      </w:r>
    </w:p>
    <w:p w14:paraId="7E1E782F">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3、现场无垂直运输设备，垂直运输产生的费用由乙方自行承担。</w:t>
      </w:r>
    </w:p>
    <w:p w14:paraId="242A602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4、甲方告知水源电源接驳点，接驳工作及接驳费用、施工过程中产生的水电费用由乙方承担。</w:t>
      </w:r>
    </w:p>
    <w:p w14:paraId="7DF5C470">
      <w:pPr>
        <w:snapToGrid w:val="0"/>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八、材料供应要求</w:t>
      </w:r>
    </w:p>
    <w:p w14:paraId="670C6B4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070BFCD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2、乙方采购、使用的材料设备不符合合同约定要求，甲方或监理单位有权要求乙方负责更换、拆除并重新采购，由此产生的责任及损失由乙方承担。因材料不合格造成费用等损失均由乙方承担。</w:t>
      </w:r>
    </w:p>
    <w:p w14:paraId="1D4D580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3C4009B1">
      <w:pPr>
        <w:kinsoku/>
        <w:wordWrap/>
        <w:topLinePunct w:val="0"/>
        <w:autoSpaceDE/>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20954DFA">
      <w:pPr>
        <w:snapToGrid w:val="0"/>
        <w:spacing w:line="360" w:lineRule="auto"/>
        <w:ind w:right="0" w:rightChars="0"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5、主要材料品牌约定详见附件《主要材料品牌表》中约定的品牌，定制材料以现场封样确认的品牌为准。</w:t>
      </w:r>
    </w:p>
    <w:p w14:paraId="438E8005">
      <w:pPr>
        <w:snapToGrid w:val="0"/>
        <w:spacing w:line="360" w:lineRule="auto"/>
        <w:ind w:right="0" w:rightChars="0"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6、乙方确保随货提供的检测报告、合格证的真实性，否则，乙方应对所供产品符合合同约定承担证明责任。</w:t>
      </w:r>
    </w:p>
    <w:p w14:paraId="04407480">
      <w:pPr>
        <w:pStyle w:val="2"/>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九、工程质量要求</w:t>
      </w:r>
    </w:p>
    <w:p w14:paraId="6C274009">
      <w:pPr>
        <w:snapToGrid w:val="0"/>
        <w:spacing w:line="360" w:lineRule="auto"/>
        <w:ind w:firstLine="470" w:firstLineChars="196"/>
        <w:rPr>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val="0"/>
          <w:color w:val="auto"/>
          <w:sz w:val="24"/>
          <w:szCs w:val="24"/>
          <w:highlight w:val="none"/>
        </w:rPr>
        <w:t>施工工程质量要求：合格，</w:t>
      </w:r>
      <w:r>
        <w:rPr>
          <w:rFonts w:hint="eastAsia" w:ascii="宋体" w:hAnsi="宋体" w:eastAsia="宋体" w:cs="宋体"/>
          <w:color w:val="auto"/>
          <w:sz w:val="24"/>
          <w:szCs w:val="24"/>
          <w:highlight w:val="none"/>
        </w:rPr>
        <w:t>应达到设计效果图的效果。质量标准的评定以现行国家或行业的质量检验评定标准为依据，同时应达到甲方制定的相关质量标准，并符合相关的检查制度。</w:t>
      </w:r>
    </w:p>
    <w:p w14:paraId="2B3BE57F">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本项目照明设计效果要求：应富有时代气息，符合现代审美品味，重点突出城市地标性建筑，并与其特殊的使用功能及重要地段的地位相匹配。应该按照本项目中的商业、公寓等功能分类，区别对待，强调以照明营造商业氛围和艺术效果，在设计中应该重点突出、层次分明，并须考虑平时、周末、节假日及不同时段的照明效果。</w:t>
      </w:r>
    </w:p>
    <w:p w14:paraId="77445763">
      <w:pPr>
        <w:snapToGrid w:val="0"/>
        <w:spacing w:line="360" w:lineRule="auto"/>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3、按设计要求施工，着重表现裙房商业，突出商业氛围；主楼强调横向线条，突出顶部LOGO字样，强化中浩德地产标识。</w:t>
      </w:r>
    </w:p>
    <w:p w14:paraId="232A6138">
      <w:pPr>
        <w:snapToGrid w:val="0"/>
        <w:spacing w:line="360" w:lineRule="auto"/>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4、按照明设计要求施工结合附属建筑、地下车库出入口、室外标识及广告灯箱等的照明效果，以及室内灯光，以协调照明的整体设计效果，同时要注意有效控制商业活动的照明对</w:t>
      </w:r>
      <w:r>
        <w:rPr>
          <w:rFonts w:hint="eastAsia" w:ascii="宋体" w:hAnsi="宋体" w:cs="宋体"/>
          <w:color w:val="auto"/>
          <w:sz w:val="24"/>
          <w:szCs w:val="24"/>
          <w:highlight w:val="none"/>
          <w:lang w:val="en-US" w:eastAsia="zh-CN"/>
        </w:rPr>
        <w:t>住户</w:t>
      </w:r>
      <w:r>
        <w:rPr>
          <w:rFonts w:hint="eastAsia" w:ascii="宋体" w:hAnsi="宋体" w:eastAsia="宋体" w:cs="宋体"/>
          <w:color w:val="auto"/>
          <w:sz w:val="24"/>
          <w:szCs w:val="24"/>
          <w:highlight w:val="none"/>
        </w:rPr>
        <w:t>等的不利影响，以及主楼外立面夜间照明对住户的影响等。</w:t>
      </w:r>
    </w:p>
    <w:p w14:paraId="74D4CC6F">
      <w:pPr>
        <w:snapToGrid w:val="0"/>
        <w:spacing w:line="360" w:lineRule="auto"/>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5、照明灯具的选择，应结合设计图纸要求达到建筑外立面、景观设计的风格特点，通过合理的构造处理，选择适合的照明标准，使用节能的光源和灯具，精心设计制定照明方案和控制系统，节省造价及节约能源。灯具应考虑日间效果，高大灯具应考虑悬挂广告旗的效果。</w:t>
      </w:r>
    </w:p>
    <w:p w14:paraId="61F8D1BD">
      <w:pPr>
        <w:snapToGrid w:val="0"/>
        <w:spacing w:line="360" w:lineRule="auto"/>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6、严格按灯光设计中所使用的照明设备技术要求，特别是电气设备和控制系统应是技术成熟、安全可靠的产品，并便于维修管理。</w:t>
      </w:r>
    </w:p>
    <w:p w14:paraId="145FADB3">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施工及选用设备和材料时按最近的国际或国内标准执行，并提供采用的国际或国内标准、规范和所应用的最新版本的有关技术依据资料。</w:t>
      </w:r>
    </w:p>
    <w:p w14:paraId="7EAB031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在施工阶段，应按甲方确定的照明施工图施工，与总包单位、其他分包相关的单位等相互配合，做好必要预留预埋工作。</w:t>
      </w:r>
    </w:p>
    <w:p w14:paraId="7E89776B">
      <w:pPr>
        <w:pStyle w:val="2"/>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十、现场安全文明施工及管理要求</w:t>
      </w:r>
    </w:p>
    <w:p w14:paraId="44F15E6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0E5B1CF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2、乙方及乙方施工人员在现场包括但不限于因用水、用电、高空作业、使用机器发生伤亡事故的，其经济责任、法律责任和其他民事责任均由乙方负责。</w:t>
      </w:r>
    </w:p>
    <w:p w14:paraId="1DFB7AD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及乙方派驻施工现场的现场代表须向甲方签订安全责任书，对工程质量、安全作出相应承诺和确定目标值。若上述目标不能达到，应向甲方支付违约金2000元/次并向甲方给予经济补偿和承担相应的法律责任。</w:t>
      </w:r>
    </w:p>
    <w:p w14:paraId="716587D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4、施工现场用电器具应有接地、接零装置和线路布置规范化，安全防护措施到位。乙方自身职工、与甲方有关的第三方人员在现场发生伤亡事故，其经济责任、法律责任和其他民事责任均由乙方负责。</w:t>
      </w:r>
    </w:p>
    <w:p w14:paraId="798A15C3">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5、乙方应加强对现场施工人员的教育。施工现场严禁酗酒、打架斗殴、赌博和其他违法违章现象，每发现一次，乙方按2000元/次向甲方支付违约金。</w:t>
      </w:r>
    </w:p>
    <w:p w14:paraId="0AFCD5C1">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2224370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7、乙方需遵守甲方、监理及总承包单位的相关安全规程制度，否则按相关制度进行处罚。</w:t>
      </w:r>
    </w:p>
    <w:p w14:paraId="7D07015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8、乙方在施工中要服从甲方及监理人员的统一指挥，做好防尘防噪措施，各项措施和管理达到洛阳市文明建设的有关规定。现场施工实行工完场清制度，垃圾及时清运出场。</w:t>
      </w:r>
    </w:p>
    <w:p w14:paraId="506615BF">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9、乙方应保证施工现场的卫生标准、噪声标准等指标满足国家、地方的有关规定。施工中因乙方违反规定造成的损失和发生的费用（若主管部门罚款）均由乙方承担。</w:t>
      </w:r>
    </w:p>
    <w:p w14:paraId="4F278C6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10、施工过程中如发生扰民或民扰，由乙方与甲方协调解决，费用由乙方承担。</w:t>
      </w:r>
    </w:p>
    <w:p w14:paraId="1CC0C95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11、安全文明施工标准应符合《浩德地产安全文明措施标准化手册2022版》的相关要求。</w:t>
      </w:r>
    </w:p>
    <w:p w14:paraId="26FB95F5">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十一、验收及移交</w:t>
      </w:r>
    </w:p>
    <w:p w14:paraId="4DA6F373">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验收：按照国家标准设计要求建筑装饰装修及建筑泛光照明工程质量标准和甲方的要求进行验收。如工程质量达不到约定条件，乙方应按甲方和监理的要求返工、修改，并承担因此导致返工、修改的费用及逾期完工的违约责任。</w:t>
      </w:r>
    </w:p>
    <w:p w14:paraId="3BF813E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w:t>
      </w:r>
      <w:r>
        <w:rPr>
          <w:rFonts w:hint="eastAsia" w:ascii="宋体" w:hAnsi="宋体" w:cs="宋体"/>
          <w:color w:val="auto"/>
          <w:sz w:val="24"/>
          <w:szCs w:val="24"/>
          <w:highlight w:val="none"/>
          <w:lang w:val="en-US" w:eastAsia="zh-CN"/>
        </w:rPr>
        <w:t>有权</w:t>
      </w:r>
      <w:r>
        <w:rPr>
          <w:rFonts w:hint="eastAsia" w:ascii="宋体" w:hAnsi="宋体" w:eastAsia="宋体" w:cs="宋体"/>
          <w:color w:val="auto"/>
          <w:sz w:val="24"/>
          <w:szCs w:val="24"/>
          <w:highlight w:val="none"/>
        </w:rPr>
        <w:t>委托任何设计单位、政府有关质量监督部门或其他单位对施工质量进行检查及对工程质量进行监督，乙方应予积极配合。</w:t>
      </w:r>
    </w:p>
    <w:p w14:paraId="22EC83AF">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1.2、甲方有权利随时对本合同范围内产品的生产过程及到场产品进行检查，乙方应予以积极配合，如甲方认定产品的用料、工艺及产品质量不合格，乙方应立即按照合同质量要求重新生产，且工期不予顺延。</w:t>
      </w:r>
    </w:p>
    <w:p w14:paraId="018A3C2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1.3、本工程的质量监督验收单位为：甲方、监理方。</w:t>
      </w:r>
    </w:p>
    <w:p w14:paraId="588071B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工程验收必须以合同约定的质量要求、材料品牌、规格、型号、施工图纸及有关变更的书面文件、国家颁布的施工及验收规范和质量检验标准为依据。乙方施工有防火要求的门窗必须满足施工图设计要求，乙方要负责消防验收通过。</w:t>
      </w:r>
    </w:p>
    <w:p w14:paraId="08271921">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1.5、隐蔽工程由乙方书面通知甲方、监理，由甲方 、监理相关工程技术人员到现场检查验收，经验收合格后并履行隐蔽工程签证手续，乙方可将该部位隐蔽。未经甲方监理验收私自进行隐蔽，甲方有权要求进行破坏性检查，同时乙方承担2000元/次的违约</w:t>
      </w:r>
      <w:r>
        <w:rPr>
          <w:rFonts w:hint="eastAsia" w:ascii="宋体" w:hAnsi="宋体" w:cs="宋体"/>
          <w:color w:val="auto"/>
          <w:sz w:val="24"/>
          <w:szCs w:val="24"/>
          <w:highlight w:val="none"/>
          <w:lang w:val="en-US" w:eastAsia="zh-CN"/>
        </w:rPr>
        <w:t>并负责恢复原状</w:t>
      </w:r>
      <w:r>
        <w:rPr>
          <w:rFonts w:hint="eastAsia" w:ascii="宋体" w:hAnsi="宋体" w:eastAsia="宋体" w:cs="宋体"/>
          <w:color w:val="auto"/>
          <w:sz w:val="24"/>
          <w:szCs w:val="24"/>
          <w:highlight w:val="none"/>
        </w:rPr>
        <w:t>。</w:t>
      </w:r>
    </w:p>
    <w:p w14:paraId="6143DB9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79EBD5B8">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1.7、验收中如发现不合格需返工或修补的部分，乙方应及时进行整改并在规定期限内完成。由此发生的费用及产生的逾期完工责任由乙方承担。</w:t>
      </w:r>
    </w:p>
    <w:p w14:paraId="301ADF4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058095E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工程验收合格后5个工作日内，乙方负责按工程竣工资料归档要求，提交满足相关建筑工程质量监督部门对技术资料的要求的竣工资料，把有关资料送交甲方。甲方须在合同签订7日内向乙方提供质量监督部门所需竣工资料明细表及样式。</w:t>
      </w:r>
    </w:p>
    <w:p w14:paraId="0C94D2C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09607020">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1.11、工程施工中的材料检测费用。</w:t>
      </w:r>
    </w:p>
    <w:p w14:paraId="20052A2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2、工程的移交：</w:t>
      </w:r>
    </w:p>
    <w:p w14:paraId="122849C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2.1、验收合格移交甲方前泛光照明所有范围内（含泛光照明工程甲分包、甲供材）所有安保责任均由乙方承担，出现物品丢失，由乙方按照购买同种类及同品质产品的重购价进行赔偿。</w:t>
      </w:r>
    </w:p>
    <w:p w14:paraId="5FD3D18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2.2、本工程竣工验收合格之日起3日内由双方负责人共同洽谈交接事宜并办理移交手续。工程自移交第二日起，全部由甲方负责管理。</w:t>
      </w:r>
    </w:p>
    <w:p w14:paraId="7697794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乙方应在竣工验收合格之日起2日内撤出全部施工人员、机械设备和剩余材料，并将所有承包及管理范围内的工程清理干净，如乙方不能及时拆除或清理，甲方有权另派人拆除并清理，由此所发生的全部费用由乙方承担，甲方有权从应付未付款项中扣除。乙方遗留的物品视为乙方放弃所有权，甲方有权自行处置。</w:t>
      </w:r>
    </w:p>
    <w:p w14:paraId="25EBDB6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2.4、工程在未移交甲方之前，乙方承担维护及管理责任；如甲方提前使用，因使用损坏发生的修理费用由甲方承担。</w:t>
      </w:r>
    </w:p>
    <w:p w14:paraId="18363379">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工程竣工并达到合同验收要求后，乙方不得因自身的经济纠纷或其他任何原因而拒绝交付工程；如乙方拒绝移交工程的，自应当移交工程之日起，乙方每日需向甲方按照合同总价1‰承担违约责任，甲方有权从应付未付款项中扣除，应付未付款项不足以抵扣的，乙方应当补足。</w:t>
      </w:r>
    </w:p>
    <w:p w14:paraId="28B35457">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十二、工程变更、签证</w:t>
      </w:r>
    </w:p>
    <w:p w14:paraId="3EABCE7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1、乙方应严格按照经甲方审核签认的施工图纸施工，不得随意变更；若确需变更，应按程序报甲方书面同意后，方可变更施工，否则造成的一切后果及责任均由乙方负责。</w:t>
      </w:r>
    </w:p>
    <w:p w14:paraId="162B6CD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2、施工过程中，若甲方需要增减项目或变更项目应提前以书面形式通知乙方，乙方承诺满足甲方的需求，并不因此要求赔偿/补偿。</w:t>
      </w:r>
    </w:p>
    <w:p w14:paraId="6425AC8E">
      <w:pPr>
        <w:snapToGrid w:val="0"/>
        <w:spacing w:line="360" w:lineRule="auto"/>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r>
        <w:rPr>
          <w:rFonts w:hint="eastAsia" w:ascii="宋体" w:hAnsi="宋体" w:eastAsia="宋体" w:cs="宋体"/>
          <w:color w:val="auto"/>
          <w:sz w:val="24"/>
          <w:szCs w:val="24"/>
          <w:highlight w:val="none"/>
          <w:lang w:eastAsia="zh-CN"/>
        </w:rPr>
        <w:t>。</w:t>
      </w:r>
    </w:p>
    <w:p w14:paraId="244A85B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14:paraId="28FCC14F">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十三、结算方式</w:t>
      </w:r>
    </w:p>
    <w:p w14:paraId="63C8CB20">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1、结算依据：甲方审核签认的施工设计方案、甲方认可的变更签证、施工合同、补充协议、招标、投标文件等。</w:t>
      </w:r>
    </w:p>
    <w:p w14:paraId="4B67353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2、结算价款＝工程固定总价±变更、签证造价－其他应扣费用（含违约金）。</w:t>
      </w:r>
    </w:p>
    <w:p w14:paraId="18DD4724">
      <w:pPr>
        <w:snapToGrid w:val="0"/>
        <w:spacing w:line="360" w:lineRule="auto"/>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全部完工，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最终结算金额以甲方审计部门对初审意见进行审核并最终确认的金额为准</w:t>
      </w:r>
      <w:r>
        <w:rPr>
          <w:rFonts w:hint="eastAsia" w:ascii="宋体" w:hAnsi="宋体" w:eastAsia="宋体" w:cs="宋体"/>
          <w:color w:val="auto"/>
          <w:sz w:val="24"/>
          <w:szCs w:val="24"/>
          <w:highlight w:val="none"/>
        </w:rPr>
        <w:t>。</w:t>
      </w:r>
    </w:p>
    <w:p w14:paraId="38CCBBC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4、乙方报送结算书应诚实准确，若最终审减额（报送金额—结算金额）超过结算金额的5%，则需要乙方向甲方支付超出5%部分的费用的3%作为违约金，且违约金在结算金额中一次性扣除。</w:t>
      </w:r>
    </w:p>
    <w:p w14:paraId="4907098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5、若甲方需在本合同约定的承包范围以外委托乙方完成其他工作，应以正式书面形式将具体工作范围、价款、完成时间、付款方式等主要内容通知乙方。若无正式书面委托，甲方不予结算。</w:t>
      </w:r>
    </w:p>
    <w:p w14:paraId="44B29879">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6、工程完工后，乙方按照甲方要求递交竣工结算资料</w:t>
      </w:r>
      <w:r>
        <w:rPr>
          <w:rFonts w:hint="eastAsia" w:ascii="宋体" w:hAnsi="宋体" w:cs="宋体"/>
          <w:color w:val="auto"/>
          <w:sz w:val="24"/>
          <w:szCs w:val="24"/>
          <w:highlight w:val="none"/>
          <w:lang w:eastAsia="zh-CN"/>
        </w:rPr>
        <w:t>。</w:t>
      </w:r>
    </w:p>
    <w:p w14:paraId="5B5D8DFC">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十四、质保期</w:t>
      </w:r>
    </w:p>
    <w:p w14:paraId="33A28620">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1、本工程的质保期为</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rPr>
        <w:t>年，自工程全部施工完成，经甲方、监理及相关部门验收合格之日起开始计算。</w:t>
      </w:r>
    </w:p>
    <w:p w14:paraId="3ABA2072">
      <w:pPr>
        <w:snapToGrid w:val="0"/>
        <w:spacing w:line="360" w:lineRule="auto"/>
        <w:ind w:firstLine="470" w:firstLineChars="196"/>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2、质保期内若有施工质量问题、用量问题等，乙方必须在接到通知后的 24 个小时内派员维修并在24 小时内完成修复，因乙方施工质量问题引起的损坏，乙方免收一切费用；对于质保范围外的维修，乙方承诺仅向甲方收取更换的材料、部件的成本费。若乙方在收到通知后不及时派员维修，甲方、物业管理公司有权另请人员修理，费用在质保金中扣除，如质保金不足以支付的，甲方有权向乙方追偿。</w:t>
      </w:r>
      <w:r>
        <w:rPr>
          <w:rFonts w:hint="eastAsia" w:ascii="宋体" w:hAnsi="宋体" w:cs="宋体"/>
          <w:color w:val="auto"/>
          <w:sz w:val="24"/>
          <w:szCs w:val="24"/>
          <w:highlight w:val="none"/>
          <w:lang w:val="en-US" w:eastAsia="zh-CN"/>
        </w:rPr>
        <w:t>因质量问题给甲方或第三方造成损失的，乙方承担赔偿责任。</w:t>
      </w:r>
    </w:p>
    <w:p w14:paraId="1D7959B6">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十五、双方责任与义务</w:t>
      </w:r>
    </w:p>
    <w:p w14:paraId="60955C0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1、甲方的责任与义务</w:t>
      </w:r>
    </w:p>
    <w:p w14:paraId="4862131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1.1、遵守法律、法规和规章，甲方应在其实施本合同的全部工作中遵守与本合同有关的法律、法规和规章，并应承担由于其自身违反上述法律、法规和规章的责任。</w:t>
      </w:r>
    </w:p>
    <w:p w14:paraId="7EE8D6B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1.2、甲方委派</w:t>
      </w:r>
      <w:r>
        <w:rPr>
          <w:rFonts w:hint="eastAsia" w:ascii="宋体" w:hAnsi="宋体" w:cs="宋体"/>
          <w:color w:val="auto"/>
          <w:kern w:val="2"/>
          <w:sz w:val="24"/>
          <w:szCs w:val="24"/>
          <w:highlight w:val="none"/>
          <w:u w:val="single"/>
          <w:lang w:val="en-US" w:eastAsia="zh-CN"/>
        </w:rPr>
        <w:t xml:space="preserve">李中伟 </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rPr>
        <w:t>电话：</w:t>
      </w:r>
      <w:r>
        <w:rPr>
          <w:rFonts w:hint="eastAsia" w:ascii="宋体" w:hAnsi="宋体" w:cs="宋体"/>
          <w:color w:val="auto"/>
          <w:kern w:val="2"/>
          <w:sz w:val="24"/>
          <w:szCs w:val="24"/>
          <w:highlight w:val="none"/>
          <w:u w:val="single"/>
          <w:lang w:val="en-US" w:eastAsia="zh-CN"/>
        </w:rPr>
        <w:t>15137930543</w:t>
      </w:r>
      <w:r>
        <w:rPr>
          <w:rFonts w:hint="eastAsia" w:ascii="宋体" w:hAnsi="宋体" w:cs="宋体"/>
          <w:color w:val="auto"/>
          <w:kern w:val="2"/>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为现场代表</w:t>
      </w:r>
      <w:r>
        <w:rPr>
          <w:rFonts w:hint="eastAsia" w:ascii="宋体" w:hAnsi="宋体" w:eastAsia="宋体" w:cs="宋体"/>
          <w:color w:val="auto"/>
          <w:sz w:val="24"/>
          <w:szCs w:val="24"/>
          <w:highlight w:val="none"/>
        </w:rPr>
        <w:t>，监督、检查产品、工程的质量，协调工作中发生的有关事宜，并参与产品、工程的初验、验收和签证工作。如现场代表变更则需及时通知乙方。</w:t>
      </w:r>
    </w:p>
    <w:p w14:paraId="1D59E8C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1.3、甲方应提供乙方所需工程建筑图、说明书、建筑平面图、变更图及有关技术文件等作为乙方产品设计和施工的有效依据。</w:t>
      </w:r>
    </w:p>
    <w:p w14:paraId="1E74A76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1.4、甲方协调乙方与土建单位施工配合问题，并督促工程进度。</w:t>
      </w:r>
    </w:p>
    <w:p w14:paraId="3E18B671">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1.5、签订合同时，甲方向乙方提供建筑施工图、变更通知及相关材料1套。</w:t>
      </w:r>
    </w:p>
    <w:p w14:paraId="2EA43FF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1.6、甲方应及时按合同要求给乙方拨付工程款、组织工程竣工验收并按合同规定办理竣工结算。</w:t>
      </w:r>
    </w:p>
    <w:p w14:paraId="2307E740">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1.7、进场材料及施工成品、半成品达不到标准要求的，甲方有权责令乙方调换，更换后仍达不到标准要求的，乙方需</w:t>
      </w:r>
      <w:r>
        <w:rPr>
          <w:rFonts w:hint="eastAsia" w:ascii="宋体" w:hAnsi="宋体" w:cs="宋体"/>
          <w:color w:val="auto"/>
          <w:sz w:val="24"/>
          <w:szCs w:val="24"/>
          <w:highlight w:val="none"/>
          <w:lang w:val="en-US" w:eastAsia="zh-CN"/>
        </w:rPr>
        <w:t>按合同约定承担违约责任</w:t>
      </w:r>
      <w:r>
        <w:rPr>
          <w:rFonts w:hint="eastAsia" w:ascii="宋体" w:hAnsi="宋体" w:eastAsia="宋体" w:cs="宋体"/>
          <w:color w:val="auto"/>
          <w:sz w:val="24"/>
          <w:szCs w:val="24"/>
          <w:highlight w:val="none"/>
        </w:rPr>
        <w:t>。</w:t>
      </w:r>
    </w:p>
    <w:p w14:paraId="64CAC1E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1.8、为乙方协调水源、电源接驳点。</w:t>
      </w:r>
    </w:p>
    <w:p w14:paraId="08AD5B3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乙方责任与义务</w:t>
      </w:r>
    </w:p>
    <w:p w14:paraId="50FE357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14:paraId="0C35A77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2.2、乙方委派</w:t>
      </w:r>
      <w:r>
        <w:rPr>
          <w:rFonts w:hint="eastAsia" w:ascii="宋体" w:hAnsi="宋体" w:cs="宋体"/>
          <w:color w:val="auto"/>
          <w:sz w:val="24"/>
          <w:szCs w:val="24"/>
          <w:highlight w:val="none"/>
          <w:u w:val="none"/>
          <w:lang w:eastAsia="zh-CN"/>
        </w:rPr>
        <w:t>：彭显武</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为现场代表，电话</w:t>
      </w:r>
      <w:r>
        <w:rPr>
          <w:rFonts w:hint="eastAsia" w:ascii="宋体" w:hAnsi="宋体" w:cs="宋体"/>
          <w:color w:val="auto"/>
          <w:sz w:val="24"/>
          <w:szCs w:val="24"/>
          <w:highlight w:val="none"/>
          <w:lang w:val="en-US" w:eastAsia="zh-CN"/>
        </w:rPr>
        <w:t>18200929566</w:t>
      </w:r>
      <w:r>
        <w:rPr>
          <w:rFonts w:hint="eastAsia" w:ascii="宋体" w:hAnsi="宋体" w:eastAsia="宋体" w:cs="宋体"/>
          <w:color w:val="auto"/>
          <w:sz w:val="24"/>
          <w:szCs w:val="24"/>
          <w:highlight w:val="none"/>
        </w:rPr>
        <w:t>，负责施工期间的施工质量、安全问题，协调工作中发生的有关事宜。如现场代表变更则需经甲方同意。</w:t>
      </w:r>
    </w:p>
    <w:p w14:paraId="0B5082D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2.3、乙方应服从甲方、监理单位、总承包单位的管理，密切配合总承包单位施工，遵守工地的有关规定；严格实行工序开工前向监理报验制度。</w:t>
      </w:r>
    </w:p>
    <w:p w14:paraId="2EC7E0C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2.4、本工程监理单位：</w:t>
      </w:r>
      <w:r>
        <w:rPr>
          <w:rFonts w:hint="eastAsia" w:ascii="宋体" w:hAnsi="宋体" w:eastAsia="宋体" w:cs="宋体"/>
          <w:bCs w:val="0"/>
          <w:color w:val="auto"/>
          <w:sz w:val="24"/>
          <w:szCs w:val="24"/>
          <w:highlight w:val="none"/>
        </w:rPr>
        <w:t>中机十院国际工程有限公司</w:t>
      </w:r>
      <w:r>
        <w:rPr>
          <w:rFonts w:hint="eastAsia" w:ascii="宋体" w:hAnsi="宋体" w:eastAsia="宋体" w:cs="宋体"/>
          <w:color w:val="auto"/>
          <w:sz w:val="24"/>
          <w:szCs w:val="24"/>
          <w:highlight w:val="none"/>
        </w:rPr>
        <w:t>。</w:t>
      </w:r>
    </w:p>
    <w:p w14:paraId="38F26EE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2.5、乙方不得将该工程转包或分包，否则甲方不支付乙方所发生的任何费用。</w:t>
      </w:r>
    </w:p>
    <w:p w14:paraId="59CEA2C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2.6、按照施工安全规范的要求，采取相应的安全施工防护措施，对验收合格</w:t>
      </w:r>
      <w:r>
        <w:rPr>
          <w:rFonts w:hint="eastAsia" w:ascii="宋体" w:hAnsi="宋体" w:cs="宋体"/>
          <w:color w:val="auto"/>
          <w:sz w:val="24"/>
          <w:szCs w:val="24"/>
          <w:highlight w:val="none"/>
          <w:lang w:val="en-US" w:eastAsia="zh-CN"/>
        </w:rPr>
        <w:t>移交甲方</w:t>
      </w:r>
      <w:r>
        <w:rPr>
          <w:rFonts w:hint="eastAsia" w:ascii="宋体" w:hAnsi="宋体" w:eastAsia="宋体" w:cs="宋体"/>
          <w:color w:val="auto"/>
          <w:sz w:val="24"/>
          <w:szCs w:val="24"/>
          <w:highlight w:val="none"/>
        </w:rPr>
        <w:t>前的安全负全责，发生安全事故与甲方及总承包单位无关，一切责任由乙方承担，甲方因此承担责任的，乙方应负责赔偿；做到文明施工，工完料清、场清；乙方做好半成品保护工作。</w:t>
      </w:r>
    </w:p>
    <w:p w14:paraId="0BF0368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2.7、做好各项质量自检记录，参加竣工验收，编制工程结算。</w:t>
      </w:r>
    </w:p>
    <w:p w14:paraId="6E9E3EE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2.8、遵守国家或地方政府及有关部门对施工现场管理规定；服从甲方的有关指令，积极配合甲方进度安排。</w:t>
      </w:r>
    </w:p>
    <w:p w14:paraId="33D7B2B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2.9、依据规范要求，负责组织工程验收及检测。</w:t>
      </w:r>
    </w:p>
    <w:p w14:paraId="1A39B24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2.10、根据施工验收规范及甲方要求，及时向甲方和总承包单位提供该分项技术资料。</w:t>
      </w:r>
    </w:p>
    <w:p w14:paraId="1514704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2.11、甲方告知水源电源接驳点，但是具体接驳工作及产生的水电费由乙方自行承担。乙方在施工中用水、用电耗直接向总承包单位缴纳（具体的计量计价方式由乙方和总承包单位自行协商确定）。</w:t>
      </w:r>
    </w:p>
    <w:p w14:paraId="17DEBAD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2.12 乙方派驻本工程的人员，未经甲方书面同意不得擅自更换，但是，甲方有权要求乙方更换甲方认为不合适或不能胜任本项目的人员。乙方擅自更换安排在本项目的人员，每发现一次，应按5000元/人次的标准向甲方支付违约金；甲方认为相关人员不合适或不能胜任本项目的，有权要求乙方更换，乙方应立即安排更换并再次经甲方面试合格后方可进场，更换后的人员须具有相关资格且乙方应合理安排更换期间的工作。</w:t>
      </w:r>
    </w:p>
    <w:p w14:paraId="65DE8CAD">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、违约责任</w:t>
      </w:r>
    </w:p>
    <w:p w14:paraId="09A09B83">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1、除不可抗力外，甲乙双方应严格遵守本合同的条款，否则，违约方须承担违约责任。</w:t>
      </w:r>
    </w:p>
    <w:p w14:paraId="2184C784">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2、乙方逾期</w:t>
      </w:r>
      <w:r>
        <w:rPr>
          <w:rFonts w:hint="eastAsia" w:ascii="宋体" w:hAnsi="宋体" w:cs="宋体"/>
          <w:color w:val="auto"/>
          <w:sz w:val="24"/>
          <w:szCs w:val="24"/>
          <w:highlight w:val="none"/>
          <w:lang w:eastAsia="zh-CN"/>
        </w:rPr>
        <w:t>制作</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供应、进场</w:t>
      </w:r>
      <w:r>
        <w:rPr>
          <w:rFonts w:hint="eastAsia" w:ascii="宋体" w:hAnsi="宋体" w:cs="宋体"/>
          <w:color w:val="auto"/>
          <w:sz w:val="24"/>
          <w:szCs w:val="24"/>
          <w:highlight w:val="none"/>
        </w:rPr>
        <w:t>安装的或单独楼栋、总体工程未能按本合同约定工期</w:t>
      </w:r>
      <w:r>
        <w:rPr>
          <w:rFonts w:hint="eastAsia" w:ascii="宋体" w:hAnsi="宋体" w:cs="宋体"/>
          <w:color w:val="auto"/>
          <w:sz w:val="24"/>
          <w:szCs w:val="24"/>
          <w:highlight w:val="none"/>
          <w:lang w:eastAsia="zh-CN"/>
        </w:rPr>
        <w:t>制作</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供应、</w:t>
      </w:r>
      <w:r>
        <w:rPr>
          <w:rFonts w:hint="eastAsia" w:ascii="宋体" w:hAnsi="宋体" w:cs="宋体"/>
          <w:color w:val="auto"/>
          <w:sz w:val="24"/>
          <w:szCs w:val="24"/>
          <w:highlight w:val="none"/>
        </w:rPr>
        <w:t>安装的，视为乙方违约，每逾期一天，按</w:t>
      </w:r>
      <w:r>
        <w:rPr>
          <w:rFonts w:hint="eastAsia" w:ascii="宋体" w:hAnsi="宋体" w:cs="宋体"/>
          <w:color w:val="auto"/>
          <w:sz w:val="24"/>
          <w:szCs w:val="24"/>
          <w:highlight w:val="none"/>
          <w:lang w:val="en-US" w:eastAsia="zh-CN"/>
        </w:rPr>
        <w:t>2000元/天</w:t>
      </w:r>
      <w:r>
        <w:rPr>
          <w:rFonts w:hint="eastAsia" w:ascii="宋体" w:hAnsi="宋体" w:cs="宋体"/>
          <w:color w:val="auto"/>
          <w:sz w:val="24"/>
          <w:szCs w:val="24"/>
          <w:highlight w:val="none"/>
        </w:rPr>
        <w:t>向甲方计支付违约金，同时因施工逾期引起的相关损失由乙方承担。</w:t>
      </w:r>
    </w:p>
    <w:p w14:paraId="67B4A15F">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3、乙方存在其他任何逾期违约行为但未达到甲方行使单方解除条件的，每逾期一日，按2000元/日向甲方支付违约金，本合同另有约定时除外。</w:t>
      </w:r>
    </w:p>
    <w:p w14:paraId="41AE9F04">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4、乙方存在其他违约行为但未达到甲方行使单方解除条件的，每存在一项/次违约行为，乙方应按2000元/次（项）向甲方支付违约金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本合同另有约定的除外</w:t>
      </w:r>
      <w:r>
        <w:rPr>
          <w:rFonts w:hint="eastAsia" w:ascii="宋体" w:hAnsi="宋体" w:cs="宋体"/>
          <w:color w:val="auto"/>
          <w:sz w:val="24"/>
          <w:szCs w:val="24"/>
          <w:highlight w:val="none"/>
        </w:rPr>
        <w:t>。</w:t>
      </w:r>
    </w:p>
    <w:p w14:paraId="78B28135">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5、乙方提供产品的品牌、规格、型号等与本合同约定不符的，视为乙方违约，甲方有权拒绝验收，乙方应在5天内无偿更换。</w:t>
      </w:r>
    </w:p>
    <w:p w14:paraId="4D1547E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34EB2364">
      <w:pPr>
        <w:snapToGrid w:val="0"/>
        <w:spacing w:line="360" w:lineRule="auto"/>
        <w:ind w:firstLine="470" w:firstLineChars="196"/>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eastAsia="zh-CN"/>
        </w:rPr>
        <w:t>如</w:t>
      </w:r>
      <w:r>
        <w:rPr>
          <w:rFonts w:hint="eastAsia" w:ascii="宋体" w:hAnsi="宋体" w:eastAsia="宋体" w:cs="宋体"/>
          <w:color w:val="auto"/>
          <w:kern w:val="2"/>
          <w:sz w:val="24"/>
          <w:szCs w:val="24"/>
          <w:highlight w:val="none"/>
          <w:lang w:val="en-US" w:eastAsia="zh-CN"/>
        </w:rPr>
        <w:t>本工程</w:t>
      </w:r>
      <w:r>
        <w:rPr>
          <w:rFonts w:hint="eastAsia" w:ascii="宋体" w:hAnsi="宋体" w:eastAsia="宋体" w:cs="宋体"/>
          <w:color w:val="auto"/>
          <w:kern w:val="2"/>
          <w:sz w:val="24"/>
          <w:szCs w:val="24"/>
          <w:highlight w:val="none"/>
          <w:lang w:eastAsia="zh-CN"/>
        </w:rPr>
        <w:t>未通过消防验收，乙方负责进行整改直至通过验收，同时向甲方支付合同总价</w:t>
      </w:r>
      <w:r>
        <w:rPr>
          <w:rFonts w:hint="eastAsia" w:ascii="宋体" w:hAnsi="宋体" w:eastAsia="宋体" w:cs="宋体"/>
          <w:color w:val="auto"/>
          <w:kern w:val="2"/>
          <w:sz w:val="24"/>
          <w:szCs w:val="24"/>
          <w:highlight w:val="none"/>
          <w:lang w:val="en-US" w:eastAsia="zh-CN"/>
        </w:rPr>
        <w:t>款20%的违约金。</w:t>
      </w:r>
    </w:p>
    <w:p w14:paraId="6CDA932F">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、乙方违约导致甲方解除合同的，乙方所有人员必须在3日内撤离施工现场，甲方已支付的预付款（如有）需在3日内退还至甲方，由此造成的所有损失均由乙方负责。</w:t>
      </w:r>
    </w:p>
    <w:p w14:paraId="6D63AEF2">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、乙方应向甲方支付的违约金等，甲方有权直接在甲方应付未付款中扣除，违约金不足以弥补甲方损失的，甲方可继续向乙方追偿。</w:t>
      </w:r>
    </w:p>
    <w:p w14:paraId="509B7D0A">
      <w:pPr>
        <w:pStyle w:val="7"/>
        <w:spacing w:line="48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10、合同约定应由乙方完成的工作内容（包括但不限于：承包范围内防火门制作及安装工程、图纸会审纪要、设计变更、现场签证等），如乙方拒绝施工或不能按合同要求的工期或质量标准完成施工，甲方可安排第三方实施，并按照另行委托造价的1.3倍从乙方下一次的付款节点中扣除，且由此造成工期延误的，一切损失由乙方负责。</w:t>
      </w:r>
    </w:p>
    <w:p w14:paraId="2DEE3C06">
      <w:pPr>
        <w:pStyle w:val="2"/>
        <w:numPr>
          <w:ilvl w:val="0"/>
          <w:numId w:val="0"/>
        </w:numPr>
        <w:rPr>
          <w:rFonts w:hint="eastAsia" w:ascii="宋体" w:hAnsi="宋体" w:eastAsia="宋体" w:cs="宋体"/>
          <w:b/>
          <w:bCs/>
          <w:color w:val="auto"/>
          <w:kern w:val="2"/>
          <w:sz w:val="24"/>
          <w:szCs w:val="22"/>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、不可抗力</w:t>
      </w:r>
    </w:p>
    <w:p w14:paraId="2404FB30">
      <w:pPr>
        <w:pStyle w:val="7"/>
        <w:overflowPunct w:val="0"/>
        <w:topLinePunct/>
        <w:autoSpaceDE w:val="0"/>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60D47888">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63DBD27">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3、费用承担：</w:t>
      </w:r>
    </w:p>
    <w:p w14:paraId="7A59731B">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3.1、人员伤亡由所属单位负责，并承担相应费用；</w:t>
      </w:r>
    </w:p>
    <w:p w14:paraId="0EA56298">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3.2、造成乙方工程设备、机械的损失等损失由乙方承担；</w:t>
      </w:r>
    </w:p>
    <w:p w14:paraId="329889F7">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3.3、所需清理修复工作的责任与费用的承担，双方另行商定。</w:t>
      </w:r>
    </w:p>
    <w:p w14:paraId="05BC06BD">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、送达条款</w:t>
      </w:r>
    </w:p>
    <w:p w14:paraId="48E4D120">
      <w:pPr>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甲乙双方明确送达信息如下：</w:t>
      </w:r>
    </w:p>
    <w:p w14:paraId="443BBABF">
      <w:pPr>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1、甲方确认的送达信息为：</w:t>
      </w:r>
    </w:p>
    <w:p w14:paraId="555551C2">
      <w:pPr>
        <w:tabs>
          <w:tab w:val="left" w:pos="0"/>
          <w:tab w:val="left" w:pos="1276"/>
        </w:tabs>
        <w:topLinePunct/>
        <w:autoSpaceDE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送达地址：</w:t>
      </w:r>
      <w:r>
        <w:rPr>
          <w:rFonts w:hint="eastAsia" w:ascii="宋体" w:hAnsi="宋体" w:eastAsia="宋体" w:cs="宋体"/>
          <w:color w:val="auto"/>
          <w:spacing w:val="8"/>
          <w:sz w:val="24"/>
          <w:szCs w:val="24"/>
          <w:highlight w:val="none"/>
          <w:u w:val="single"/>
        </w:rPr>
        <w:t>洛阳市洛龙区关林西路8号中浩德控股集团有限公司1楼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9B63855">
      <w:pPr>
        <w:tabs>
          <w:tab w:val="left" w:pos="1276"/>
        </w:tabs>
        <w:topLinePunct/>
        <w:autoSpaceDE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成本管理部</w:t>
      </w:r>
      <w:r>
        <w:rPr>
          <w:rFonts w:hint="eastAsia" w:ascii="宋体" w:hAnsi="宋体" w:eastAsia="宋体" w:cs="宋体"/>
          <w:color w:val="auto"/>
          <w:sz w:val="24"/>
          <w:szCs w:val="24"/>
          <w:highlight w:val="none"/>
        </w:rPr>
        <w:t>；联系固话：</w:t>
      </w:r>
      <w:r>
        <w:rPr>
          <w:rFonts w:hint="eastAsia" w:ascii="宋体" w:hAnsi="宋体" w:eastAsia="宋体" w:cs="宋体"/>
          <w:color w:val="auto"/>
          <w:sz w:val="24"/>
          <w:szCs w:val="24"/>
          <w:highlight w:val="none"/>
          <w:u w:val="single"/>
        </w:rPr>
        <w:t>0379-60667770</w:t>
      </w:r>
      <w:r>
        <w:rPr>
          <w:rFonts w:hint="eastAsia" w:ascii="宋体" w:hAnsi="宋体" w:eastAsia="宋体" w:cs="宋体"/>
          <w:color w:val="auto"/>
          <w:sz w:val="24"/>
          <w:szCs w:val="24"/>
          <w:highlight w:val="none"/>
        </w:rPr>
        <w:t>；联系手机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1B96940F">
      <w:pPr>
        <w:tabs>
          <w:tab w:val="left" w:pos="1276"/>
        </w:tabs>
        <w:topLinePunct/>
        <w:autoSpaceDE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2、乙方确认的送达信息为： </w:t>
      </w:r>
    </w:p>
    <w:p w14:paraId="524ED3BC">
      <w:pPr>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送达地址：</w:t>
      </w:r>
      <w:r>
        <w:rPr>
          <w:rFonts w:hint="eastAsia" w:ascii="宋体" w:hAnsi="宋体" w:cs="宋体"/>
          <w:color w:val="auto"/>
          <w:sz w:val="24"/>
          <w:szCs w:val="24"/>
          <w:highlight w:val="none"/>
          <w:u w:val="single"/>
          <w:lang w:val="en-US" w:eastAsia="zh-CN"/>
        </w:rPr>
        <w:t xml:space="preserve"> 河南省洛阳市西工区上阳路18号盛世唐庄二期二组团5幢501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F79921">
      <w:pPr>
        <w:pStyle w:val="7"/>
        <w:topLinePunct/>
        <w:autoSpaceDE w:val="0"/>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 xml:space="preserve"> 彭显武  </w:t>
      </w: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；联系手机 ：</w:t>
      </w:r>
      <w:r>
        <w:rPr>
          <w:rFonts w:hint="eastAsia" w:ascii="宋体" w:hAnsi="宋体" w:cs="宋体"/>
          <w:color w:val="auto"/>
          <w:sz w:val="24"/>
          <w:szCs w:val="24"/>
          <w:highlight w:val="none"/>
          <w:u w:val="single"/>
          <w:lang w:val="en-US" w:eastAsia="zh-CN"/>
        </w:rPr>
        <w:t xml:space="preserve"> 18211929566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12C30B">
      <w:pPr>
        <w:pStyle w:val="7"/>
        <w:topLinePunct/>
        <w:autoSpaceDE w:val="0"/>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single"/>
        </w:rPr>
        <w:t>QQ:1025841598</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94D5231">
      <w:pPr>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3003CDE5">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十九</w:t>
      </w:r>
      <w:r>
        <w:rPr>
          <w:rFonts w:hint="eastAsia" w:ascii="宋体" w:hAnsi="宋体" w:eastAsia="宋体" w:cs="宋体"/>
          <w:b/>
          <w:bCs/>
          <w:color w:val="auto"/>
          <w:sz w:val="24"/>
          <w:szCs w:val="24"/>
          <w:highlight w:val="none"/>
        </w:rPr>
        <w:t>、合同解约条款</w:t>
      </w:r>
    </w:p>
    <w:p w14:paraId="199AF4C3">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1、乙方存在如下任一情况的，甲方有权要求乙方按照合同总价的</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%支付违约金（本合同另有约定时除外），且有权解除本合同，解除通知到达乙方之日生效，该违约金不足以弥补甲方损失，乙方还应继续承担赔偿责任。</w:t>
      </w:r>
    </w:p>
    <w:p w14:paraId="7819D53D">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1.1、本工程达不到建筑泛光照明工程及建筑装修验收规范合格标准及/或不能通过验收（含消防相关）的；</w:t>
      </w:r>
    </w:p>
    <w:p w14:paraId="5DA60302">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1.2、乙方未能按时进场施工的，在甲方发出书面通知后的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日内仍未进场施工的；</w:t>
      </w:r>
    </w:p>
    <w:p w14:paraId="57D2486E">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1.3、乙方在施工过程中非因不可抗力因素、乙方原因造成连续停工</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日以上或累计达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日的；</w:t>
      </w:r>
    </w:p>
    <w:p w14:paraId="3F0E945D">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1.4、乙方逾期竣工达</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日及以上的；</w:t>
      </w:r>
    </w:p>
    <w:p w14:paraId="06997AC5">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1.5、乙方人员在施工区内出现打架斗殴行为至警察出警、立案、相关行为人</w:t>
      </w:r>
      <w:r>
        <w:rPr>
          <w:rFonts w:hint="eastAsia" w:ascii="宋体" w:hAnsi="宋体" w:cs="宋体"/>
          <w:color w:val="auto"/>
          <w:sz w:val="24"/>
          <w:szCs w:val="24"/>
          <w:highlight w:val="none"/>
          <w:lang w:val="en-US" w:eastAsia="zh-CN"/>
        </w:rPr>
        <w:t>受到</w:t>
      </w:r>
      <w:r>
        <w:rPr>
          <w:rFonts w:hint="eastAsia" w:ascii="宋体" w:hAnsi="宋体" w:eastAsia="宋体" w:cs="宋体"/>
          <w:color w:val="auto"/>
          <w:sz w:val="24"/>
          <w:szCs w:val="24"/>
          <w:highlight w:val="none"/>
        </w:rPr>
        <w:t>行政处罚或刑事处罚的，且乙方未妥善处理的；</w:t>
      </w:r>
    </w:p>
    <w:p w14:paraId="58504A8C">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1.6、乙方擅自把工程分包或转包给其他任何单位的；</w:t>
      </w:r>
    </w:p>
    <w:p w14:paraId="7AACAB6C">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1.7、乙方与甲方工作人员串通、虚构事实或使用其他方式虚报工程量的；</w:t>
      </w:r>
    </w:p>
    <w:p w14:paraId="103D2770">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1.8、甲方或监理方对同一施工问题连续下发三次整改通知书后乙方无作为或整改问题未在整改通知书要求的期限内解决；</w:t>
      </w:r>
    </w:p>
    <w:p w14:paraId="41224AFA">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1.9、乙方购置不符合合同约定的品牌、厂家、产地、材质、工艺、规格、型号等标准的产品或者假冒伪劣产品用于本工程；</w:t>
      </w:r>
    </w:p>
    <w:p w14:paraId="7DC3CAF9">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1.10、乙方存在其他违约行为，经甲方书面通知之日</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日内仍未纠正的。</w:t>
      </w:r>
    </w:p>
    <w:p w14:paraId="21215F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390AAC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3、如合同解约甲方有权委托其他公司进行施工。</w:t>
      </w:r>
    </w:p>
    <w:p w14:paraId="7D8EA257">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二十、争议的解决</w:t>
      </w:r>
    </w:p>
    <w:p w14:paraId="364DE452">
      <w:pPr>
        <w:topLinePunct/>
        <w:autoSpaceDE w:val="0"/>
        <w:spacing w:line="360" w:lineRule="auto"/>
        <w:ind w:firstLine="512" w:firstLineChars="200"/>
        <w:rPr>
          <w:rFonts w:hint="eastAsia" w:ascii="宋体" w:hAnsi="宋体" w:eastAsia="宋体" w:cs="宋体"/>
          <w:b/>
          <w:color w:val="auto"/>
          <w:sz w:val="24"/>
          <w:szCs w:val="24"/>
          <w:highlight w:val="none"/>
        </w:rPr>
      </w:pPr>
      <w:r>
        <w:rPr>
          <w:rFonts w:hint="eastAsia" w:ascii="宋体" w:hAnsi="宋体" w:eastAsia="宋体" w:cs="宋体"/>
          <w:color w:val="auto"/>
          <w:spacing w:val="8"/>
          <w:sz w:val="24"/>
          <w:szCs w:val="24"/>
          <w:highlight w:val="none"/>
        </w:rPr>
        <w:t>本合同履行过程中发生争议或纠纷的，由当事人双方协商解决。协商不成时，双方同意向合同签约地人民法院提起诉讼。</w:t>
      </w:r>
    </w:p>
    <w:p w14:paraId="61B21F17">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、其他</w:t>
      </w:r>
    </w:p>
    <w:p w14:paraId="328FE0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1、本合同未尽事宜双方协商解决或另签补充协议，补充协议与本合同具有同等法律效力。</w:t>
      </w:r>
    </w:p>
    <w:p w14:paraId="476C25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2、本合同一式柒份，甲方伍份，乙方贰份，均具有同等法律效力。</w:t>
      </w:r>
    </w:p>
    <w:p w14:paraId="22AB2C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3、本合同及其补充协议自双方盖章之日起生效。</w:t>
      </w:r>
    </w:p>
    <w:p w14:paraId="1BE251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4、合同签订地点：洛阳市洛龙区。 </w:t>
      </w:r>
    </w:p>
    <w:p w14:paraId="29ACFB4D">
      <w:pPr>
        <w:rPr>
          <w:rFonts w:hint="eastAsia" w:ascii="宋体" w:hAnsi="宋体" w:eastAsia="宋体" w:cs="宋体"/>
          <w:color w:val="auto"/>
          <w:sz w:val="24"/>
          <w:szCs w:val="24"/>
          <w:highlight w:val="none"/>
        </w:rPr>
      </w:pPr>
      <w:r>
        <w:rPr>
          <w:rFonts w:hint="eastAsia" w:ascii="宋体" w:hAnsi="宋体" w:eastAsia="宋体" w:cs="宋体"/>
          <w:b/>
          <w:bCs/>
          <w:color w:val="auto"/>
          <w:kern w:val="44"/>
          <w:sz w:val="24"/>
          <w:szCs w:val="24"/>
          <w:highlight w:val="none"/>
        </w:rPr>
        <w:t>二十</w:t>
      </w:r>
      <w:r>
        <w:rPr>
          <w:rFonts w:hint="eastAsia" w:ascii="宋体" w:hAnsi="宋体" w:eastAsia="宋体" w:cs="宋体"/>
          <w:b/>
          <w:bCs/>
          <w:color w:val="auto"/>
          <w:kern w:val="44"/>
          <w:sz w:val="24"/>
          <w:szCs w:val="24"/>
          <w:highlight w:val="none"/>
          <w:lang w:eastAsia="zh-CN"/>
        </w:rPr>
        <w:t>二</w:t>
      </w:r>
      <w:r>
        <w:rPr>
          <w:rFonts w:hint="eastAsia" w:ascii="宋体" w:hAnsi="宋体" w:eastAsia="宋体" w:cs="宋体"/>
          <w:b/>
          <w:bCs/>
          <w:color w:val="auto"/>
          <w:kern w:val="44"/>
          <w:sz w:val="24"/>
          <w:szCs w:val="24"/>
          <w:highlight w:val="none"/>
        </w:rPr>
        <w:t>、合同附件</w:t>
      </w:r>
    </w:p>
    <w:p w14:paraId="34CA1280">
      <w:pPr>
        <w:spacing w:line="360" w:lineRule="auto"/>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1、合同附件一、《廉政合作协议》</w:t>
      </w:r>
    </w:p>
    <w:p w14:paraId="22CEC192">
      <w:pPr>
        <w:spacing w:line="360" w:lineRule="auto"/>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2、合同附件二、《乙方派驻本工程人员名单表》</w:t>
      </w:r>
    </w:p>
    <w:p w14:paraId="59332CF0">
      <w:pPr>
        <w:pStyle w:val="7"/>
        <w:ind w:left="0" w:leftChars="0" w:firstLine="512" w:firstLineChars="200"/>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rPr>
        <w:t>3、合同附件三、《价格清单》</w:t>
      </w:r>
    </w:p>
    <w:p w14:paraId="53ACD20D">
      <w:pPr>
        <w:spacing w:line="360" w:lineRule="auto"/>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（以下无正文）</w:t>
      </w:r>
    </w:p>
    <w:p w14:paraId="1C5A1C47">
      <w:pPr>
        <w:topLinePunct/>
        <w:autoSpaceDE w:val="0"/>
        <w:spacing w:line="360" w:lineRule="auto"/>
        <w:ind w:firstLine="480" w:firstLineChars="200"/>
        <w:rPr>
          <w:rFonts w:hint="eastAsia" w:ascii="宋体" w:hAnsi="宋体" w:eastAsia="宋体" w:cs="宋体"/>
          <w:bCs/>
          <w:color w:val="auto"/>
          <w:sz w:val="24"/>
          <w:szCs w:val="24"/>
          <w:highlight w:val="none"/>
        </w:rPr>
        <w:pPrChange w:id="0" w:author="开元壹号-冰飞神话15037954375" w:date="2025-11-11T11:20:40Z">
          <w:pPr>
            <w:topLinePunct/>
            <w:autoSpaceDE w:val="0"/>
            <w:spacing w:line="360" w:lineRule="auto"/>
            <w:ind w:firstLine="480" w:firstLineChars="200"/>
          </w:pPr>
        </w:pPrChange>
      </w:pPr>
      <w:r>
        <w:rPr>
          <w:rFonts w:hint="eastAsia" w:ascii="宋体" w:hAnsi="宋体" w:eastAsia="宋体" w:cs="宋体"/>
          <w:bCs/>
          <w:color w:val="auto"/>
          <w:sz w:val="24"/>
          <w:szCs w:val="24"/>
          <w:highlight w:val="none"/>
        </w:rPr>
        <w:t xml:space="preserve">甲方：（盖章）                         乙方：（盖章）  </w:t>
      </w:r>
      <w:r>
        <w:rPr>
          <w:rFonts w:hint="eastAsia" w:ascii="宋体" w:hAnsi="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 xml:space="preserve">  </w:t>
      </w:r>
    </w:p>
    <w:p w14:paraId="251B2D08">
      <w:pPr>
        <w:topLinePunct/>
        <w:autoSpaceDE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                           法定代表人：</w:t>
      </w:r>
    </w:p>
    <w:p w14:paraId="4A61F3A6">
      <w:pPr>
        <w:topLinePunct/>
        <w:autoSpaceDE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委托代理人：                           委托代理人：</w:t>
      </w:r>
    </w:p>
    <w:p w14:paraId="132EC11D">
      <w:pPr>
        <w:topLinePunct/>
        <w:autoSpaceDE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纳税人识别号：</w:t>
      </w:r>
      <w:r>
        <w:rPr>
          <w:rFonts w:hint="eastAsia" w:ascii="宋体" w:hAnsi="宋体" w:cs="宋体"/>
          <w:b w:val="0"/>
          <w:bCs/>
          <w:color w:val="auto"/>
          <w:sz w:val="24"/>
          <w:szCs w:val="24"/>
          <w:highlight w:val="none"/>
          <w:u w:val="none"/>
          <w:lang w:val="en-US" w:eastAsia="zh-CN"/>
        </w:rPr>
        <w:t xml:space="preserve">                 </w:t>
      </w:r>
      <w:r>
        <w:rPr>
          <w:rFonts w:hint="eastAsia" w:ascii="宋体" w:hAnsi="宋体" w:eastAsia="宋体" w:cs="宋体"/>
          <w:bCs/>
          <w:color w:val="auto"/>
          <w:sz w:val="24"/>
          <w:szCs w:val="24"/>
          <w:highlight w:val="none"/>
        </w:rPr>
        <w:t xml:space="preserve">      纳税人识别号：</w:t>
      </w:r>
      <w:r>
        <w:rPr>
          <w:rFonts w:hint="eastAsia" w:ascii="宋体" w:hAnsi="宋体" w:cs="宋体"/>
          <w:b w:val="0"/>
          <w:bCs/>
          <w:color w:val="auto"/>
          <w:sz w:val="24"/>
          <w:szCs w:val="24"/>
          <w:highlight w:val="none"/>
          <w:u w:val="none"/>
          <w:lang w:val="en-US" w:eastAsia="zh-CN"/>
        </w:rPr>
        <w:t xml:space="preserve">91410300083498720Q  </w:t>
      </w:r>
    </w:p>
    <w:p w14:paraId="214A0461">
      <w:pPr>
        <w:topLinePunct/>
        <w:autoSpaceDE w:val="0"/>
        <w:spacing w:line="360" w:lineRule="auto"/>
        <w:ind w:left="5919" w:leftChars="190" w:hanging="5520" w:hangingChars="23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开户行：</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开户行：上海浦东发展银行股份有限公司洛阳南昌路支行</w:t>
      </w:r>
      <w:r>
        <w:rPr>
          <w:rFonts w:hint="eastAsia" w:ascii="宋体" w:hAnsi="宋体" w:cs="宋体"/>
          <w:bCs/>
          <w:color w:val="auto"/>
          <w:sz w:val="24"/>
          <w:szCs w:val="24"/>
          <w:highlight w:val="none"/>
          <w:lang w:val="en-US" w:eastAsia="zh-CN"/>
        </w:rPr>
        <w:t xml:space="preserve"> </w:t>
      </w:r>
    </w:p>
    <w:p w14:paraId="70EA06B0">
      <w:pPr>
        <w:topLinePunct/>
        <w:autoSpaceDE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账号：</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账号：13250078801900000301</w:t>
      </w:r>
    </w:p>
    <w:p w14:paraId="0320E6EF">
      <w:pPr>
        <w:topLinePunct/>
        <w:autoSpaceDE w:val="0"/>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签订日期：</w:t>
      </w:r>
      <w:r>
        <w:rPr>
          <w:rFonts w:hint="eastAsia" w:ascii="宋体" w:hAnsi="宋体" w:cs="宋体"/>
          <w:bCs/>
          <w:color w:val="auto"/>
          <w:sz w:val="24"/>
          <w:szCs w:val="24"/>
          <w:highlight w:val="none"/>
          <w:u w:val="single"/>
          <w:lang w:val="en-US" w:eastAsia="zh-CN"/>
        </w:rPr>
        <w:t>2025</w:t>
      </w:r>
      <w:r>
        <w:rPr>
          <w:rFonts w:hint="eastAsia" w:ascii="宋体" w:hAnsi="宋体" w:cs="宋体"/>
          <w:bCs/>
          <w:color w:val="auto"/>
          <w:sz w:val="24"/>
          <w:szCs w:val="24"/>
          <w:highlight w:val="none"/>
          <w:u w:val="single"/>
          <w:lang w:eastAsia="zh-CN"/>
        </w:rPr>
        <w:t xml:space="preserve"> 年  月</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            签订日期：</w:t>
      </w:r>
      <w:r>
        <w:rPr>
          <w:rFonts w:hint="eastAsia" w:ascii="宋体" w:hAnsi="宋体" w:cs="宋体"/>
          <w:bCs/>
          <w:color w:val="auto"/>
          <w:sz w:val="24"/>
          <w:szCs w:val="24"/>
          <w:highlight w:val="none"/>
          <w:u w:val="single"/>
          <w:lang w:val="en-US" w:eastAsia="zh-CN"/>
        </w:rPr>
        <w:t>2025</w:t>
      </w:r>
      <w:r>
        <w:rPr>
          <w:rFonts w:hint="eastAsia" w:ascii="宋体" w:hAnsi="宋体" w:cs="宋体"/>
          <w:bCs/>
          <w:color w:val="auto"/>
          <w:sz w:val="24"/>
          <w:szCs w:val="24"/>
          <w:highlight w:val="none"/>
          <w:u w:val="single"/>
          <w:lang w:eastAsia="zh-CN"/>
        </w:rPr>
        <w:t xml:space="preserve"> 年  月</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307AADF3">
      <w:pPr>
        <w:pStyle w:val="29"/>
        <w:ind w:firstLine="420"/>
        <w:rPr>
          <w:rFonts w:hint="eastAsia" w:ascii="宋体" w:hAnsi="宋体" w:eastAsia="宋体" w:cs="宋体"/>
          <w:bCs/>
          <w:color w:val="auto"/>
          <w:sz w:val="24"/>
          <w:szCs w:val="24"/>
          <w:highlight w:val="none"/>
        </w:rPr>
      </w:pPr>
    </w:p>
    <w:p w14:paraId="4A672DBD">
      <w:pPr>
        <w:pStyle w:val="29"/>
        <w:ind w:firstLine="420"/>
        <w:rPr>
          <w:rFonts w:hint="eastAsia" w:ascii="宋体" w:hAnsi="宋体" w:eastAsia="宋体" w:cs="宋体"/>
          <w:bCs/>
          <w:color w:val="auto"/>
          <w:szCs w:val="24"/>
          <w:highlight w:val="none"/>
        </w:rPr>
      </w:pPr>
    </w:p>
    <w:p w14:paraId="4293FDB5">
      <w:pPr>
        <w:tabs>
          <w:tab w:val="left" w:pos="4465"/>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附件一、廉政合作协议</w:t>
      </w:r>
    </w:p>
    <w:p w14:paraId="69E99528">
      <w:pPr>
        <w:spacing w:line="360" w:lineRule="auto"/>
        <w:ind w:firstLine="219" w:firstLineChars="91"/>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廉政合作协议</w:t>
      </w:r>
    </w:p>
    <w:p w14:paraId="070DBD11">
      <w:pPr>
        <w:spacing w:line="360" w:lineRule="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甲方：</w:t>
      </w:r>
      <w:r>
        <w:rPr>
          <w:rFonts w:hint="eastAsia" w:ascii="宋体" w:hAnsi="宋体" w:cs="宋体"/>
          <w:b/>
          <w:color w:val="auto"/>
          <w:sz w:val="24"/>
          <w:szCs w:val="24"/>
          <w:highlight w:val="none"/>
          <w:lang w:eastAsia="zh-CN"/>
        </w:rPr>
        <w:t xml:space="preserve"> </w:t>
      </w:r>
      <w:r>
        <w:rPr>
          <w:rFonts w:hint="eastAsia" w:ascii="宋体" w:hAnsi="宋体" w:cs="宋体"/>
          <w:b/>
          <w:color w:val="auto"/>
          <w:sz w:val="24"/>
          <w:szCs w:val="24"/>
          <w:highlight w:val="none"/>
          <w:lang w:val="en-US" w:eastAsia="zh-CN"/>
        </w:rPr>
        <w:t>洛阳浩德鑫置地有限公司</w:t>
      </w:r>
    </w:p>
    <w:p w14:paraId="26D65DE0">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乙方：</w:t>
      </w:r>
      <w:r>
        <w:rPr>
          <w:rFonts w:hint="eastAsia" w:ascii="宋体" w:hAnsi="宋体" w:cs="宋体"/>
          <w:b/>
          <w:color w:val="auto"/>
          <w:sz w:val="24"/>
          <w:szCs w:val="24"/>
          <w:highlight w:val="none"/>
          <w:lang w:eastAsia="zh-CN"/>
        </w:rPr>
        <w:t xml:space="preserve"> </w:t>
      </w:r>
      <w:r>
        <w:rPr>
          <w:rFonts w:hint="eastAsia" w:ascii="宋体" w:hAnsi="宋体" w:cs="宋体"/>
          <w:b/>
          <w:color w:val="auto"/>
          <w:sz w:val="24"/>
          <w:szCs w:val="24"/>
          <w:highlight w:val="none"/>
          <w:lang w:val="en-US" w:eastAsia="zh-CN"/>
        </w:rPr>
        <w:t>洛阳顺明建筑工程有限公司</w:t>
      </w:r>
    </w:p>
    <w:p w14:paraId="08B798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为加强工程项目建设期间的廉政管理，确保项目高效优质按期竣工，甲、乙双方经协商签订本协议并作为双方共同遵守的廉政行为准则。</w:t>
      </w:r>
    </w:p>
    <w:p w14:paraId="648D1E8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一．甲方责任</w:t>
      </w:r>
    </w:p>
    <w:p w14:paraId="2FAC19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1．甲方有责任向乙方介绍本单位有关廉政管理的各项制度和规定。</w:t>
      </w:r>
    </w:p>
    <w:p w14:paraId="261160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2．甲方有责任对本单位项目管理人员进行廉政教育。</w:t>
      </w:r>
    </w:p>
    <w:p w14:paraId="76247C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3．甲方人员应严格遵守本单位有关廉政管理的规定，不得接受乙方的宴请，不得接受任何形式的实物、现金或礼券。</w:t>
      </w:r>
    </w:p>
    <w:p w14:paraId="4161D7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4．甲方在项目建设期间发现甲方人员任何形式的索贿受贿行为，均应及时采取措施予以制止，并及时通报乙方单位领导。</w:t>
      </w:r>
    </w:p>
    <w:p w14:paraId="609180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5．甲方人员如违反廉政管理制度及本协议规定，甲方应视情节轻重、影响大小给予处罚。</w:t>
      </w:r>
    </w:p>
    <w:p w14:paraId="4B592C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6．对于乙方举报甲方人员违反廉政规定的情况，甲方应及时进行调查，根据调查情况进行处理。</w:t>
      </w:r>
    </w:p>
    <w:p w14:paraId="70E5DE9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二．乙方责任</w:t>
      </w:r>
    </w:p>
    <w:p w14:paraId="3014A2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1．乙方应保证乙方有关人员了解甲方有关廉政管理的各项制度及本协议的规定，并遵照执行。</w:t>
      </w:r>
    </w:p>
    <w:p w14:paraId="454F93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2．乙方不得宴请甲方人员，不得以任何形式赠送实物、现金或礼券。</w:t>
      </w:r>
    </w:p>
    <w:p w14:paraId="3FAF97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3．乙方在项目建设期间发现乙方人员任何向甲方人员行贿行为，均应及时采取措施予以制止，并及时通报甲方单位领导。</w:t>
      </w:r>
    </w:p>
    <w:p w14:paraId="30F4DC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4．乙方有责任接受甲方对乙方在项目建设期间廉政管理执行情况的监督。</w:t>
      </w:r>
    </w:p>
    <w:p w14:paraId="078EAE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57250E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6．如因乙方或其人员在项目建设期间贿赂甲方人员，被检察机关立案查处的，甲方有权终止合同履行或解除合同，由此给甲方造成的损失，均由乙方负责赔偿。</w:t>
      </w:r>
    </w:p>
    <w:p w14:paraId="188C593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三、为维护甲乙双方的合法利益，营造良好的商务环境，甲方建立多种举报渠道（如下）。甲方审计监察部人员将恪守职业道德，严格履行保密义务！</w:t>
      </w:r>
    </w:p>
    <w:p w14:paraId="0B39BFB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（1）微信小程序举报（扫描右侧二维码进入程序，举报信息直达集团董事长）；</w:t>
      </w:r>
    </w:p>
    <w:p w14:paraId="4E298F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0288" behindDoc="0" locked="0" layoutInCell="1" allowOverlap="1">
            <wp:simplePos x="0" y="0"/>
            <wp:positionH relativeFrom="column">
              <wp:posOffset>4361815</wp:posOffset>
            </wp:positionH>
            <wp:positionV relativeFrom="paragraph">
              <wp:posOffset>19685</wp:posOffset>
            </wp:positionV>
            <wp:extent cx="935990" cy="935990"/>
            <wp:effectExtent l="0" t="0" r="16510" b="16510"/>
            <wp:wrapNone/>
            <wp:docPr id="1" name="图片 3"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 w:val="24"/>
          <w:szCs w:val="24"/>
          <w:highlight w:val="none"/>
        </w:rPr>
        <w:t>（2）邮箱：shenji@chinahonden.com</w:t>
      </w:r>
    </w:p>
    <w:p w14:paraId="1E068C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（3）电话：风控总监毛政辉：13693798532</w:t>
      </w:r>
    </w:p>
    <w:p w14:paraId="3EEABF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（4）电话：审计监察副总监齐全中：18137710188</w:t>
      </w:r>
    </w:p>
    <w:p w14:paraId="6D5598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（5）电话：审计监察高级经理苏文倩：18839528225</w:t>
      </w:r>
    </w:p>
    <w:p w14:paraId="65D5D1C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（6）信件举报邮寄地址：洛阳市洛龙区关林西路8号中浩德控股集团有限公司审计监察部（收）。</w:t>
      </w:r>
    </w:p>
    <w:p w14:paraId="67B50CF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四、甲乙双方发现对方工作人员有下列行为之一的，可通过第三条约定的渠道进行举报：</w:t>
      </w:r>
    </w:p>
    <w:p w14:paraId="24477B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1.推诿扯皮、有责不负、处事消极、渎职失职、弄虚作假等行为。</w:t>
      </w:r>
    </w:p>
    <w:p w14:paraId="28B98B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2.以权谋私、滥用职权、处事不公、隐瞒事故、违章指挥造成公司严重事故隐患的行为。</w:t>
      </w:r>
    </w:p>
    <w:p w14:paraId="321AA9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3.贪污、受贿、盗窃、欺上瞒下等违法乱纪行为。</w:t>
      </w:r>
    </w:p>
    <w:p w14:paraId="7F4C94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4.出卖、泄露公司商业机密等危害公司行为。</w:t>
      </w:r>
    </w:p>
    <w:p w14:paraId="110CA8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5.重大经济活动未按公司制度、流程执行的违规违纪行为。</w:t>
      </w:r>
    </w:p>
    <w:p w14:paraId="6127C9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6.利用职权，任人唯亲，拉帮结派，搞小利益团体或对同事正当行使权利进行打击报复的行为。</w:t>
      </w:r>
    </w:p>
    <w:p w14:paraId="1830C8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7.故意涂改公司文件或以公司名义谋私利，损害公司荣誉和利益的行为。</w:t>
      </w:r>
    </w:p>
    <w:p w14:paraId="2CD591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8.私自侵占、挪用公司财物，损坏公司重要设备或资产的行为。</w:t>
      </w:r>
    </w:p>
    <w:p w14:paraId="111C8E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9.破坏团队和谐，故意挑拨员工之间关系，对同事恶意侮辱、陷害、制造事端的行为。</w:t>
      </w:r>
    </w:p>
    <w:p w14:paraId="69CC5D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10.妄议集团经营、管理、决策部署、会议决议，对正当行使职权的执法部门、员工进行设置障碍、诋毁、恶意侮辱的行为。</w:t>
      </w:r>
    </w:p>
    <w:p w14:paraId="720239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11.其他违反法律或者甲方公司相关制度的行为。</w:t>
      </w:r>
    </w:p>
    <w:p w14:paraId="10D322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37D2AF4A">
      <w:pPr>
        <w:spacing w:line="360" w:lineRule="auto"/>
        <w:ind w:left="6930" w:leftChars="100" w:hanging="6720" w:hangingChars="2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乙方（盖章）：</w:t>
      </w:r>
    </w:p>
    <w:p w14:paraId="5B7DDB87">
      <w:pPr>
        <w:spacing w:line="360" w:lineRule="auto"/>
        <w:ind w:left="6930" w:leftChars="100" w:hanging="6720" w:hangingChars="28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洛阳浩德鑫置地有限公司</w:t>
      </w:r>
      <w:r>
        <w:rPr>
          <w:rFonts w:hint="eastAsia" w:ascii="宋体" w:hAnsi="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洛阳顺明建筑工程有限公司</w:t>
      </w:r>
      <w:r>
        <w:rPr>
          <w:rFonts w:hint="eastAsia" w:ascii="宋体" w:hAnsi="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w:t>
      </w:r>
    </w:p>
    <w:p w14:paraId="1C160BC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cs="宋体"/>
          <w:color w:val="auto"/>
          <w:sz w:val="24"/>
          <w:szCs w:val="24"/>
          <w:highlight w:val="none"/>
          <w:u w:val="single"/>
          <w:lang w:val="en-US" w:eastAsia="zh-CN"/>
        </w:rPr>
        <w:t>2025</w:t>
      </w:r>
      <w:r>
        <w:rPr>
          <w:rFonts w:hint="eastAsia" w:ascii="宋体" w:hAnsi="宋体" w:cs="宋体"/>
          <w:color w:val="auto"/>
          <w:sz w:val="24"/>
          <w:szCs w:val="24"/>
          <w:highlight w:val="none"/>
          <w:u w:val="single"/>
          <w:lang w:eastAsia="zh-CN"/>
        </w:rPr>
        <w:t>年  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签订日期：</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3278E0C0">
      <w:pPr>
        <w:pStyle w:val="29"/>
        <w:spacing w:line="360" w:lineRule="auto"/>
        <w:ind w:firstLine="0" w:firstLineChars="0"/>
        <w:rPr>
          <w:rFonts w:hint="eastAsia" w:ascii="宋体" w:hAnsi="宋体" w:eastAsia="宋体" w:cs="宋体"/>
          <w:bCs/>
          <w:color w:val="auto"/>
          <w:szCs w:val="28"/>
          <w:highlight w:val="none"/>
        </w:rPr>
      </w:pPr>
    </w:p>
    <w:p w14:paraId="760F63F6">
      <w:pPr>
        <w:pStyle w:val="29"/>
        <w:spacing w:line="360" w:lineRule="auto"/>
        <w:ind w:firstLine="0" w:firstLineChars="0"/>
        <w:rPr>
          <w:rFonts w:hint="eastAsia" w:ascii="宋体" w:hAnsi="宋体" w:eastAsia="宋体" w:cs="宋体"/>
          <w:bCs/>
          <w:color w:val="auto"/>
          <w:szCs w:val="28"/>
          <w:highlight w:val="none"/>
        </w:rPr>
      </w:pPr>
    </w:p>
    <w:p w14:paraId="513D27F1">
      <w:pPr>
        <w:pStyle w:val="29"/>
        <w:spacing w:line="360" w:lineRule="auto"/>
        <w:ind w:firstLine="420"/>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附件二、</w:t>
      </w:r>
      <w:r>
        <w:rPr>
          <w:rFonts w:hint="eastAsia" w:ascii="宋体" w:hAnsi="宋体" w:cs="宋体"/>
          <w:bCs/>
          <w:color w:val="auto"/>
          <w:sz w:val="24"/>
          <w:szCs w:val="24"/>
          <w:highlight w:val="none"/>
          <w:lang w:val="en-US" w:eastAsia="zh-CN"/>
        </w:rPr>
        <w:t xml:space="preserve">         </w:t>
      </w:r>
      <w:r>
        <w:rPr>
          <w:rFonts w:hint="eastAsia" w:ascii="宋体"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乙方派驻本工程人员名单表</w:t>
      </w:r>
    </w:p>
    <w:tbl>
      <w:tblPr>
        <w:tblStyle w:val="18"/>
        <w:tblW w:w="9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286"/>
        <w:gridCol w:w="1405"/>
        <w:gridCol w:w="1651"/>
        <w:gridCol w:w="1180"/>
        <w:gridCol w:w="1281"/>
        <w:gridCol w:w="1817"/>
      </w:tblGrid>
      <w:tr w14:paraId="0E1F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9380" w:type="dxa"/>
            <w:gridSpan w:val="7"/>
            <w:noWrap w:val="0"/>
            <w:vAlign w:val="center"/>
          </w:tcPr>
          <w:p w14:paraId="13A2D641">
            <w:pPr>
              <w:pStyle w:val="35"/>
              <w:spacing w:before="132"/>
              <w:ind w:left="39"/>
              <w:jc w:val="center"/>
              <w:rPr>
                <w:rFonts w:hint="eastAsia" w:ascii="宋体" w:hAnsi="宋体" w:eastAsia="宋体" w:cs="宋体"/>
                <w:b/>
                <w:color w:val="auto"/>
                <w:kern w:val="0"/>
                <w:sz w:val="24"/>
                <w:szCs w:val="24"/>
                <w:highlight w:val="none"/>
                <w:lang w:val="en-US" w:bidi="ar-SA"/>
              </w:rPr>
            </w:pPr>
            <w:r>
              <w:rPr>
                <w:rFonts w:hint="eastAsia" w:ascii="宋体" w:hAnsi="宋体" w:eastAsia="宋体" w:cs="宋体"/>
                <w:b/>
                <w:color w:val="auto"/>
                <w:kern w:val="0"/>
                <w:sz w:val="24"/>
                <w:szCs w:val="24"/>
                <w:highlight w:val="none"/>
                <w:lang w:val="en-US" w:bidi="ar-SA"/>
              </w:rPr>
              <w:t>《</w:t>
            </w:r>
            <w:r>
              <w:rPr>
                <w:rFonts w:hint="eastAsia" w:ascii="宋体" w:hAnsi="宋体" w:eastAsia="宋体" w:cs="宋体"/>
                <w:b/>
                <w:bCs w:val="0"/>
                <w:color w:val="auto"/>
                <w:sz w:val="24"/>
                <w:szCs w:val="24"/>
                <w:highlight w:val="none"/>
              </w:rPr>
              <w:t>乙方派驻本工程</w:t>
            </w:r>
            <w:r>
              <w:rPr>
                <w:rFonts w:hint="eastAsia" w:ascii="宋体" w:hAnsi="宋体" w:eastAsia="宋体" w:cs="宋体"/>
                <w:b/>
                <w:bCs w:val="0"/>
                <w:color w:val="auto"/>
                <w:sz w:val="24"/>
                <w:szCs w:val="24"/>
                <w:highlight w:val="none"/>
                <w:lang w:val="en-US"/>
              </w:rPr>
              <w:t>人员名单表</w:t>
            </w:r>
            <w:r>
              <w:rPr>
                <w:rFonts w:hint="eastAsia" w:ascii="宋体" w:hAnsi="宋体" w:eastAsia="宋体" w:cs="宋体"/>
                <w:b/>
                <w:color w:val="auto"/>
                <w:kern w:val="0"/>
                <w:sz w:val="24"/>
                <w:szCs w:val="24"/>
                <w:highlight w:val="none"/>
                <w:lang w:val="en-US" w:bidi="ar-SA"/>
              </w:rPr>
              <w:t>》</w:t>
            </w:r>
          </w:p>
        </w:tc>
      </w:tr>
      <w:tr w14:paraId="53CF8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760" w:type="dxa"/>
            <w:noWrap w:val="0"/>
            <w:vAlign w:val="center"/>
          </w:tcPr>
          <w:p w14:paraId="480C4007">
            <w:pPr>
              <w:pStyle w:val="35"/>
              <w:spacing w:before="132"/>
              <w:ind w:left="51" w:right="44"/>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序号</w:t>
            </w:r>
          </w:p>
        </w:tc>
        <w:tc>
          <w:tcPr>
            <w:tcW w:w="1286" w:type="dxa"/>
            <w:noWrap w:val="0"/>
            <w:vAlign w:val="center"/>
          </w:tcPr>
          <w:p w14:paraId="2902C45D">
            <w:pPr>
              <w:pStyle w:val="35"/>
              <w:spacing w:before="132"/>
              <w:ind w:right="167"/>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专业</w:t>
            </w:r>
          </w:p>
        </w:tc>
        <w:tc>
          <w:tcPr>
            <w:tcW w:w="1405" w:type="dxa"/>
            <w:noWrap w:val="0"/>
            <w:vAlign w:val="center"/>
          </w:tcPr>
          <w:p w14:paraId="3B9F786E">
            <w:pPr>
              <w:pStyle w:val="35"/>
              <w:spacing w:before="132"/>
              <w:ind w:left="201" w:right="178"/>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姓名</w:t>
            </w:r>
          </w:p>
        </w:tc>
        <w:tc>
          <w:tcPr>
            <w:tcW w:w="1651" w:type="dxa"/>
            <w:noWrap w:val="0"/>
            <w:vAlign w:val="center"/>
          </w:tcPr>
          <w:p w14:paraId="62F65F4F">
            <w:pPr>
              <w:pStyle w:val="35"/>
              <w:spacing w:before="132"/>
              <w:ind w:left="41" w:right="31"/>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职称</w:t>
            </w:r>
          </w:p>
        </w:tc>
        <w:tc>
          <w:tcPr>
            <w:tcW w:w="1180" w:type="dxa"/>
            <w:noWrap w:val="0"/>
            <w:vAlign w:val="center"/>
          </w:tcPr>
          <w:p w14:paraId="28599B12">
            <w:pPr>
              <w:pStyle w:val="35"/>
              <w:spacing w:before="132"/>
              <w:ind w:right="95"/>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学历</w:t>
            </w:r>
          </w:p>
        </w:tc>
        <w:tc>
          <w:tcPr>
            <w:tcW w:w="1281" w:type="dxa"/>
            <w:noWrap w:val="0"/>
            <w:vAlign w:val="center"/>
          </w:tcPr>
          <w:p w14:paraId="4255E9AC">
            <w:pPr>
              <w:pStyle w:val="35"/>
              <w:spacing w:before="132"/>
              <w:ind w:left="189" w:right="183"/>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工作年限</w:t>
            </w:r>
          </w:p>
        </w:tc>
        <w:tc>
          <w:tcPr>
            <w:tcW w:w="1817" w:type="dxa"/>
            <w:noWrap w:val="0"/>
            <w:vAlign w:val="center"/>
          </w:tcPr>
          <w:p w14:paraId="5E7862C4">
            <w:pPr>
              <w:pStyle w:val="35"/>
              <w:spacing w:before="132"/>
              <w:ind w:left="39"/>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担任本工程</w:t>
            </w:r>
          </w:p>
          <w:p w14:paraId="370EEC11">
            <w:pPr>
              <w:pStyle w:val="35"/>
              <w:spacing w:before="132"/>
              <w:ind w:left="39"/>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的职务</w:t>
            </w:r>
          </w:p>
        </w:tc>
      </w:tr>
      <w:tr w14:paraId="30BC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7045CC98">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1</w:t>
            </w:r>
          </w:p>
        </w:tc>
        <w:tc>
          <w:tcPr>
            <w:tcW w:w="1286" w:type="dxa"/>
            <w:noWrap w:val="0"/>
            <w:vAlign w:val="center"/>
          </w:tcPr>
          <w:p w14:paraId="67D1F590">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405" w:type="dxa"/>
            <w:noWrap w:val="0"/>
            <w:vAlign w:val="center"/>
          </w:tcPr>
          <w:p w14:paraId="0A0FC051">
            <w:pPr>
              <w:pStyle w:val="35"/>
              <w:spacing w:before="130"/>
              <w:jc w:val="center"/>
              <w:rPr>
                <w:rFonts w:hint="eastAsia" w:ascii="宋体" w:hAnsi="宋体" w:eastAsia="宋体" w:cs="宋体"/>
                <w:color w:val="auto"/>
                <w:kern w:val="0"/>
                <w:sz w:val="24"/>
                <w:szCs w:val="24"/>
                <w:highlight w:val="none"/>
                <w:lang w:val="en-US" w:bidi="ar-SA"/>
              </w:rPr>
            </w:pPr>
            <w:r>
              <w:rPr>
                <w:rFonts w:hint="eastAsia" w:cs="宋体"/>
                <w:color w:val="auto"/>
                <w:kern w:val="0"/>
                <w:sz w:val="24"/>
                <w:szCs w:val="24"/>
                <w:highlight w:val="none"/>
                <w:lang w:val="en-US" w:eastAsia="zh-CN" w:bidi="ar-SA"/>
              </w:rPr>
              <w:t>彭显武</w:t>
            </w:r>
          </w:p>
        </w:tc>
        <w:tc>
          <w:tcPr>
            <w:tcW w:w="1651" w:type="dxa"/>
            <w:noWrap w:val="0"/>
            <w:vAlign w:val="center"/>
          </w:tcPr>
          <w:p w14:paraId="3C6EC1DD">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工程师</w:t>
            </w:r>
          </w:p>
        </w:tc>
        <w:tc>
          <w:tcPr>
            <w:tcW w:w="1180" w:type="dxa"/>
            <w:noWrap w:val="0"/>
            <w:vAlign w:val="center"/>
          </w:tcPr>
          <w:p w14:paraId="32C6020C">
            <w:pPr>
              <w:pStyle w:val="35"/>
              <w:spacing w:before="130"/>
              <w:jc w:val="center"/>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大专</w:t>
            </w:r>
          </w:p>
        </w:tc>
        <w:tc>
          <w:tcPr>
            <w:tcW w:w="1281" w:type="dxa"/>
            <w:noWrap w:val="0"/>
            <w:vAlign w:val="center"/>
          </w:tcPr>
          <w:p w14:paraId="0BCFB0CB">
            <w:pPr>
              <w:pStyle w:val="35"/>
              <w:spacing w:before="130"/>
              <w:jc w:val="center"/>
              <w:rPr>
                <w:rFonts w:hint="default" w:ascii="宋体" w:hAnsi="宋体" w:eastAsia="宋体" w:cs="宋体"/>
                <w:color w:val="auto"/>
                <w:kern w:val="0"/>
                <w:sz w:val="24"/>
                <w:szCs w:val="24"/>
                <w:highlight w:val="none"/>
                <w:lang w:val="en-US" w:eastAsia="zh-CN" w:bidi="ar-SA"/>
              </w:rPr>
            </w:pPr>
          </w:p>
        </w:tc>
        <w:tc>
          <w:tcPr>
            <w:tcW w:w="1817" w:type="dxa"/>
            <w:noWrap w:val="0"/>
            <w:vAlign w:val="center"/>
          </w:tcPr>
          <w:p w14:paraId="2BF105CB">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项目经理</w:t>
            </w:r>
          </w:p>
        </w:tc>
      </w:tr>
      <w:tr w14:paraId="1AF0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10D9275D">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2</w:t>
            </w:r>
          </w:p>
        </w:tc>
        <w:tc>
          <w:tcPr>
            <w:tcW w:w="1286" w:type="dxa"/>
            <w:noWrap w:val="0"/>
            <w:vAlign w:val="center"/>
          </w:tcPr>
          <w:p w14:paraId="7BFE31ED">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405" w:type="dxa"/>
            <w:noWrap w:val="0"/>
            <w:vAlign w:val="center"/>
          </w:tcPr>
          <w:p w14:paraId="67057E71">
            <w:pPr>
              <w:pStyle w:val="35"/>
              <w:spacing w:before="130"/>
              <w:jc w:val="center"/>
              <w:rPr>
                <w:rFonts w:hint="eastAsia" w:ascii="宋体" w:hAnsi="宋体" w:eastAsia="宋体" w:cs="宋体"/>
                <w:color w:val="auto"/>
                <w:kern w:val="0"/>
                <w:sz w:val="24"/>
                <w:szCs w:val="24"/>
                <w:highlight w:val="none"/>
                <w:lang w:val="en-US" w:bidi="ar-SA"/>
              </w:rPr>
            </w:pPr>
            <w:r>
              <w:rPr>
                <w:rFonts w:hint="eastAsia" w:cs="宋体"/>
                <w:color w:val="auto"/>
                <w:kern w:val="0"/>
                <w:sz w:val="24"/>
                <w:szCs w:val="24"/>
                <w:highlight w:val="none"/>
                <w:lang w:val="en-US" w:eastAsia="zh-CN" w:bidi="ar-SA"/>
              </w:rPr>
              <w:t>彭显武</w:t>
            </w:r>
          </w:p>
        </w:tc>
        <w:tc>
          <w:tcPr>
            <w:tcW w:w="1651" w:type="dxa"/>
            <w:noWrap w:val="0"/>
            <w:vAlign w:val="center"/>
          </w:tcPr>
          <w:p w14:paraId="5289A0F3">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工程师</w:t>
            </w:r>
          </w:p>
        </w:tc>
        <w:tc>
          <w:tcPr>
            <w:tcW w:w="1180" w:type="dxa"/>
            <w:noWrap w:val="0"/>
            <w:vAlign w:val="center"/>
          </w:tcPr>
          <w:p w14:paraId="17E682C3">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大专</w:t>
            </w:r>
          </w:p>
        </w:tc>
        <w:tc>
          <w:tcPr>
            <w:tcW w:w="1281" w:type="dxa"/>
            <w:noWrap w:val="0"/>
            <w:vAlign w:val="center"/>
          </w:tcPr>
          <w:p w14:paraId="376820AB">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817" w:type="dxa"/>
            <w:noWrap w:val="0"/>
            <w:vAlign w:val="center"/>
          </w:tcPr>
          <w:p w14:paraId="78B809B5">
            <w:pPr>
              <w:pStyle w:val="35"/>
              <w:spacing w:before="130"/>
              <w:jc w:val="center"/>
              <w:rPr>
                <w:rFonts w:hint="eastAsia" w:ascii="宋体" w:hAnsi="宋体" w:eastAsia="宋体" w:cs="宋体"/>
                <w:color w:val="auto"/>
                <w:kern w:val="0"/>
                <w:sz w:val="24"/>
                <w:szCs w:val="24"/>
                <w:highlight w:val="none"/>
                <w:lang w:val="en-US" w:bidi="ar-SA"/>
              </w:rPr>
            </w:pPr>
            <w:r>
              <w:rPr>
                <w:rFonts w:hint="eastAsia"/>
                <w:color w:val="auto"/>
                <w:sz w:val="24"/>
                <w:szCs w:val="24"/>
                <w:highlight w:val="none"/>
                <w:lang w:val="en-US" w:eastAsia="zh-CN"/>
              </w:rPr>
              <w:t>技术负责人</w:t>
            </w:r>
          </w:p>
        </w:tc>
      </w:tr>
      <w:tr w14:paraId="5272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2EE6E1E8">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3</w:t>
            </w:r>
          </w:p>
        </w:tc>
        <w:tc>
          <w:tcPr>
            <w:tcW w:w="1286" w:type="dxa"/>
            <w:noWrap w:val="0"/>
            <w:vAlign w:val="center"/>
          </w:tcPr>
          <w:p w14:paraId="4AEB6658">
            <w:pPr>
              <w:pStyle w:val="35"/>
              <w:spacing w:before="130"/>
              <w:jc w:val="center"/>
              <w:rPr>
                <w:rFonts w:hint="eastAsia" w:ascii="宋体" w:hAnsi="宋体" w:eastAsia="宋体" w:cs="宋体"/>
                <w:color w:val="auto"/>
                <w:kern w:val="0"/>
                <w:sz w:val="24"/>
                <w:szCs w:val="24"/>
                <w:highlight w:val="none"/>
                <w:lang w:val="en-US" w:bidi="ar-SA"/>
              </w:rPr>
            </w:pPr>
          </w:p>
        </w:tc>
        <w:tc>
          <w:tcPr>
            <w:tcW w:w="1405" w:type="dxa"/>
            <w:noWrap w:val="0"/>
            <w:vAlign w:val="center"/>
          </w:tcPr>
          <w:p w14:paraId="08F9AC4A">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周瑞</w:t>
            </w:r>
          </w:p>
        </w:tc>
        <w:tc>
          <w:tcPr>
            <w:tcW w:w="1651" w:type="dxa"/>
            <w:noWrap w:val="0"/>
            <w:vAlign w:val="center"/>
          </w:tcPr>
          <w:p w14:paraId="337099D9">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180" w:type="dxa"/>
            <w:noWrap w:val="0"/>
            <w:vAlign w:val="center"/>
          </w:tcPr>
          <w:p w14:paraId="0B3132C9">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大专</w:t>
            </w:r>
          </w:p>
        </w:tc>
        <w:tc>
          <w:tcPr>
            <w:tcW w:w="1281" w:type="dxa"/>
            <w:noWrap w:val="0"/>
            <w:vAlign w:val="center"/>
          </w:tcPr>
          <w:p w14:paraId="5964775D">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817" w:type="dxa"/>
            <w:noWrap w:val="0"/>
            <w:vAlign w:val="center"/>
          </w:tcPr>
          <w:p w14:paraId="167CECCD">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color w:val="auto"/>
                <w:sz w:val="24"/>
                <w:szCs w:val="24"/>
                <w:highlight w:val="none"/>
                <w:lang w:val="en-US" w:eastAsia="zh-CN"/>
              </w:rPr>
              <w:t>生产经理</w:t>
            </w:r>
          </w:p>
        </w:tc>
      </w:tr>
      <w:tr w14:paraId="2CDD3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525940F6">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4</w:t>
            </w:r>
          </w:p>
        </w:tc>
        <w:tc>
          <w:tcPr>
            <w:tcW w:w="1286" w:type="dxa"/>
            <w:noWrap w:val="0"/>
            <w:vAlign w:val="center"/>
          </w:tcPr>
          <w:p w14:paraId="7F05C517">
            <w:pPr>
              <w:pStyle w:val="35"/>
              <w:spacing w:before="130"/>
              <w:jc w:val="center"/>
              <w:rPr>
                <w:rFonts w:hint="eastAsia" w:ascii="宋体" w:hAnsi="宋体" w:eastAsia="宋体" w:cs="宋体"/>
                <w:color w:val="auto"/>
                <w:kern w:val="0"/>
                <w:sz w:val="24"/>
                <w:szCs w:val="24"/>
                <w:highlight w:val="none"/>
                <w:lang w:val="en-US" w:bidi="ar-SA"/>
              </w:rPr>
            </w:pPr>
          </w:p>
        </w:tc>
        <w:tc>
          <w:tcPr>
            <w:tcW w:w="1405" w:type="dxa"/>
            <w:noWrap w:val="0"/>
            <w:vAlign w:val="center"/>
          </w:tcPr>
          <w:p w14:paraId="69DA4E3F">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常惠</w:t>
            </w:r>
          </w:p>
        </w:tc>
        <w:tc>
          <w:tcPr>
            <w:tcW w:w="1651" w:type="dxa"/>
            <w:noWrap w:val="0"/>
            <w:vAlign w:val="center"/>
          </w:tcPr>
          <w:p w14:paraId="7325695C">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180" w:type="dxa"/>
            <w:noWrap w:val="0"/>
            <w:vAlign w:val="center"/>
          </w:tcPr>
          <w:p w14:paraId="54C37342">
            <w:pPr>
              <w:pStyle w:val="35"/>
              <w:spacing w:before="130"/>
              <w:jc w:val="center"/>
              <w:rPr>
                <w:rFonts w:hint="eastAsia" w:ascii="宋体" w:hAnsi="宋体" w:eastAsia="宋体" w:cs="宋体"/>
                <w:color w:val="auto"/>
                <w:kern w:val="0"/>
                <w:sz w:val="24"/>
                <w:szCs w:val="24"/>
                <w:highlight w:val="none"/>
                <w:lang w:val="en-US" w:bidi="ar-SA"/>
              </w:rPr>
            </w:pPr>
            <w:r>
              <w:rPr>
                <w:rFonts w:hint="eastAsia" w:cs="宋体"/>
                <w:color w:val="auto"/>
                <w:kern w:val="0"/>
                <w:sz w:val="24"/>
                <w:szCs w:val="24"/>
                <w:highlight w:val="none"/>
                <w:lang w:val="en-US" w:eastAsia="zh-CN" w:bidi="ar-SA"/>
              </w:rPr>
              <w:t>大专</w:t>
            </w:r>
          </w:p>
        </w:tc>
        <w:tc>
          <w:tcPr>
            <w:tcW w:w="1281" w:type="dxa"/>
            <w:noWrap w:val="0"/>
            <w:vAlign w:val="center"/>
          </w:tcPr>
          <w:p w14:paraId="7A9ABFF2">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817" w:type="dxa"/>
            <w:noWrap w:val="0"/>
            <w:vAlign w:val="center"/>
          </w:tcPr>
          <w:p w14:paraId="0CD1CD35">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color w:val="auto"/>
                <w:sz w:val="24"/>
                <w:szCs w:val="24"/>
                <w:highlight w:val="none"/>
                <w:lang w:eastAsia="zh-CN"/>
              </w:rPr>
              <w:t>安全员</w:t>
            </w:r>
          </w:p>
        </w:tc>
      </w:tr>
      <w:tr w14:paraId="3CD63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2A2242F2">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6</w:t>
            </w:r>
          </w:p>
        </w:tc>
        <w:tc>
          <w:tcPr>
            <w:tcW w:w="1286" w:type="dxa"/>
            <w:noWrap w:val="0"/>
            <w:vAlign w:val="center"/>
          </w:tcPr>
          <w:p w14:paraId="7076F236">
            <w:pPr>
              <w:pStyle w:val="35"/>
              <w:spacing w:before="130"/>
              <w:jc w:val="center"/>
              <w:rPr>
                <w:rFonts w:hint="eastAsia" w:ascii="宋体" w:hAnsi="宋体" w:eastAsia="宋体" w:cs="宋体"/>
                <w:color w:val="auto"/>
                <w:kern w:val="0"/>
                <w:sz w:val="24"/>
                <w:szCs w:val="24"/>
                <w:highlight w:val="none"/>
                <w:lang w:val="en-US" w:bidi="ar-SA"/>
              </w:rPr>
            </w:pPr>
          </w:p>
        </w:tc>
        <w:tc>
          <w:tcPr>
            <w:tcW w:w="1405" w:type="dxa"/>
            <w:noWrap w:val="0"/>
            <w:vAlign w:val="center"/>
          </w:tcPr>
          <w:p w14:paraId="008CE659">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王娟</w:t>
            </w:r>
          </w:p>
        </w:tc>
        <w:tc>
          <w:tcPr>
            <w:tcW w:w="1651" w:type="dxa"/>
            <w:noWrap w:val="0"/>
            <w:vAlign w:val="center"/>
          </w:tcPr>
          <w:p w14:paraId="47813B2A">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180" w:type="dxa"/>
            <w:noWrap w:val="0"/>
            <w:vAlign w:val="center"/>
          </w:tcPr>
          <w:p w14:paraId="6DA35D40">
            <w:pPr>
              <w:pStyle w:val="35"/>
              <w:spacing w:before="130"/>
              <w:jc w:val="center"/>
              <w:rPr>
                <w:rFonts w:hint="eastAsia" w:ascii="宋体" w:hAnsi="宋体" w:eastAsia="宋体" w:cs="宋体"/>
                <w:color w:val="auto"/>
                <w:kern w:val="0"/>
                <w:sz w:val="24"/>
                <w:szCs w:val="24"/>
                <w:highlight w:val="none"/>
                <w:lang w:val="en-US" w:bidi="ar-SA"/>
              </w:rPr>
            </w:pPr>
            <w:r>
              <w:rPr>
                <w:rFonts w:hint="eastAsia" w:cs="宋体"/>
                <w:color w:val="auto"/>
                <w:kern w:val="0"/>
                <w:sz w:val="24"/>
                <w:szCs w:val="24"/>
                <w:highlight w:val="none"/>
                <w:lang w:val="en-US" w:eastAsia="zh-CN" w:bidi="ar-SA"/>
              </w:rPr>
              <w:t>大专</w:t>
            </w:r>
          </w:p>
        </w:tc>
        <w:tc>
          <w:tcPr>
            <w:tcW w:w="1281" w:type="dxa"/>
            <w:noWrap w:val="0"/>
            <w:vAlign w:val="center"/>
          </w:tcPr>
          <w:p w14:paraId="2DAF8E9C">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817" w:type="dxa"/>
            <w:noWrap w:val="0"/>
            <w:vAlign w:val="center"/>
          </w:tcPr>
          <w:p w14:paraId="315580BD">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color w:val="auto"/>
                <w:sz w:val="24"/>
                <w:szCs w:val="24"/>
                <w:highlight w:val="none"/>
                <w:lang w:eastAsia="zh-CN"/>
              </w:rPr>
              <w:t>资料员</w:t>
            </w:r>
          </w:p>
        </w:tc>
      </w:tr>
      <w:tr w14:paraId="5470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10426969">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eastAsia="宋体" w:cs="宋体"/>
                <w:color w:val="auto"/>
                <w:kern w:val="0"/>
                <w:sz w:val="24"/>
                <w:szCs w:val="24"/>
                <w:highlight w:val="none"/>
                <w:lang w:val="en-US" w:bidi="ar-SA"/>
              </w:rPr>
              <w:t>7</w:t>
            </w:r>
          </w:p>
        </w:tc>
        <w:tc>
          <w:tcPr>
            <w:tcW w:w="1286" w:type="dxa"/>
            <w:noWrap w:val="0"/>
            <w:vAlign w:val="center"/>
          </w:tcPr>
          <w:p w14:paraId="3080360B">
            <w:pPr>
              <w:pStyle w:val="35"/>
              <w:spacing w:before="130"/>
              <w:jc w:val="center"/>
              <w:rPr>
                <w:rFonts w:hint="eastAsia" w:ascii="宋体" w:hAnsi="宋体" w:eastAsia="宋体" w:cs="宋体"/>
                <w:color w:val="auto"/>
                <w:kern w:val="0"/>
                <w:sz w:val="24"/>
                <w:szCs w:val="24"/>
                <w:highlight w:val="none"/>
                <w:lang w:val="en-US" w:bidi="ar-SA"/>
              </w:rPr>
            </w:pPr>
          </w:p>
        </w:tc>
        <w:tc>
          <w:tcPr>
            <w:tcW w:w="1405" w:type="dxa"/>
            <w:noWrap w:val="0"/>
            <w:vAlign w:val="center"/>
          </w:tcPr>
          <w:p w14:paraId="30F0E70C">
            <w:pPr>
              <w:pStyle w:val="35"/>
              <w:spacing w:before="13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李悦</w:t>
            </w:r>
          </w:p>
        </w:tc>
        <w:tc>
          <w:tcPr>
            <w:tcW w:w="1651" w:type="dxa"/>
            <w:noWrap w:val="0"/>
            <w:vAlign w:val="center"/>
          </w:tcPr>
          <w:p w14:paraId="4CBC3D6F">
            <w:pPr>
              <w:pStyle w:val="35"/>
              <w:spacing w:before="130"/>
              <w:jc w:val="center"/>
              <w:rPr>
                <w:rFonts w:hint="eastAsia" w:ascii="宋体" w:hAnsi="宋体" w:eastAsia="宋体" w:cs="宋体"/>
                <w:color w:val="auto"/>
                <w:kern w:val="0"/>
                <w:sz w:val="24"/>
                <w:szCs w:val="24"/>
                <w:highlight w:val="none"/>
                <w:lang w:val="en-US" w:bidi="ar-SA"/>
              </w:rPr>
            </w:pPr>
          </w:p>
        </w:tc>
        <w:tc>
          <w:tcPr>
            <w:tcW w:w="1180" w:type="dxa"/>
            <w:noWrap w:val="0"/>
            <w:vAlign w:val="center"/>
          </w:tcPr>
          <w:p w14:paraId="293707FC">
            <w:pPr>
              <w:pStyle w:val="35"/>
              <w:spacing w:before="130"/>
              <w:jc w:val="center"/>
              <w:rPr>
                <w:rFonts w:hint="eastAsia" w:ascii="宋体" w:hAnsi="宋体" w:eastAsia="宋体" w:cs="宋体"/>
                <w:color w:val="auto"/>
                <w:kern w:val="0"/>
                <w:sz w:val="24"/>
                <w:szCs w:val="24"/>
                <w:highlight w:val="none"/>
                <w:lang w:val="en-US" w:bidi="ar-SA"/>
              </w:rPr>
            </w:pPr>
            <w:r>
              <w:rPr>
                <w:rFonts w:hint="eastAsia" w:cs="宋体"/>
                <w:color w:val="auto"/>
                <w:kern w:val="0"/>
                <w:sz w:val="24"/>
                <w:szCs w:val="24"/>
                <w:highlight w:val="none"/>
                <w:lang w:val="en-US" w:eastAsia="zh-CN" w:bidi="ar-SA"/>
              </w:rPr>
              <w:t>大专</w:t>
            </w:r>
          </w:p>
        </w:tc>
        <w:tc>
          <w:tcPr>
            <w:tcW w:w="1281" w:type="dxa"/>
            <w:noWrap w:val="0"/>
            <w:vAlign w:val="center"/>
          </w:tcPr>
          <w:p w14:paraId="6A4F6892">
            <w:pPr>
              <w:pStyle w:val="35"/>
              <w:spacing w:before="130"/>
              <w:jc w:val="center"/>
              <w:rPr>
                <w:rFonts w:hint="eastAsia" w:ascii="宋体" w:hAnsi="宋体" w:eastAsia="宋体" w:cs="宋体"/>
                <w:color w:val="auto"/>
                <w:kern w:val="0"/>
                <w:sz w:val="24"/>
                <w:szCs w:val="24"/>
                <w:highlight w:val="none"/>
                <w:lang w:val="en-US" w:eastAsia="zh-CN" w:bidi="ar-SA"/>
              </w:rPr>
            </w:pPr>
          </w:p>
        </w:tc>
        <w:tc>
          <w:tcPr>
            <w:tcW w:w="1817" w:type="dxa"/>
            <w:noWrap w:val="0"/>
            <w:vAlign w:val="center"/>
          </w:tcPr>
          <w:p w14:paraId="7CAC9DEC">
            <w:pPr>
              <w:pStyle w:val="35"/>
              <w:spacing w:before="130"/>
              <w:jc w:val="center"/>
              <w:rPr>
                <w:rFonts w:hint="eastAsia" w:ascii="宋体" w:hAnsi="宋体" w:eastAsia="宋体" w:cs="宋体"/>
                <w:color w:val="auto"/>
                <w:kern w:val="0"/>
                <w:sz w:val="24"/>
                <w:szCs w:val="24"/>
                <w:highlight w:val="none"/>
                <w:lang w:val="en-US" w:bidi="ar-SA"/>
              </w:rPr>
            </w:pPr>
            <w:r>
              <w:rPr>
                <w:rFonts w:hint="eastAsia" w:ascii="宋体" w:hAnsi="宋体"/>
                <w:color w:val="auto"/>
                <w:sz w:val="24"/>
                <w:szCs w:val="24"/>
                <w:highlight w:val="none"/>
                <w:lang w:eastAsia="zh-CN"/>
              </w:rPr>
              <w:t>材料员</w:t>
            </w:r>
          </w:p>
        </w:tc>
      </w:tr>
      <w:tr w14:paraId="45A16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60" w:type="dxa"/>
            <w:noWrap w:val="0"/>
            <w:vAlign w:val="center"/>
          </w:tcPr>
          <w:p w14:paraId="598E765B">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8</w:t>
            </w:r>
          </w:p>
        </w:tc>
        <w:tc>
          <w:tcPr>
            <w:tcW w:w="1286" w:type="dxa"/>
            <w:noWrap w:val="0"/>
            <w:vAlign w:val="center"/>
          </w:tcPr>
          <w:p w14:paraId="6D7E0C38">
            <w:pPr>
              <w:pStyle w:val="35"/>
              <w:spacing w:before="130"/>
              <w:jc w:val="center"/>
              <w:rPr>
                <w:rFonts w:hint="eastAsia" w:ascii="宋体" w:hAnsi="宋体" w:eastAsia="宋体" w:cs="宋体"/>
                <w:color w:val="auto"/>
                <w:kern w:val="0"/>
                <w:szCs w:val="24"/>
                <w:highlight w:val="none"/>
                <w:lang w:val="en-US" w:bidi="ar-SA"/>
              </w:rPr>
            </w:pPr>
          </w:p>
        </w:tc>
        <w:tc>
          <w:tcPr>
            <w:tcW w:w="1405" w:type="dxa"/>
            <w:noWrap w:val="0"/>
            <w:vAlign w:val="center"/>
          </w:tcPr>
          <w:p w14:paraId="1E272601">
            <w:pPr>
              <w:pStyle w:val="35"/>
              <w:spacing w:before="130"/>
              <w:jc w:val="center"/>
              <w:rPr>
                <w:rFonts w:hint="default"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牛磊</w:t>
            </w:r>
          </w:p>
        </w:tc>
        <w:tc>
          <w:tcPr>
            <w:tcW w:w="1651" w:type="dxa"/>
            <w:noWrap w:val="0"/>
            <w:vAlign w:val="center"/>
          </w:tcPr>
          <w:p w14:paraId="413C7F2C">
            <w:pPr>
              <w:pStyle w:val="35"/>
              <w:spacing w:before="130"/>
              <w:jc w:val="center"/>
              <w:rPr>
                <w:rFonts w:hint="eastAsia" w:ascii="宋体" w:hAnsi="宋体" w:eastAsia="宋体" w:cs="宋体"/>
                <w:color w:val="auto"/>
                <w:kern w:val="0"/>
                <w:szCs w:val="24"/>
                <w:highlight w:val="none"/>
                <w:lang w:val="en-US" w:bidi="ar-SA"/>
              </w:rPr>
            </w:pPr>
          </w:p>
        </w:tc>
        <w:tc>
          <w:tcPr>
            <w:tcW w:w="1180" w:type="dxa"/>
            <w:noWrap w:val="0"/>
            <w:vAlign w:val="center"/>
          </w:tcPr>
          <w:p w14:paraId="6CB4B344">
            <w:pPr>
              <w:pStyle w:val="35"/>
              <w:spacing w:before="130"/>
              <w:jc w:val="center"/>
              <w:rPr>
                <w:rFonts w:hint="eastAsia" w:ascii="宋体" w:hAnsi="宋体" w:eastAsia="宋体" w:cs="宋体"/>
                <w:color w:val="auto"/>
                <w:kern w:val="0"/>
                <w:szCs w:val="24"/>
                <w:highlight w:val="none"/>
                <w:lang w:val="en-US" w:bidi="ar-SA"/>
              </w:rPr>
            </w:pPr>
            <w:r>
              <w:rPr>
                <w:rFonts w:hint="eastAsia" w:cs="宋体"/>
                <w:color w:val="auto"/>
                <w:kern w:val="0"/>
                <w:szCs w:val="24"/>
                <w:highlight w:val="none"/>
                <w:lang w:val="en-US" w:eastAsia="zh-CN" w:bidi="ar-SA"/>
              </w:rPr>
              <w:t>大专</w:t>
            </w:r>
          </w:p>
        </w:tc>
        <w:tc>
          <w:tcPr>
            <w:tcW w:w="1281" w:type="dxa"/>
            <w:noWrap w:val="0"/>
            <w:vAlign w:val="center"/>
          </w:tcPr>
          <w:p w14:paraId="036EAF81">
            <w:pPr>
              <w:pStyle w:val="35"/>
              <w:spacing w:before="130"/>
              <w:jc w:val="center"/>
              <w:rPr>
                <w:rFonts w:hint="eastAsia" w:ascii="宋体" w:hAnsi="宋体" w:eastAsia="宋体" w:cs="宋体"/>
                <w:color w:val="auto"/>
                <w:kern w:val="0"/>
                <w:szCs w:val="24"/>
                <w:highlight w:val="none"/>
                <w:lang w:val="en-US" w:eastAsia="zh-CN" w:bidi="ar-SA"/>
              </w:rPr>
            </w:pPr>
          </w:p>
        </w:tc>
        <w:tc>
          <w:tcPr>
            <w:tcW w:w="1817" w:type="dxa"/>
            <w:noWrap w:val="0"/>
            <w:vAlign w:val="center"/>
          </w:tcPr>
          <w:p w14:paraId="65A2A3AA">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color w:val="auto"/>
                <w:szCs w:val="21"/>
                <w:highlight w:val="none"/>
                <w:lang w:eastAsia="zh-CN"/>
              </w:rPr>
              <w:t>施工员</w:t>
            </w:r>
          </w:p>
        </w:tc>
      </w:tr>
    </w:tbl>
    <w:p w14:paraId="08DD0365">
      <w:pPr>
        <w:jc w:val="both"/>
        <w:rPr>
          <w:rFonts w:hint="eastAsia" w:ascii="宋体" w:hAnsi="宋体" w:eastAsia="宋体" w:cs="宋体"/>
          <w:bCs/>
          <w:color w:val="auto"/>
          <w:szCs w:val="28"/>
          <w:highlight w:val="none"/>
        </w:rPr>
      </w:pPr>
    </w:p>
    <w:p w14:paraId="1005C465">
      <w:pPr>
        <w:jc w:val="both"/>
        <w:rPr>
          <w:rFonts w:hint="eastAsia" w:ascii="宋体" w:hAnsi="宋体" w:eastAsia="宋体" w:cs="宋体"/>
          <w:bCs/>
          <w:color w:val="auto"/>
          <w:szCs w:val="28"/>
          <w:highlight w:val="none"/>
        </w:rPr>
      </w:pPr>
    </w:p>
    <w:p w14:paraId="722C1B3C">
      <w:pPr>
        <w:jc w:val="both"/>
        <w:rPr>
          <w:rFonts w:hint="eastAsia" w:ascii="宋体" w:hAnsi="宋体" w:eastAsia="宋体" w:cs="宋体"/>
          <w:bCs/>
          <w:color w:val="auto"/>
          <w:szCs w:val="28"/>
          <w:highlight w:val="none"/>
        </w:rPr>
      </w:pPr>
    </w:p>
    <w:p w14:paraId="266C9D7B">
      <w:pPr>
        <w:jc w:val="both"/>
        <w:rPr>
          <w:rFonts w:hint="eastAsia" w:ascii="宋体" w:hAnsi="宋体" w:eastAsia="宋体" w:cs="宋体"/>
          <w:bCs/>
          <w:color w:val="auto"/>
          <w:szCs w:val="28"/>
          <w:highlight w:val="none"/>
        </w:rPr>
      </w:pPr>
    </w:p>
    <w:p w14:paraId="413A8A8A">
      <w:pPr>
        <w:jc w:val="both"/>
        <w:rPr>
          <w:ins w:id="1" w:author="开元壹号-冰飞神话15037954375" w:date="2025-11-11T11:21:05Z"/>
          <w:rFonts w:hint="eastAsia" w:ascii="宋体" w:hAnsi="宋体" w:eastAsia="宋体" w:cs="宋体"/>
          <w:bCs/>
          <w:color w:val="auto"/>
          <w:szCs w:val="28"/>
          <w:highlight w:val="none"/>
        </w:rPr>
      </w:pPr>
    </w:p>
    <w:p w14:paraId="54A89F44">
      <w:pPr>
        <w:jc w:val="both"/>
        <w:rPr>
          <w:ins w:id="2" w:author="开元壹号-冰飞神话15037954375" w:date="2025-11-11T11:21:05Z"/>
          <w:rFonts w:hint="eastAsia" w:ascii="宋体" w:hAnsi="宋体" w:eastAsia="宋体" w:cs="宋体"/>
          <w:bCs/>
          <w:color w:val="auto"/>
          <w:szCs w:val="28"/>
          <w:highlight w:val="none"/>
        </w:rPr>
      </w:pPr>
    </w:p>
    <w:p w14:paraId="6DF29569">
      <w:pPr>
        <w:jc w:val="both"/>
        <w:rPr>
          <w:ins w:id="3" w:author="开元壹号-冰飞神话15037954375" w:date="2025-11-11T11:19:48Z"/>
          <w:rFonts w:hint="eastAsia" w:ascii="宋体" w:hAnsi="宋体" w:eastAsia="宋体" w:cs="宋体"/>
          <w:bCs/>
          <w:color w:val="auto"/>
          <w:szCs w:val="28"/>
          <w:highlight w:val="none"/>
        </w:rPr>
      </w:pPr>
      <w:bookmarkStart w:id="1" w:name="_GoBack"/>
      <w:bookmarkEnd w:id="1"/>
    </w:p>
    <w:p w14:paraId="625FEA2A">
      <w:pPr>
        <w:jc w:val="both"/>
        <w:rPr>
          <w:ins w:id="4" w:author="开元壹号-冰飞神话15037954375" w:date="2025-11-11T11:19:48Z"/>
          <w:rFonts w:hint="eastAsia" w:ascii="宋体" w:hAnsi="宋体" w:eastAsia="宋体" w:cs="宋体"/>
          <w:bCs/>
          <w:color w:val="auto"/>
          <w:szCs w:val="28"/>
          <w:highlight w:val="none"/>
        </w:rPr>
      </w:pPr>
    </w:p>
    <w:p w14:paraId="4621D83A">
      <w:pPr>
        <w:jc w:val="both"/>
        <w:rPr>
          <w:rFonts w:hint="eastAsia" w:ascii="宋体" w:hAnsi="宋体" w:eastAsia="宋体" w:cs="宋体"/>
          <w:bCs/>
          <w:color w:val="auto"/>
          <w:szCs w:val="28"/>
          <w:highlight w:val="none"/>
        </w:rPr>
      </w:pPr>
    </w:p>
    <w:p w14:paraId="2CB1F2DB">
      <w:pPr>
        <w:jc w:val="both"/>
        <w:rPr>
          <w:rFonts w:hint="eastAsia" w:ascii="宋体" w:hAnsi="宋体" w:eastAsia="宋体" w:cs="宋体"/>
          <w:bCs/>
          <w:color w:val="auto"/>
          <w:szCs w:val="28"/>
          <w:highlight w:val="none"/>
        </w:rPr>
      </w:pPr>
    </w:p>
    <w:p w14:paraId="4A997FE1">
      <w:pPr>
        <w:jc w:val="both"/>
        <w:rPr>
          <w:rFonts w:hint="eastAsia" w:ascii="宋体" w:hAnsi="宋体" w:cs="宋体"/>
          <w:bCs/>
          <w:color w:val="auto"/>
          <w:spacing w:val="8"/>
          <w:szCs w:val="24"/>
          <w:highlight w:val="none"/>
          <w:lang w:val="en-US" w:eastAsia="zh-CN"/>
        </w:rPr>
      </w:pPr>
      <w:r>
        <w:rPr>
          <w:rFonts w:hint="eastAsia" w:ascii="宋体" w:hAnsi="宋体" w:eastAsia="宋体" w:cs="宋体"/>
          <w:b/>
          <w:bCs w:val="0"/>
          <w:color w:val="auto"/>
          <w:sz w:val="24"/>
          <w:szCs w:val="24"/>
          <w:highlight w:val="none"/>
        </w:rPr>
        <w:t>附件</w:t>
      </w:r>
      <w:r>
        <w:rPr>
          <w:rFonts w:hint="eastAsia" w:ascii="宋体"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w:t>
      </w:r>
      <w:r>
        <w:rPr>
          <w:rFonts w:hint="eastAsia" w:ascii="宋体" w:hAnsi="宋体" w:cs="宋体"/>
          <w:b/>
          <w:bCs w:val="0"/>
          <w:color w:val="auto"/>
          <w:spacing w:val="8"/>
          <w:sz w:val="24"/>
          <w:szCs w:val="24"/>
          <w:highlight w:val="none"/>
          <w:lang w:val="en-US" w:eastAsia="zh-CN"/>
        </w:rPr>
        <w:t xml:space="preserve"> </w:t>
      </w:r>
      <w:r>
        <w:rPr>
          <w:rFonts w:hint="eastAsia" w:ascii="宋体" w:hAnsi="宋体" w:eastAsia="宋体" w:cs="宋体"/>
          <w:b/>
          <w:bCs w:val="0"/>
          <w:color w:val="auto"/>
          <w:spacing w:val="8"/>
          <w:sz w:val="24"/>
          <w:szCs w:val="24"/>
          <w:highlight w:val="none"/>
        </w:rPr>
        <w:t>价格清单</w:t>
      </w:r>
      <w:r>
        <w:rPr>
          <w:rFonts w:hint="eastAsia" w:ascii="宋体" w:hAnsi="宋体" w:cs="宋体"/>
          <w:b/>
          <w:bCs w:val="0"/>
          <w:color w:val="auto"/>
          <w:spacing w:val="8"/>
          <w:sz w:val="24"/>
          <w:szCs w:val="24"/>
          <w:highlight w:val="none"/>
          <w:lang w:val="en-US" w:eastAsia="zh-CN"/>
        </w:rPr>
        <w:t xml:space="preserve">   </w:t>
      </w:r>
      <w:r>
        <w:rPr>
          <w:rFonts w:hint="eastAsia" w:ascii="宋体" w:hAnsi="宋体" w:cs="宋体"/>
          <w:bCs/>
          <w:color w:val="auto"/>
          <w:spacing w:val="8"/>
          <w:szCs w:val="24"/>
          <w:highlight w:val="none"/>
          <w:lang w:val="en-US" w:eastAsia="zh-CN"/>
        </w:rPr>
        <w:t xml:space="preserve">   </w:t>
      </w:r>
    </w:p>
    <w:p w14:paraId="37EAE6EF">
      <w:pPr>
        <w:jc w:val="both"/>
        <w:rPr>
          <w:rFonts w:hint="default" w:ascii="宋体" w:hAnsi="宋体" w:cs="宋体"/>
          <w:bCs/>
          <w:color w:val="auto"/>
          <w:spacing w:val="8"/>
          <w:szCs w:val="24"/>
          <w:highlight w:val="none"/>
          <w:lang w:val="en-US" w:eastAsia="zh-CN"/>
        </w:rPr>
      </w:pPr>
    </w:p>
    <w:tbl>
      <w:tblPr>
        <w:tblStyle w:val="18"/>
        <w:tblW w:w="10275" w:type="dxa"/>
        <w:tblInd w:w="-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600"/>
        <w:gridCol w:w="2025"/>
        <w:gridCol w:w="468"/>
        <w:gridCol w:w="544"/>
        <w:gridCol w:w="413"/>
        <w:gridCol w:w="487"/>
        <w:gridCol w:w="394"/>
        <w:gridCol w:w="619"/>
        <w:gridCol w:w="656"/>
        <w:gridCol w:w="675"/>
        <w:gridCol w:w="806"/>
        <w:gridCol w:w="1313"/>
        <w:gridCol w:w="750"/>
      </w:tblGrid>
      <w:tr w14:paraId="2D06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0275" w:type="dxa"/>
            <w:gridSpan w:val="14"/>
            <w:tcBorders>
              <w:top w:val="nil"/>
              <w:left w:val="nil"/>
              <w:bottom w:val="nil"/>
              <w:right w:val="nil"/>
            </w:tcBorders>
            <w:shd w:val="clear" w:color="auto" w:fill="auto"/>
            <w:vAlign w:val="center"/>
          </w:tcPr>
          <w:p w14:paraId="4620013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洛阳市洛龙区天逸亮化工程工程量清单</w:t>
            </w:r>
          </w:p>
        </w:tc>
      </w:tr>
      <w:tr w14:paraId="201C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575" w:type="dxa"/>
            <w:gridSpan w:val="6"/>
            <w:tcBorders>
              <w:top w:val="nil"/>
              <w:left w:val="nil"/>
              <w:bottom w:val="nil"/>
              <w:right w:val="nil"/>
            </w:tcBorders>
            <w:shd w:val="clear" w:color="auto" w:fill="auto"/>
            <w:vAlign w:val="center"/>
          </w:tcPr>
          <w:p w14:paraId="674493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b/>
                <w:bCs/>
                <w:i w:val="0"/>
                <w:iCs w:val="0"/>
                <w:color w:val="000000"/>
                <w:kern w:val="0"/>
                <w:sz w:val="21"/>
                <w:szCs w:val="21"/>
                <w:u w:val="none"/>
                <w:lang w:val="en-US" w:eastAsia="zh-CN" w:bidi="ar"/>
              </w:rPr>
              <w:t>工程名称：洛阳市洛龙区亮化照明工程</w:t>
            </w:r>
          </w:p>
        </w:tc>
        <w:tc>
          <w:tcPr>
            <w:tcW w:w="3637" w:type="dxa"/>
            <w:gridSpan w:val="6"/>
            <w:tcBorders>
              <w:top w:val="nil"/>
              <w:left w:val="nil"/>
              <w:bottom w:val="nil"/>
              <w:right w:val="nil"/>
            </w:tcBorders>
            <w:shd w:val="clear" w:color="auto" w:fill="auto"/>
            <w:vAlign w:val="center"/>
          </w:tcPr>
          <w:p w14:paraId="7EC4FC67">
            <w:pPr>
              <w:jc w:val="left"/>
              <w:rPr>
                <w:rFonts w:hint="eastAsia" w:ascii="宋体" w:hAnsi="宋体" w:eastAsia="宋体" w:cs="宋体"/>
                <w:i w:val="0"/>
                <w:iCs w:val="0"/>
                <w:color w:val="000000"/>
                <w:sz w:val="16"/>
                <w:szCs w:val="16"/>
                <w:u w:val="none"/>
              </w:rPr>
            </w:pPr>
          </w:p>
        </w:tc>
        <w:tc>
          <w:tcPr>
            <w:tcW w:w="1313" w:type="dxa"/>
            <w:tcBorders>
              <w:top w:val="nil"/>
              <w:left w:val="nil"/>
              <w:bottom w:val="nil"/>
              <w:right w:val="nil"/>
            </w:tcBorders>
            <w:shd w:val="clear" w:color="auto" w:fill="auto"/>
            <w:vAlign w:val="center"/>
          </w:tcPr>
          <w:p w14:paraId="2F0FDEAA">
            <w:pPr>
              <w:jc w:val="left"/>
              <w:rPr>
                <w:rFonts w:hint="eastAsia" w:ascii="宋体" w:hAnsi="宋体" w:eastAsia="宋体" w:cs="宋体"/>
                <w:i w:val="0"/>
                <w:iCs w:val="0"/>
                <w:color w:val="000000"/>
                <w:sz w:val="16"/>
                <w:szCs w:val="16"/>
                <w:u w:val="none"/>
              </w:rPr>
            </w:pPr>
          </w:p>
        </w:tc>
        <w:tc>
          <w:tcPr>
            <w:tcW w:w="750" w:type="dxa"/>
            <w:tcBorders>
              <w:top w:val="nil"/>
              <w:left w:val="nil"/>
              <w:bottom w:val="nil"/>
              <w:right w:val="nil"/>
            </w:tcBorders>
            <w:shd w:val="clear" w:color="auto" w:fill="auto"/>
            <w:vAlign w:val="center"/>
          </w:tcPr>
          <w:p w14:paraId="7369873F">
            <w:pPr>
              <w:jc w:val="left"/>
              <w:rPr>
                <w:rFonts w:hint="eastAsia" w:ascii="宋体" w:hAnsi="宋体" w:eastAsia="宋体" w:cs="宋体"/>
                <w:i w:val="0"/>
                <w:iCs w:val="0"/>
                <w:color w:val="000000"/>
                <w:sz w:val="16"/>
                <w:szCs w:val="16"/>
                <w:u w:val="none"/>
              </w:rPr>
            </w:pPr>
          </w:p>
        </w:tc>
      </w:tr>
      <w:tr w14:paraId="6288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8F05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D98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07AF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工程内容</w:t>
            </w:r>
          </w:p>
        </w:tc>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5DF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658E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（合计）</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g</w:t>
            </w:r>
          </w:p>
        </w:tc>
        <w:tc>
          <w:tcPr>
            <w:tcW w:w="2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4462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其中：各子项构成（元）</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FF30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含税综合单价(元)</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f=(a+b+c+d+e)</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4C9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含税合价(元)=g*f</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DA87">
            <w:pPr>
              <w:jc w:val="center"/>
              <w:rPr>
                <w:rFonts w:hint="eastAsia" w:ascii="宋体" w:hAnsi="宋体" w:eastAsia="宋体" w:cs="宋体"/>
                <w:b/>
                <w:bCs/>
                <w:i w:val="0"/>
                <w:iCs w:val="0"/>
                <w:color w:val="000000"/>
                <w:sz w:val="16"/>
                <w:szCs w:val="16"/>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9415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 注</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（品牌/厂家）</w:t>
            </w:r>
          </w:p>
        </w:tc>
      </w:tr>
      <w:tr w14:paraId="2484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C430">
            <w:pPr>
              <w:jc w:val="center"/>
              <w:rPr>
                <w:rFonts w:hint="eastAsia" w:ascii="宋体" w:hAnsi="宋体" w:eastAsia="宋体" w:cs="宋体"/>
                <w:b/>
                <w:bCs/>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A6A6">
            <w:pPr>
              <w:jc w:val="center"/>
              <w:rPr>
                <w:rFonts w:hint="eastAsia" w:ascii="宋体" w:hAnsi="宋体" w:eastAsia="宋体" w:cs="宋体"/>
                <w:b/>
                <w:bCs/>
                <w:i w:val="0"/>
                <w:iCs w:val="0"/>
                <w:color w:val="000000"/>
                <w:sz w:val="16"/>
                <w:szCs w:val="16"/>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9064">
            <w:pPr>
              <w:jc w:val="center"/>
              <w:rPr>
                <w:rFonts w:hint="eastAsia" w:ascii="宋体" w:hAnsi="宋体" w:eastAsia="宋体" w:cs="宋体"/>
                <w:b/>
                <w:bCs/>
                <w:i w:val="0"/>
                <w:iCs w:val="0"/>
                <w:color w:val="000000"/>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D951">
            <w:pPr>
              <w:jc w:val="center"/>
              <w:rPr>
                <w:rFonts w:hint="eastAsia" w:ascii="宋体" w:hAnsi="宋体" w:eastAsia="宋体" w:cs="宋体"/>
                <w:b/>
                <w:bCs/>
                <w:i w:val="0"/>
                <w:iCs w:val="0"/>
                <w:color w:val="000000"/>
                <w:sz w:val="16"/>
                <w:szCs w:val="16"/>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6FA2">
            <w:pPr>
              <w:jc w:val="center"/>
              <w:rPr>
                <w:rFonts w:hint="eastAsia" w:ascii="宋体" w:hAnsi="宋体" w:eastAsia="宋体" w:cs="宋体"/>
                <w:b/>
                <w:bCs/>
                <w:i w:val="0"/>
                <w:iCs w:val="0"/>
                <w:color w:val="000000"/>
                <w:sz w:val="16"/>
                <w:szCs w:val="16"/>
                <w:u w:val="none"/>
              </w:rPr>
            </w:pPr>
          </w:p>
        </w:tc>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E938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人工费</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a</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2C9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主材费</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b</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7B4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机械、辅材及其他c</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19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管理费及利润</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d=(a+b+c)*费率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05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税金</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e=(a+b+c+d)*费率</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2BE8">
            <w:pPr>
              <w:jc w:val="center"/>
              <w:rPr>
                <w:rFonts w:hint="eastAsia" w:ascii="宋体" w:hAnsi="宋体" w:eastAsia="宋体" w:cs="宋体"/>
                <w:b/>
                <w:bCs/>
                <w:i w:val="0"/>
                <w:iCs w:val="0"/>
                <w:color w:val="000000"/>
                <w:sz w:val="16"/>
                <w:szCs w:val="16"/>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3727">
            <w:pPr>
              <w:jc w:val="center"/>
              <w:rPr>
                <w:rFonts w:hint="eastAsia" w:ascii="宋体" w:hAnsi="宋体" w:eastAsia="宋体" w:cs="宋体"/>
                <w:b/>
                <w:bCs/>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7EB">
            <w:pPr>
              <w:jc w:val="center"/>
              <w:rPr>
                <w:rFonts w:hint="eastAsia" w:ascii="宋体" w:hAnsi="宋体" w:eastAsia="宋体" w:cs="宋体"/>
                <w:b/>
                <w:bCs/>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5726">
            <w:pPr>
              <w:jc w:val="center"/>
              <w:rPr>
                <w:rFonts w:hint="eastAsia" w:ascii="宋体" w:hAnsi="宋体" w:eastAsia="宋体" w:cs="宋体"/>
                <w:b/>
                <w:bCs/>
                <w:i w:val="0"/>
                <w:iCs w:val="0"/>
                <w:color w:val="000000"/>
                <w:sz w:val="16"/>
                <w:szCs w:val="16"/>
                <w:u w:val="none"/>
              </w:rPr>
            </w:pPr>
          </w:p>
        </w:tc>
      </w:tr>
      <w:tr w14:paraId="3DF8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3FD6">
            <w:pPr>
              <w:jc w:val="center"/>
              <w:rPr>
                <w:rFonts w:hint="eastAsia" w:ascii="宋体" w:hAnsi="宋体" w:eastAsia="宋体" w:cs="宋体"/>
                <w:b/>
                <w:bCs/>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A200">
            <w:pPr>
              <w:jc w:val="center"/>
              <w:rPr>
                <w:rFonts w:hint="eastAsia" w:ascii="宋体" w:hAnsi="宋体" w:eastAsia="宋体" w:cs="宋体"/>
                <w:b/>
                <w:bCs/>
                <w:i w:val="0"/>
                <w:iCs w:val="0"/>
                <w:color w:val="000000"/>
                <w:sz w:val="16"/>
                <w:szCs w:val="16"/>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B23C8">
            <w:pPr>
              <w:jc w:val="center"/>
              <w:rPr>
                <w:rFonts w:hint="eastAsia" w:ascii="宋体" w:hAnsi="宋体" w:eastAsia="宋体" w:cs="宋体"/>
                <w:b/>
                <w:bCs/>
                <w:i w:val="0"/>
                <w:iCs w:val="0"/>
                <w:color w:val="000000"/>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98413">
            <w:pPr>
              <w:jc w:val="center"/>
              <w:rPr>
                <w:rFonts w:hint="eastAsia" w:ascii="宋体" w:hAnsi="宋体" w:eastAsia="宋体" w:cs="宋体"/>
                <w:b/>
                <w:bCs/>
                <w:i w:val="0"/>
                <w:iCs w:val="0"/>
                <w:color w:val="000000"/>
                <w:sz w:val="16"/>
                <w:szCs w:val="16"/>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9FF8">
            <w:pPr>
              <w:jc w:val="center"/>
              <w:rPr>
                <w:rFonts w:hint="eastAsia" w:ascii="宋体" w:hAnsi="宋体" w:eastAsia="宋体" w:cs="宋体"/>
                <w:b/>
                <w:bCs/>
                <w:i w:val="0"/>
                <w:iCs w:val="0"/>
                <w:color w:val="000000"/>
                <w:sz w:val="16"/>
                <w:szCs w:val="16"/>
                <w:u w:val="none"/>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4DEA">
            <w:pPr>
              <w:jc w:val="center"/>
              <w:rPr>
                <w:rFonts w:hint="eastAsia" w:ascii="宋体" w:hAnsi="宋体" w:eastAsia="宋体" w:cs="宋体"/>
                <w:b/>
                <w:bCs/>
                <w:i w:val="0"/>
                <w:iCs w:val="0"/>
                <w:color w:val="000000"/>
                <w:sz w:val="16"/>
                <w:szCs w:val="16"/>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3608">
            <w:pPr>
              <w:jc w:val="center"/>
              <w:rPr>
                <w:rFonts w:hint="eastAsia" w:ascii="宋体" w:hAnsi="宋体" w:eastAsia="宋体" w:cs="宋体"/>
                <w:b/>
                <w:bCs/>
                <w:i w:val="0"/>
                <w:iCs w:val="0"/>
                <w:color w:val="000000"/>
                <w:sz w:val="16"/>
                <w:szCs w:val="16"/>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73E5">
            <w:pPr>
              <w:jc w:val="center"/>
              <w:rPr>
                <w:rFonts w:hint="eastAsia" w:ascii="宋体" w:hAnsi="宋体" w:eastAsia="宋体" w:cs="宋体"/>
                <w:b/>
                <w:bCs/>
                <w:i w:val="0"/>
                <w:iCs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AC69">
            <w:pPr>
              <w:keepNext w:val="0"/>
              <w:keepLines w:val="0"/>
              <w:widowControl/>
              <w:suppressLineNumbers w:val="0"/>
              <w:jc w:val="center"/>
              <w:textAlignment w:val="center"/>
              <w:rPr>
                <w:rFonts w:hint="eastAsia" w:ascii="宋体" w:hAnsi="宋体" w:eastAsia="宋体" w:cs="宋体"/>
                <w:b/>
                <w:bCs/>
                <w:i w:val="0"/>
                <w:iCs w:val="0"/>
                <w:color w:val="000000"/>
                <w:sz w:val="16"/>
                <w:szCs w:val="16"/>
                <w:u w:val="single"/>
              </w:rPr>
            </w:pPr>
            <w:r>
              <w:rPr>
                <w:rFonts w:hint="eastAsia" w:ascii="宋体" w:hAnsi="宋体" w:eastAsia="宋体" w:cs="宋体"/>
                <w:b/>
                <w:bCs/>
                <w:i w:val="0"/>
                <w:iCs w:val="0"/>
                <w:color w:val="000000"/>
                <w:kern w:val="0"/>
                <w:sz w:val="16"/>
                <w:szCs w:val="16"/>
                <w:u w:val="singl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5102">
            <w:pPr>
              <w:keepNext w:val="0"/>
              <w:keepLines w:val="0"/>
              <w:widowControl/>
              <w:suppressLineNumbers w:val="0"/>
              <w:jc w:val="center"/>
              <w:textAlignment w:val="center"/>
              <w:rPr>
                <w:rFonts w:hint="eastAsia" w:ascii="宋体" w:hAnsi="宋体" w:eastAsia="宋体" w:cs="宋体"/>
                <w:b/>
                <w:bCs/>
                <w:i w:val="0"/>
                <w:iCs w:val="0"/>
                <w:color w:val="000000"/>
                <w:sz w:val="16"/>
                <w:szCs w:val="16"/>
                <w:u w:val="single"/>
              </w:rPr>
            </w:pPr>
            <w:r>
              <w:rPr>
                <w:rFonts w:hint="eastAsia" w:ascii="宋体" w:hAnsi="宋体" w:eastAsia="宋体" w:cs="宋体"/>
                <w:b/>
                <w:bCs/>
                <w:i w:val="0"/>
                <w:iCs w:val="0"/>
                <w:color w:val="000000"/>
                <w:kern w:val="0"/>
                <w:sz w:val="16"/>
                <w:szCs w:val="16"/>
                <w:u w:val="single"/>
                <w:lang w:val="en-US" w:eastAsia="zh-CN" w:bidi="ar"/>
              </w:rPr>
              <w:t>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E3938">
            <w:pPr>
              <w:jc w:val="center"/>
              <w:rPr>
                <w:rFonts w:hint="eastAsia" w:ascii="宋体" w:hAnsi="宋体" w:eastAsia="宋体" w:cs="宋体"/>
                <w:b/>
                <w:bCs/>
                <w:i w:val="0"/>
                <w:iCs w:val="0"/>
                <w:color w:val="000000"/>
                <w:sz w:val="16"/>
                <w:szCs w:val="16"/>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5A7F">
            <w:pPr>
              <w:jc w:val="center"/>
              <w:rPr>
                <w:rFonts w:hint="eastAsia" w:ascii="宋体" w:hAnsi="宋体" w:eastAsia="宋体" w:cs="宋体"/>
                <w:b/>
                <w:bCs/>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1BF6">
            <w:pPr>
              <w:jc w:val="center"/>
              <w:rPr>
                <w:rFonts w:hint="eastAsia" w:ascii="宋体" w:hAnsi="宋体" w:eastAsia="宋体" w:cs="宋体"/>
                <w:b/>
                <w:bCs/>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7434">
            <w:pPr>
              <w:jc w:val="center"/>
              <w:rPr>
                <w:rFonts w:hint="eastAsia" w:ascii="宋体" w:hAnsi="宋体" w:eastAsia="宋体" w:cs="宋体"/>
                <w:b/>
                <w:bCs/>
                <w:i w:val="0"/>
                <w:iCs w:val="0"/>
                <w:color w:val="000000"/>
                <w:sz w:val="16"/>
                <w:szCs w:val="16"/>
                <w:u w:val="none"/>
              </w:rPr>
            </w:pPr>
          </w:p>
        </w:tc>
      </w:tr>
      <w:tr w14:paraId="672E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6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D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配电箱</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8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1.名称:亮化配电箱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2.型号、规格:FGAL2-4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3.安装方式:暗装,H+1.5m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99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7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7C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7B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4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0DF89E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6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45.00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B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560.00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0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1120.00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6A0">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6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w:t>
            </w:r>
          </w:p>
        </w:tc>
      </w:tr>
      <w:tr w14:paraId="13E0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B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A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8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1.名称:电气配管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2.规格:PVC32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D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2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CA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D2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08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03284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0.14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9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0.41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0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5.04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4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100.80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EBEB">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F1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联塑</w:t>
            </w:r>
          </w:p>
        </w:tc>
      </w:tr>
      <w:tr w14:paraId="6511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C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DF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78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1.名称:电气配管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2.规格:PVC25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AA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EC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67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5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B9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5FB09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0.13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0.38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B1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4.70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D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1858.08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CD2F">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29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联塑</w:t>
            </w:r>
          </w:p>
        </w:tc>
      </w:tr>
      <w:tr w14:paraId="1710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48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CD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05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1.名称:电气配管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2.规格:PVC20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B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79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DB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FB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51951C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0.09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F0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0.28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1B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3.47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8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260.40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E6AB">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64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联塑</w:t>
            </w:r>
          </w:p>
        </w:tc>
      </w:tr>
      <w:tr w14:paraId="704F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4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59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C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1.名称:电力电缆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2.规格:ZR-YJV-5x6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3.配置形式:包含电缆接头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9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E8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C0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7B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7B11D3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0.90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4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C2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33.60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5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1008.00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A48">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F1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二缆</w:t>
            </w:r>
          </w:p>
        </w:tc>
      </w:tr>
      <w:tr w14:paraId="67EF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53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90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36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1.名称:电力电缆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2.规格:ZR-YJV-3x4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3.配置形式::包含电缆接头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61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D0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A2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F8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B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47C107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0.57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0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1.71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9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21.28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4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8405.60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EB97">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CD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二缆</w:t>
            </w:r>
          </w:p>
        </w:tc>
      </w:tr>
      <w:tr w14:paraId="1393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70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1A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D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1.名称:多芯软导线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2.规格、型号:RVV-2x4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3.敷设方式:穿管敷设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9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E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0B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47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690558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0.42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71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1.27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3C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15.79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1184.40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4E44">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B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二缆</w:t>
            </w:r>
          </w:p>
        </w:tc>
      </w:tr>
      <w:tr w14:paraId="79B1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E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5A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开关电源设备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E6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1.种类:LED开关电源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2.规格:AC220V:DC24V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3.容量:BK=350W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AF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F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6D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6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7B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564524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100.80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55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201.60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C685">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13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明卓</w:t>
            </w:r>
          </w:p>
        </w:tc>
      </w:tr>
      <w:tr w14:paraId="3698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A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66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开关电源设备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E6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1.种类:LED开关电源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2.规格:AC220V:DC12V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3.容量:BK=350W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A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5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CF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65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B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171DAA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77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C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100.80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9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504.00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553">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9D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明卓</w:t>
            </w:r>
          </w:p>
        </w:tc>
      </w:tr>
      <w:tr w14:paraId="0325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F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99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装饰灯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50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1.名称:投光灯（TG-01)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2.型号:电压:AC220V  功率:48W，4000K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3.安装形式:详见图纸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4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D0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62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7B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366</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69B06A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12.93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54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38.79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2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482.72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75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69511.68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E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14605</wp:posOffset>
                  </wp:positionV>
                  <wp:extent cx="696595" cy="661670"/>
                  <wp:effectExtent l="0" t="0" r="8255" b="508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7"/>
                          <a:stretch>
                            <a:fillRect/>
                          </a:stretch>
                        </pic:blipFill>
                        <pic:spPr>
                          <a:xfrm>
                            <a:off x="0" y="0"/>
                            <a:ext cx="696595" cy="66167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1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中涛</w:t>
            </w:r>
          </w:p>
        </w:tc>
      </w:tr>
      <w:tr w14:paraId="56FA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D8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9C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装饰灯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3C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1.名称:LED定制壁灯(BD1)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2.型号:DC24V-24W/套,4000K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3.安装形式:详见图纸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E2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D8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4A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AC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77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21201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15.60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ED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46.80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0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582.40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0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2329.60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3B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-6985</wp:posOffset>
                  </wp:positionV>
                  <wp:extent cx="500380" cy="726440"/>
                  <wp:effectExtent l="0" t="0" r="13970" b="1651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8"/>
                          <a:stretch>
                            <a:fillRect/>
                          </a:stretch>
                        </pic:blipFill>
                        <pic:spPr>
                          <a:xfrm>
                            <a:off x="0" y="0"/>
                            <a:ext cx="500380" cy="72644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F0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莲花牌云石壁灯</w:t>
            </w:r>
          </w:p>
        </w:tc>
      </w:tr>
      <w:tr w14:paraId="32B7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2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B8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装饰灯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03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1.名称:LED硬条灯(DD)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2.型号:DC24V-10W/M,4000K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3.安装形式:详见图纸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13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F3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9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20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DD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18380C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1.65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8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4.95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29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61.60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D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1509.20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5D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-298450</wp:posOffset>
                  </wp:positionV>
                  <wp:extent cx="702310" cy="643255"/>
                  <wp:effectExtent l="0" t="0" r="2540" b="4445"/>
                  <wp:wrapNone/>
                  <wp:docPr id="6" name="图片_3"/>
                  <wp:cNvGraphicFramePr/>
                  <a:graphic xmlns:a="http://schemas.openxmlformats.org/drawingml/2006/main">
                    <a:graphicData uri="http://schemas.openxmlformats.org/drawingml/2006/picture">
                      <pic:pic xmlns:pic="http://schemas.openxmlformats.org/drawingml/2006/picture">
                        <pic:nvPicPr>
                          <pic:cNvPr id="6" name="图片_3"/>
                          <pic:cNvPicPr/>
                        </pic:nvPicPr>
                        <pic:blipFill>
                          <a:blip r:embed="rId9"/>
                          <a:stretch>
                            <a:fillRect/>
                          </a:stretch>
                        </pic:blipFill>
                        <pic:spPr>
                          <a:xfrm>
                            <a:off x="0" y="0"/>
                            <a:ext cx="702310" cy="64325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4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建邦</w:t>
            </w:r>
          </w:p>
        </w:tc>
      </w:tr>
      <w:tr w14:paraId="7964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1C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47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发光字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12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1.名称:发光字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2.型号:DC12V-80W/㎡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3.安装形式:壁装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4.未详尽处满足图纸设计、相关规范要求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C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A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7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4A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1C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19" w:type="dxa"/>
            <w:tcBorders>
              <w:top w:val="single" w:color="000000" w:sz="4" w:space="0"/>
              <w:left w:val="single" w:color="000000" w:sz="4" w:space="0"/>
              <w:bottom w:val="single" w:color="000000" w:sz="4" w:space="0"/>
              <w:right w:val="nil"/>
            </w:tcBorders>
            <w:shd w:val="clear" w:color="auto" w:fill="auto"/>
            <w:vAlign w:val="center"/>
          </w:tcPr>
          <w:p w14:paraId="54970A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18.30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F9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54.90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3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683.20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D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6592.88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4B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28575</wp:posOffset>
                  </wp:positionV>
                  <wp:extent cx="565150" cy="648335"/>
                  <wp:effectExtent l="0" t="0" r="6350" b="18415"/>
                  <wp:wrapNone/>
                  <wp:docPr id="7" name="图片_4"/>
                  <wp:cNvGraphicFramePr/>
                  <a:graphic xmlns:a="http://schemas.openxmlformats.org/drawingml/2006/main">
                    <a:graphicData uri="http://schemas.openxmlformats.org/drawingml/2006/picture">
                      <pic:pic xmlns:pic="http://schemas.openxmlformats.org/drawingml/2006/picture">
                        <pic:nvPicPr>
                          <pic:cNvPr id="7" name="图片_4"/>
                          <pic:cNvPicPr/>
                        </pic:nvPicPr>
                        <pic:blipFill>
                          <a:blip r:embed="rId10"/>
                          <a:stretch>
                            <a:fillRect/>
                          </a:stretch>
                        </pic:blipFill>
                        <pic:spPr>
                          <a:xfrm>
                            <a:off x="0" y="0"/>
                            <a:ext cx="565150" cy="648335"/>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15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发光字板材为镀锌板08mm厚         光源：憨豆牌9mm12v灯珠       背后钢架：40*60热镀锌方钢焊接背架</w:t>
            </w:r>
          </w:p>
        </w:tc>
      </w:tr>
      <w:tr w14:paraId="4D6E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A6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98B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9824">
            <w:pPr>
              <w:rPr>
                <w:rFonts w:hint="eastAsia" w:ascii="宋体" w:hAnsi="宋体" w:eastAsia="宋体" w:cs="宋体"/>
                <w:b/>
                <w:bCs/>
                <w:i w:val="0"/>
                <w:iCs w:val="0"/>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6F7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元</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7E8F">
            <w:pPr>
              <w:jc w:val="center"/>
              <w:rPr>
                <w:rFonts w:hint="eastAsia" w:ascii="宋体" w:hAnsi="宋体" w:eastAsia="宋体" w:cs="宋体"/>
                <w:b/>
                <w:bCs/>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258">
            <w:pPr>
              <w:rPr>
                <w:rFonts w:hint="eastAsia" w:ascii="宋体" w:hAnsi="宋体" w:eastAsia="宋体" w:cs="宋体"/>
                <w:b/>
                <w:bCs/>
                <w:i w:val="0"/>
                <w:iCs w:val="0"/>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B9A7">
            <w:pPr>
              <w:rPr>
                <w:rFonts w:hint="eastAsia" w:ascii="宋体" w:hAnsi="宋体" w:eastAsia="宋体" w:cs="宋体"/>
                <w:b/>
                <w:bCs/>
                <w:i w:val="0"/>
                <w:iCs w:val="0"/>
                <w:color w:val="000000"/>
                <w:sz w:val="16"/>
                <w:szCs w:val="16"/>
                <w:u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A905">
            <w:pPr>
              <w:jc w:val="center"/>
              <w:rPr>
                <w:rFonts w:hint="eastAsia" w:ascii="宋体" w:hAnsi="宋体" w:eastAsia="宋体" w:cs="宋体"/>
                <w:b/>
                <w:bCs/>
                <w:i w:val="0"/>
                <w:iCs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C963">
            <w:pPr>
              <w:rPr>
                <w:rFonts w:hint="eastAsia" w:ascii="宋体" w:hAnsi="宋体" w:eastAsia="宋体" w:cs="宋体"/>
                <w:b/>
                <w:bCs/>
                <w:i w:val="0"/>
                <w:iCs w:val="0"/>
                <w:color w:val="000000"/>
                <w:sz w:val="16"/>
                <w:szCs w:val="16"/>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958D">
            <w:pPr>
              <w:rPr>
                <w:rFonts w:hint="eastAsia" w:ascii="宋体" w:hAnsi="宋体" w:eastAsia="宋体" w:cs="宋体"/>
                <w:b/>
                <w:bCs/>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5F9E">
            <w:pPr>
              <w:rPr>
                <w:rFonts w:hint="eastAsia" w:ascii="宋体" w:hAnsi="宋体" w:eastAsia="宋体" w:cs="宋体"/>
                <w:b/>
                <w:bCs/>
                <w:i w:val="0"/>
                <w:iCs w:val="0"/>
                <w:color w:val="000000"/>
                <w:sz w:val="16"/>
                <w:szCs w:val="16"/>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A02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94586 </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9784">
            <w:pPr>
              <w:jc w:val="center"/>
              <w:rPr>
                <w:rFonts w:hint="eastAsia" w:ascii="宋体" w:hAnsi="宋体" w:eastAsia="宋体" w:cs="宋体"/>
                <w:b/>
                <w:bCs/>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F616">
            <w:pPr>
              <w:rPr>
                <w:rFonts w:hint="eastAsia" w:ascii="宋体" w:hAnsi="宋体" w:eastAsia="宋体" w:cs="宋体"/>
                <w:b/>
                <w:bCs/>
                <w:i w:val="0"/>
                <w:iCs w:val="0"/>
                <w:color w:val="000000"/>
                <w:sz w:val="16"/>
                <w:szCs w:val="16"/>
                <w:u w:val="none"/>
              </w:rPr>
            </w:pPr>
          </w:p>
        </w:tc>
      </w:tr>
    </w:tbl>
    <w:p w14:paraId="3B6DB3D1">
      <w:pPr>
        <w:pStyle w:val="12"/>
        <w:overflowPunct w:val="0"/>
        <w:spacing w:before="120"/>
        <w:ind w:left="0" w:right="34"/>
        <w:rPr>
          <w:rFonts w:hint="eastAsia" w:ascii="宋体" w:hAnsi="宋体" w:cs="宋体"/>
          <w:color w:val="auto"/>
          <w:szCs w:val="24"/>
          <w:highlight w:val="none"/>
          <w:lang w:eastAsia="zh-CN"/>
        </w:rPr>
      </w:pPr>
    </w:p>
    <w:p w14:paraId="097251F9">
      <w:pPr>
        <w:pStyle w:val="12"/>
        <w:overflowPunct w:val="0"/>
        <w:spacing w:before="120"/>
        <w:ind w:left="0" w:right="34"/>
        <w:rPr>
          <w:rFonts w:hint="eastAsia" w:ascii="宋体" w:hAnsi="宋体" w:cs="宋体"/>
          <w:color w:val="auto"/>
          <w:szCs w:val="24"/>
          <w:highlight w:val="none"/>
          <w:lang w:eastAsia="zh-CN"/>
        </w:rPr>
      </w:pPr>
    </w:p>
    <w:p w14:paraId="7E8547AC">
      <w:pPr>
        <w:pStyle w:val="12"/>
        <w:overflowPunct w:val="0"/>
        <w:spacing w:before="120"/>
        <w:ind w:left="0" w:right="34"/>
        <w:rPr>
          <w:rFonts w:hint="eastAsia" w:ascii="宋体" w:hAnsi="宋体" w:cs="宋体"/>
          <w:color w:val="auto"/>
          <w:szCs w:val="24"/>
          <w:highlight w:val="none"/>
          <w:lang w:eastAsia="zh-CN"/>
        </w:rPr>
      </w:pPr>
    </w:p>
    <w:p w14:paraId="09108833">
      <w:pPr>
        <w:pStyle w:val="12"/>
        <w:overflowPunct w:val="0"/>
        <w:spacing w:before="120"/>
        <w:ind w:left="0" w:right="34"/>
        <w:rPr>
          <w:rFonts w:hint="eastAsia" w:ascii="宋体" w:hAnsi="宋体" w:cs="宋体"/>
          <w:color w:val="auto"/>
          <w:szCs w:val="24"/>
          <w:highlight w:val="none"/>
          <w:lang w:eastAsia="zh-CN"/>
        </w:rPr>
      </w:pPr>
    </w:p>
    <w:p w14:paraId="28043E22">
      <w:pPr>
        <w:pStyle w:val="12"/>
        <w:overflowPunct w:val="0"/>
        <w:spacing w:before="120"/>
        <w:ind w:left="0" w:right="34"/>
        <w:rPr>
          <w:rFonts w:hint="eastAsia" w:ascii="宋体" w:hAnsi="宋体" w:cs="宋体"/>
          <w:color w:val="auto"/>
          <w:szCs w:val="24"/>
          <w:highlight w:val="none"/>
          <w:lang w:eastAsia="zh-CN"/>
        </w:rPr>
      </w:pPr>
    </w:p>
    <w:p w14:paraId="6E94CCB5">
      <w:pPr>
        <w:pStyle w:val="12"/>
        <w:overflowPunct w:val="0"/>
        <w:spacing w:before="120"/>
        <w:ind w:left="0" w:right="34"/>
        <w:rPr>
          <w:rFonts w:hint="eastAsia" w:ascii="宋体" w:hAnsi="宋体" w:eastAsia="宋体" w:cs="宋体"/>
          <w:color w:val="auto"/>
          <w:sz w:val="24"/>
          <w:szCs w:val="24"/>
          <w:highlight w:val="none"/>
          <w:lang w:val="en-US" w:eastAsia="zh-CN"/>
        </w:rPr>
      </w:pPr>
    </w:p>
    <w:p w14:paraId="23A8722C">
      <w:pPr>
        <w:pStyle w:val="12"/>
        <w:overflowPunct w:val="0"/>
        <w:spacing w:before="120"/>
        <w:ind w:right="34"/>
        <w:rPr>
          <w:rFonts w:hint="eastAsia" w:ascii="宋体" w:hAnsi="宋体" w:eastAsia="宋体" w:cs="宋体"/>
          <w:color w:val="auto"/>
          <w:szCs w:val="24"/>
          <w:highlight w:val="none"/>
        </w:rPr>
      </w:pPr>
    </w:p>
    <w:sectPr>
      <w:headerReference r:id="rId3" w:type="default"/>
      <w:footerReference r:id="rId4" w:type="default"/>
      <w:pgSz w:w="11906" w:h="16838"/>
      <w:pgMar w:top="1440" w:right="1418" w:bottom="1440" w:left="12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6D6E">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710F1">
                          <w:pPr>
                            <w:pStyle w:val="1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24A710F1">
                    <w:pPr>
                      <w:pStyle w:val="1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080C953">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4B7F">
    <w:pPr>
      <w:pStyle w:val="15"/>
      <w:jc w:val="both"/>
    </w:pPr>
    <w:r>
      <w:drawing>
        <wp:inline distT="0" distB="0" distL="0" distR="0">
          <wp:extent cx="1017905" cy="31686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r>
      <w:rPr>
        <w:rFonts w:hint="eastAsia"/>
        <w:b/>
        <w:color w:val="5F5F5F"/>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F33972FB"/>
    <w:multiLevelType w:val="multilevel"/>
    <w:tmpl w:val="F33972FB"/>
    <w:lvl w:ilvl="0" w:tentative="0">
      <w:start w:val="1"/>
      <w:numFmt w:val="chineseCountingThousand"/>
      <w:lvlText w:val="%1."/>
      <w:lvlJc w:val="left"/>
      <w:pPr>
        <w:tabs>
          <w:tab w:val="left" w:pos="360"/>
        </w:tabs>
        <w:ind w:left="425" w:hanging="425"/>
      </w:pPr>
    </w:lvl>
    <w:lvl w:ilvl="1" w:tentative="0">
      <w:start w:val="1"/>
      <w:numFmt w:val="decimal"/>
      <w:lvlText w:val="%2."/>
      <w:lvlJc w:val="left"/>
      <w:pPr>
        <w:tabs>
          <w:tab w:val="left" w:pos="1440"/>
        </w:tabs>
        <w:ind w:left="851" w:hanging="425"/>
      </w:pPr>
    </w:lvl>
    <w:lvl w:ilvl="2" w:tentative="0">
      <w:start w:val="1"/>
      <w:numFmt w:val="none"/>
      <w:pStyle w:val="4"/>
      <w:suff w:val="nothing"/>
      <w:lvlText w:val=""/>
      <w:lvlJc w:val="left"/>
      <w:pPr>
        <w:tabs>
          <w:tab w:val="left" w:pos="0"/>
        </w:tabs>
        <w:ind w:left="851" w:hanging="425"/>
      </w:pPr>
    </w:lvl>
    <w:lvl w:ilvl="3" w:tentative="0">
      <w:start w:val="1"/>
      <w:numFmt w:val="lowerLetter"/>
      <w:lvlText w:val="%4)"/>
      <w:lvlJc w:val="left"/>
      <w:pPr>
        <w:tabs>
          <w:tab w:val="left" w:pos="2880"/>
        </w:tabs>
        <w:ind w:left="1700" w:hanging="425"/>
      </w:pPr>
    </w:lvl>
    <w:lvl w:ilvl="4" w:tentative="0">
      <w:start w:val="1"/>
      <w:numFmt w:val="decimal"/>
      <w:lvlText w:val="(%5)"/>
      <w:lvlJc w:val="left"/>
      <w:pPr>
        <w:tabs>
          <w:tab w:val="left" w:pos="3600"/>
        </w:tabs>
        <w:ind w:left="2125" w:hanging="425"/>
      </w:pPr>
    </w:lvl>
    <w:lvl w:ilvl="5" w:tentative="0">
      <w:start w:val="1"/>
      <w:numFmt w:val="lowerLetter"/>
      <w:lvlText w:val="(%6)"/>
      <w:lvlJc w:val="left"/>
      <w:pPr>
        <w:tabs>
          <w:tab w:val="left" w:pos="4320"/>
        </w:tabs>
        <w:ind w:left="2550" w:hanging="425"/>
      </w:pPr>
    </w:lvl>
    <w:lvl w:ilvl="6" w:tentative="0">
      <w:start w:val="1"/>
      <w:numFmt w:val="lowerRoman"/>
      <w:lvlText w:val="(%7)"/>
      <w:lvlJc w:val="left"/>
      <w:pPr>
        <w:tabs>
          <w:tab w:val="left" w:pos="5040"/>
        </w:tabs>
        <w:ind w:left="2975" w:hanging="425"/>
      </w:pPr>
    </w:lvl>
    <w:lvl w:ilvl="7" w:tentative="0">
      <w:start w:val="1"/>
      <w:numFmt w:val="lowerLetter"/>
      <w:lvlText w:val="(%8)"/>
      <w:lvlJc w:val="left"/>
      <w:pPr>
        <w:tabs>
          <w:tab w:val="left" w:pos="5760"/>
        </w:tabs>
        <w:ind w:left="3400" w:hanging="425"/>
      </w:pPr>
    </w:lvl>
    <w:lvl w:ilvl="8" w:tentative="0">
      <w:start w:val="1"/>
      <w:numFmt w:val="lowerRoman"/>
      <w:lvlText w:val="(%9)"/>
      <w:lvlJc w:val="left"/>
      <w:pPr>
        <w:tabs>
          <w:tab w:val="left" w:pos="6480"/>
        </w:tabs>
        <w:ind w:left="3825" w:hanging="425"/>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开元壹号-冰飞神话15037954375">
    <w15:presenceInfo w15:providerId="WPS Office" w15:userId="2019692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FD69B1"/>
    <w:rsid w:val="00023B81"/>
    <w:rsid w:val="00031BFA"/>
    <w:rsid w:val="00032C25"/>
    <w:rsid w:val="00033B86"/>
    <w:rsid w:val="00037B7B"/>
    <w:rsid w:val="000405AC"/>
    <w:rsid w:val="000433C3"/>
    <w:rsid w:val="00052B77"/>
    <w:rsid w:val="0005748F"/>
    <w:rsid w:val="00064ABB"/>
    <w:rsid w:val="0007248E"/>
    <w:rsid w:val="00076D90"/>
    <w:rsid w:val="00080F75"/>
    <w:rsid w:val="000872B6"/>
    <w:rsid w:val="00091515"/>
    <w:rsid w:val="000948AC"/>
    <w:rsid w:val="000B6542"/>
    <w:rsid w:val="000C0E1D"/>
    <w:rsid w:val="000C5BE5"/>
    <w:rsid w:val="000D1118"/>
    <w:rsid w:val="000E3438"/>
    <w:rsid w:val="001004D7"/>
    <w:rsid w:val="001054A0"/>
    <w:rsid w:val="00107BF5"/>
    <w:rsid w:val="00124E42"/>
    <w:rsid w:val="001322FF"/>
    <w:rsid w:val="001540FB"/>
    <w:rsid w:val="001563CF"/>
    <w:rsid w:val="00160EC1"/>
    <w:rsid w:val="00170BB7"/>
    <w:rsid w:val="001727DE"/>
    <w:rsid w:val="00173223"/>
    <w:rsid w:val="001765F1"/>
    <w:rsid w:val="001B1377"/>
    <w:rsid w:val="001B189E"/>
    <w:rsid w:val="001C4B57"/>
    <w:rsid w:val="001D2508"/>
    <w:rsid w:val="001D46FB"/>
    <w:rsid w:val="001E03FC"/>
    <w:rsid w:val="001E116E"/>
    <w:rsid w:val="001E14A7"/>
    <w:rsid w:val="001E7418"/>
    <w:rsid w:val="001E7C5A"/>
    <w:rsid w:val="001F22D9"/>
    <w:rsid w:val="001F5856"/>
    <w:rsid w:val="0020171B"/>
    <w:rsid w:val="00210A51"/>
    <w:rsid w:val="0021698B"/>
    <w:rsid w:val="00255685"/>
    <w:rsid w:val="00270D83"/>
    <w:rsid w:val="00272F93"/>
    <w:rsid w:val="00283CDA"/>
    <w:rsid w:val="00285A5F"/>
    <w:rsid w:val="00287D21"/>
    <w:rsid w:val="002C6C3B"/>
    <w:rsid w:val="002F3A94"/>
    <w:rsid w:val="002F7D66"/>
    <w:rsid w:val="003022B0"/>
    <w:rsid w:val="00302672"/>
    <w:rsid w:val="00303D2D"/>
    <w:rsid w:val="0033737F"/>
    <w:rsid w:val="00344614"/>
    <w:rsid w:val="00352CC6"/>
    <w:rsid w:val="00353148"/>
    <w:rsid w:val="003604B6"/>
    <w:rsid w:val="00364C41"/>
    <w:rsid w:val="00365198"/>
    <w:rsid w:val="00365AAA"/>
    <w:rsid w:val="003728C6"/>
    <w:rsid w:val="00381271"/>
    <w:rsid w:val="00395D02"/>
    <w:rsid w:val="0039646C"/>
    <w:rsid w:val="003A1451"/>
    <w:rsid w:val="003A2E3F"/>
    <w:rsid w:val="003B345A"/>
    <w:rsid w:val="003B51CF"/>
    <w:rsid w:val="003C307A"/>
    <w:rsid w:val="003C7D06"/>
    <w:rsid w:val="003D190A"/>
    <w:rsid w:val="003E20DD"/>
    <w:rsid w:val="003E63AE"/>
    <w:rsid w:val="003F5406"/>
    <w:rsid w:val="003F76DD"/>
    <w:rsid w:val="00405DE7"/>
    <w:rsid w:val="0041456B"/>
    <w:rsid w:val="00415227"/>
    <w:rsid w:val="00416023"/>
    <w:rsid w:val="00421C3E"/>
    <w:rsid w:val="004258B7"/>
    <w:rsid w:val="00447B0F"/>
    <w:rsid w:val="004548C1"/>
    <w:rsid w:val="00461F6E"/>
    <w:rsid w:val="0046353E"/>
    <w:rsid w:val="00477101"/>
    <w:rsid w:val="004811CB"/>
    <w:rsid w:val="00481862"/>
    <w:rsid w:val="00485F67"/>
    <w:rsid w:val="004917A8"/>
    <w:rsid w:val="004962E7"/>
    <w:rsid w:val="00497CD1"/>
    <w:rsid w:val="004A2D51"/>
    <w:rsid w:val="004A581F"/>
    <w:rsid w:val="004A603B"/>
    <w:rsid w:val="004C3A28"/>
    <w:rsid w:val="004E1768"/>
    <w:rsid w:val="004E75CA"/>
    <w:rsid w:val="00517808"/>
    <w:rsid w:val="00530BD4"/>
    <w:rsid w:val="00533E77"/>
    <w:rsid w:val="005351C3"/>
    <w:rsid w:val="0053528F"/>
    <w:rsid w:val="005408CA"/>
    <w:rsid w:val="00542B0A"/>
    <w:rsid w:val="005445FC"/>
    <w:rsid w:val="005446AC"/>
    <w:rsid w:val="00547F63"/>
    <w:rsid w:val="00550BD9"/>
    <w:rsid w:val="00555012"/>
    <w:rsid w:val="005554D1"/>
    <w:rsid w:val="00572CEE"/>
    <w:rsid w:val="005736CA"/>
    <w:rsid w:val="00582CB0"/>
    <w:rsid w:val="00585EB4"/>
    <w:rsid w:val="005953B4"/>
    <w:rsid w:val="005970AC"/>
    <w:rsid w:val="005A2F6E"/>
    <w:rsid w:val="005A6636"/>
    <w:rsid w:val="005B08DA"/>
    <w:rsid w:val="005B0BD1"/>
    <w:rsid w:val="005C0614"/>
    <w:rsid w:val="005C1795"/>
    <w:rsid w:val="005D247E"/>
    <w:rsid w:val="005D50B3"/>
    <w:rsid w:val="005F0F85"/>
    <w:rsid w:val="00604CAC"/>
    <w:rsid w:val="006220FF"/>
    <w:rsid w:val="00622C80"/>
    <w:rsid w:val="00632583"/>
    <w:rsid w:val="00646626"/>
    <w:rsid w:val="00647E5C"/>
    <w:rsid w:val="00656ACB"/>
    <w:rsid w:val="0065742C"/>
    <w:rsid w:val="0067511A"/>
    <w:rsid w:val="00675155"/>
    <w:rsid w:val="00675C90"/>
    <w:rsid w:val="00694014"/>
    <w:rsid w:val="00694E9B"/>
    <w:rsid w:val="00695A6F"/>
    <w:rsid w:val="006A2A7D"/>
    <w:rsid w:val="006A5D74"/>
    <w:rsid w:val="006B3168"/>
    <w:rsid w:val="006B3C14"/>
    <w:rsid w:val="006B72C2"/>
    <w:rsid w:val="006C5B4B"/>
    <w:rsid w:val="006C5F3E"/>
    <w:rsid w:val="006C5FF7"/>
    <w:rsid w:val="006D142C"/>
    <w:rsid w:val="006E61C7"/>
    <w:rsid w:val="006F2D76"/>
    <w:rsid w:val="006F50A9"/>
    <w:rsid w:val="006F5F14"/>
    <w:rsid w:val="00701622"/>
    <w:rsid w:val="007030E7"/>
    <w:rsid w:val="0070489A"/>
    <w:rsid w:val="007122B5"/>
    <w:rsid w:val="0071662C"/>
    <w:rsid w:val="007207E7"/>
    <w:rsid w:val="00730E3F"/>
    <w:rsid w:val="00730EF4"/>
    <w:rsid w:val="00740F4C"/>
    <w:rsid w:val="00741176"/>
    <w:rsid w:val="00741456"/>
    <w:rsid w:val="007512C2"/>
    <w:rsid w:val="00754DD2"/>
    <w:rsid w:val="00760E67"/>
    <w:rsid w:val="00761AE9"/>
    <w:rsid w:val="00762934"/>
    <w:rsid w:val="00766889"/>
    <w:rsid w:val="00766B14"/>
    <w:rsid w:val="0077519F"/>
    <w:rsid w:val="00780490"/>
    <w:rsid w:val="00787796"/>
    <w:rsid w:val="00787F20"/>
    <w:rsid w:val="00791106"/>
    <w:rsid w:val="007955E0"/>
    <w:rsid w:val="00797B5F"/>
    <w:rsid w:val="007A3855"/>
    <w:rsid w:val="007C3F71"/>
    <w:rsid w:val="007C69F3"/>
    <w:rsid w:val="007D203C"/>
    <w:rsid w:val="007F10EB"/>
    <w:rsid w:val="007F2118"/>
    <w:rsid w:val="007F61C5"/>
    <w:rsid w:val="00806107"/>
    <w:rsid w:val="00821169"/>
    <w:rsid w:val="00855B96"/>
    <w:rsid w:val="00870C12"/>
    <w:rsid w:val="00872AE2"/>
    <w:rsid w:val="00874BAD"/>
    <w:rsid w:val="0087506E"/>
    <w:rsid w:val="00890225"/>
    <w:rsid w:val="00891783"/>
    <w:rsid w:val="00892FD7"/>
    <w:rsid w:val="008A0BA8"/>
    <w:rsid w:val="008D0F19"/>
    <w:rsid w:val="008D6F15"/>
    <w:rsid w:val="008F48B8"/>
    <w:rsid w:val="00901666"/>
    <w:rsid w:val="0090593C"/>
    <w:rsid w:val="00907EA7"/>
    <w:rsid w:val="0091016F"/>
    <w:rsid w:val="009312B2"/>
    <w:rsid w:val="00940020"/>
    <w:rsid w:val="00962F2E"/>
    <w:rsid w:val="00964D35"/>
    <w:rsid w:val="00971493"/>
    <w:rsid w:val="00974EA8"/>
    <w:rsid w:val="00977D96"/>
    <w:rsid w:val="009810E5"/>
    <w:rsid w:val="00982721"/>
    <w:rsid w:val="0099227C"/>
    <w:rsid w:val="009C5596"/>
    <w:rsid w:val="009C793E"/>
    <w:rsid w:val="009D0E48"/>
    <w:rsid w:val="009D7E13"/>
    <w:rsid w:val="009E15BD"/>
    <w:rsid w:val="009E3061"/>
    <w:rsid w:val="009F0A54"/>
    <w:rsid w:val="009F27B6"/>
    <w:rsid w:val="009F7723"/>
    <w:rsid w:val="00A001F9"/>
    <w:rsid w:val="00A03FE8"/>
    <w:rsid w:val="00A17977"/>
    <w:rsid w:val="00A23B4C"/>
    <w:rsid w:val="00A34501"/>
    <w:rsid w:val="00A420D7"/>
    <w:rsid w:val="00A536F2"/>
    <w:rsid w:val="00A660F8"/>
    <w:rsid w:val="00A72937"/>
    <w:rsid w:val="00A740A2"/>
    <w:rsid w:val="00A87285"/>
    <w:rsid w:val="00AA5EA2"/>
    <w:rsid w:val="00AB7732"/>
    <w:rsid w:val="00AC0131"/>
    <w:rsid w:val="00AC01C0"/>
    <w:rsid w:val="00AD1DA3"/>
    <w:rsid w:val="00AD2D00"/>
    <w:rsid w:val="00AE6030"/>
    <w:rsid w:val="00B04992"/>
    <w:rsid w:val="00B06260"/>
    <w:rsid w:val="00B06FD3"/>
    <w:rsid w:val="00B12841"/>
    <w:rsid w:val="00B135CD"/>
    <w:rsid w:val="00B150C6"/>
    <w:rsid w:val="00B213B1"/>
    <w:rsid w:val="00B21AA1"/>
    <w:rsid w:val="00B25A42"/>
    <w:rsid w:val="00B36642"/>
    <w:rsid w:val="00B37B94"/>
    <w:rsid w:val="00B4184F"/>
    <w:rsid w:val="00B4249D"/>
    <w:rsid w:val="00B56CE5"/>
    <w:rsid w:val="00B7057B"/>
    <w:rsid w:val="00B712BA"/>
    <w:rsid w:val="00B72B77"/>
    <w:rsid w:val="00B73151"/>
    <w:rsid w:val="00B84BF6"/>
    <w:rsid w:val="00BA73EC"/>
    <w:rsid w:val="00BC445A"/>
    <w:rsid w:val="00BD1BBF"/>
    <w:rsid w:val="00BD5AD2"/>
    <w:rsid w:val="00BE336E"/>
    <w:rsid w:val="00BE440C"/>
    <w:rsid w:val="00BE6DA4"/>
    <w:rsid w:val="00BF2765"/>
    <w:rsid w:val="00C1247D"/>
    <w:rsid w:val="00C17969"/>
    <w:rsid w:val="00C229A9"/>
    <w:rsid w:val="00C22C40"/>
    <w:rsid w:val="00C246AE"/>
    <w:rsid w:val="00C40EF7"/>
    <w:rsid w:val="00C47E8E"/>
    <w:rsid w:val="00C51B30"/>
    <w:rsid w:val="00C5565F"/>
    <w:rsid w:val="00C6404C"/>
    <w:rsid w:val="00C6585E"/>
    <w:rsid w:val="00C70DFC"/>
    <w:rsid w:val="00C72D3E"/>
    <w:rsid w:val="00C734A6"/>
    <w:rsid w:val="00C77E4F"/>
    <w:rsid w:val="00C92E1F"/>
    <w:rsid w:val="00C933A1"/>
    <w:rsid w:val="00C94AFF"/>
    <w:rsid w:val="00CA4F5B"/>
    <w:rsid w:val="00CA5EA0"/>
    <w:rsid w:val="00CA70FE"/>
    <w:rsid w:val="00CB124E"/>
    <w:rsid w:val="00CB219F"/>
    <w:rsid w:val="00CB5CB3"/>
    <w:rsid w:val="00CD40AE"/>
    <w:rsid w:val="00CE2C43"/>
    <w:rsid w:val="00CE656D"/>
    <w:rsid w:val="00CE7699"/>
    <w:rsid w:val="00CF2519"/>
    <w:rsid w:val="00D04921"/>
    <w:rsid w:val="00D102B1"/>
    <w:rsid w:val="00D17C46"/>
    <w:rsid w:val="00D26869"/>
    <w:rsid w:val="00D405DE"/>
    <w:rsid w:val="00D4733A"/>
    <w:rsid w:val="00D555E6"/>
    <w:rsid w:val="00D6407F"/>
    <w:rsid w:val="00D644F2"/>
    <w:rsid w:val="00D70A4E"/>
    <w:rsid w:val="00D73DBB"/>
    <w:rsid w:val="00D74048"/>
    <w:rsid w:val="00D87D95"/>
    <w:rsid w:val="00D93BD7"/>
    <w:rsid w:val="00DA4E49"/>
    <w:rsid w:val="00DB7B74"/>
    <w:rsid w:val="00DC41ED"/>
    <w:rsid w:val="00DE3F22"/>
    <w:rsid w:val="00DF3B41"/>
    <w:rsid w:val="00DF70F7"/>
    <w:rsid w:val="00E04C76"/>
    <w:rsid w:val="00E05CF5"/>
    <w:rsid w:val="00E060CD"/>
    <w:rsid w:val="00E125A2"/>
    <w:rsid w:val="00E202A2"/>
    <w:rsid w:val="00E20414"/>
    <w:rsid w:val="00E462A9"/>
    <w:rsid w:val="00E472A3"/>
    <w:rsid w:val="00E56C37"/>
    <w:rsid w:val="00E6646A"/>
    <w:rsid w:val="00E664D2"/>
    <w:rsid w:val="00E91299"/>
    <w:rsid w:val="00E922E8"/>
    <w:rsid w:val="00E9630B"/>
    <w:rsid w:val="00EA29C5"/>
    <w:rsid w:val="00EA36CF"/>
    <w:rsid w:val="00EB54EB"/>
    <w:rsid w:val="00EC4677"/>
    <w:rsid w:val="00EC5859"/>
    <w:rsid w:val="00ED3AD6"/>
    <w:rsid w:val="00ED5E6E"/>
    <w:rsid w:val="00EE2B13"/>
    <w:rsid w:val="00EE6056"/>
    <w:rsid w:val="00EF1C06"/>
    <w:rsid w:val="00EF6A16"/>
    <w:rsid w:val="00EF7023"/>
    <w:rsid w:val="00F05C14"/>
    <w:rsid w:val="00F067EA"/>
    <w:rsid w:val="00F113DD"/>
    <w:rsid w:val="00F20BAA"/>
    <w:rsid w:val="00F31F84"/>
    <w:rsid w:val="00F42D8B"/>
    <w:rsid w:val="00F4390A"/>
    <w:rsid w:val="00F4426C"/>
    <w:rsid w:val="00F51F0E"/>
    <w:rsid w:val="00F538EA"/>
    <w:rsid w:val="00F63A46"/>
    <w:rsid w:val="00F72BF5"/>
    <w:rsid w:val="00F749DF"/>
    <w:rsid w:val="00F92723"/>
    <w:rsid w:val="00F943FC"/>
    <w:rsid w:val="00F94407"/>
    <w:rsid w:val="00F94B0B"/>
    <w:rsid w:val="00FA2B0F"/>
    <w:rsid w:val="00FB0566"/>
    <w:rsid w:val="00FB1F1E"/>
    <w:rsid w:val="00FC2FA8"/>
    <w:rsid w:val="00FD69B1"/>
    <w:rsid w:val="00FE116A"/>
    <w:rsid w:val="00FF746E"/>
    <w:rsid w:val="00FF7C77"/>
    <w:rsid w:val="01AC5842"/>
    <w:rsid w:val="0211370D"/>
    <w:rsid w:val="03230C96"/>
    <w:rsid w:val="03990047"/>
    <w:rsid w:val="03F60FF6"/>
    <w:rsid w:val="0456751D"/>
    <w:rsid w:val="04FD035C"/>
    <w:rsid w:val="05725607"/>
    <w:rsid w:val="05A01219"/>
    <w:rsid w:val="05BA34D8"/>
    <w:rsid w:val="09512150"/>
    <w:rsid w:val="0B0E16A8"/>
    <w:rsid w:val="0B5414CB"/>
    <w:rsid w:val="0B921659"/>
    <w:rsid w:val="0C4C5BFC"/>
    <w:rsid w:val="0C680835"/>
    <w:rsid w:val="0C7A0263"/>
    <w:rsid w:val="0DCA616D"/>
    <w:rsid w:val="0DE6032D"/>
    <w:rsid w:val="0E193BC3"/>
    <w:rsid w:val="0E205D2B"/>
    <w:rsid w:val="0E981AEE"/>
    <w:rsid w:val="106F19F9"/>
    <w:rsid w:val="123D3B88"/>
    <w:rsid w:val="123D4875"/>
    <w:rsid w:val="125506F0"/>
    <w:rsid w:val="12A20CE6"/>
    <w:rsid w:val="135A0E59"/>
    <w:rsid w:val="13F54E26"/>
    <w:rsid w:val="14011A1D"/>
    <w:rsid w:val="146714AF"/>
    <w:rsid w:val="14A035BB"/>
    <w:rsid w:val="14C0082A"/>
    <w:rsid w:val="15343484"/>
    <w:rsid w:val="15D60C87"/>
    <w:rsid w:val="18D90AA8"/>
    <w:rsid w:val="18F10CDE"/>
    <w:rsid w:val="19B64598"/>
    <w:rsid w:val="1B5047B4"/>
    <w:rsid w:val="1B7B283F"/>
    <w:rsid w:val="1C536B8E"/>
    <w:rsid w:val="1CE617B0"/>
    <w:rsid w:val="1D552DD9"/>
    <w:rsid w:val="1D72497B"/>
    <w:rsid w:val="1D9F40CF"/>
    <w:rsid w:val="1EEA47D8"/>
    <w:rsid w:val="1F78690B"/>
    <w:rsid w:val="1FE72569"/>
    <w:rsid w:val="20232F3B"/>
    <w:rsid w:val="20337402"/>
    <w:rsid w:val="20880DD0"/>
    <w:rsid w:val="20AF45A1"/>
    <w:rsid w:val="223A00A7"/>
    <w:rsid w:val="22F17100"/>
    <w:rsid w:val="26265C66"/>
    <w:rsid w:val="268A65E1"/>
    <w:rsid w:val="292C6969"/>
    <w:rsid w:val="29EF0F92"/>
    <w:rsid w:val="2AC27048"/>
    <w:rsid w:val="2B281C5A"/>
    <w:rsid w:val="2D8121A5"/>
    <w:rsid w:val="2DF36554"/>
    <w:rsid w:val="2EB57234"/>
    <w:rsid w:val="2FB13AC7"/>
    <w:rsid w:val="30072F72"/>
    <w:rsid w:val="301029A3"/>
    <w:rsid w:val="309A4933"/>
    <w:rsid w:val="324D7421"/>
    <w:rsid w:val="32BD19CC"/>
    <w:rsid w:val="33433459"/>
    <w:rsid w:val="33A06705"/>
    <w:rsid w:val="33F86541"/>
    <w:rsid w:val="34C147BD"/>
    <w:rsid w:val="36B85B13"/>
    <w:rsid w:val="372633C5"/>
    <w:rsid w:val="38C2302D"/>
    <w:rsid w:val="3AC21656"/>
    <w:rsid w:val="3B01379B"/>
    <w:rsid w:val="3B3A6064"/>
    <w:rsid w:val="3B4402BD"/>
    <w:rsid w:val="3B590513"/>
    <w:rsid w:val="3C277A76"/>
    <w:rsid w:val="3D657EFD"/>
    <w:rsid w:val="3D817BEF"/>
    <w:rsid w:val="3DAC5CA6"/>
    <w:rsid w:val="3DC65167"/>
    <w:rsid w:val="3F8B356F"/>
    <w:rsid w:val="3FCC262F"/>
    <w:rsid w:val="40CD0E2E"/>
    <w:rsid w:val="414A2CDB"/>
    <w:rsid w:val="41931657"/>
    <w:rsid w:val="47EB790A"/>
    <w:rsid w:val="47F06B48"/>
    <w:rsid w:val="49033D7E"/>
    <w:rsid w:val="495C4A24"/>
    <w:rsid w:val="4A3C4245"/>
    <w:rsid w:val="4B421630"/>
    <w:rsid w:val="4B6B71A0"/>
    <w:rsid w:val="4E4B32B9"/>
    <w:rsid w:val="4FA961E3"/>
    <w:rsid w:val="4FAD422B"/>
    <w:rsid w:val="4FD04E0A"/>
    <w:rsid w:val="4FF34E95"/>
    <w:rsid w:val="514E559A"/>
    <w:rsid w:val="518462F9"/>
    <w:rsid w:val="531E0E23"/>
    <w:rsid w:val="538A03E0"/>
    <w:rsid w:val="54996B2C"/>
    <w:rsid w:val="55E93B03"/>
    <w:rsid w:val="564D3D99"/>
    <w:rsid w:val="569357FD"/>
    <w:rsid w:val="56CF2CD9"/>
    <w:rsid w:val="57034CAF"/>
    <w:rsid w:val="58492617"/>
    <w:rsid w:val="584F4383"/>
    <w:rsid w:val="58703595"/>
    <w:rsid w:val="5A4A2677"/>
    <w:rsid w:val="5AA8507D"/>
    <w:rsid w:val="5B8F38DF"/>
    <w:rsid w:val="5BD54C93"/>
    <w:rsid w:val="5D6B351F"/>
    <w:rsid w:val="5E7A196B"/>
    <w:rsid w:val="5E9B725F"/>
    <w:rsid w:val="5ED30E8D"/>
    <w:rsid w:val="5F564C72"/>
    <w:rsid w:val="60CC04B6"/>
    <w:rsid w:val="60D60EA4"/>
    <w:rsid w:val="612A28D8"/>
    <w:rsid w:val="63242C14"/>
    <w:rsid w:val="63251ED3"/>
    <w:rsid w:val="63D23E09"/>
    <w:rsid w:val="6433602B"/>
    <w:rsid w:val="656E5DB3"/>
    <w:rsid w:val="65736F26"/>
    <w:rsid w:val="677931F3"/>
    <w:rsid w:val="6780592A"/>
    <w:rsid w:val="6C170108"/>
    <w:rsid w:val="6C6E48EB"/>
    <w:rsid w:val="6C95649A"/>
    <w:rsid w:val="6D4E7885"/>
    <w:rsid w:val="6ED81193"/>
    <w:rsid w:val="6FA66C1F"/>
    <w:rsid w:val="6FAA79E8"/>
    <w:rsid w:val="6FEF1BBA"/>
    <w:rsid w:val="70657DB3"/>
    <w:rsid w:val="713F23B2"/>
    <w:rsid w:val="71B85DAA"/>
    <w:rsid w:val="71BD5EA2"/>
    <w:rsid w:val="733D0B73"/>
    <w:rsid w:val="74745DE8"/>
    <w:rsid w:val="74C90910"/>
    <w:rsid w:val="74CE55B2"/>
    <w:rsid w:val="75C94940"/>
    <w:rsid w:val="76AC673B"/>
    <w:rsid w:val="76FB2034"/>
    <w:rsid w:val="770976EA"/>
    <w:rsid w:val="77200067"/>
    <w:rsid w:val="772804EC"/>
    <w:rsid w:val="7792494C"/>
    <w:rsid w:val="7A0D129F"/>
    <w:rsid w:val="7AD661E7"/>
    <w:rsid w:val="7BE14791"/>
    <w:rsid w:val="7C6B6751"/>
    <w:rsid w:val="7D2A660C"/>
    <w:rsid w:val="7D7F664D"/>
    <w:rsid w:val="7E5F5E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3"/>
    <w:basedOn w:val="1"/>
    <w:link w:val="23"/>
    <w:qFormat/>
    <w:uiPriority w:val="0"/>
    <w:pPr>
      <w:keepNext/>
      <w:keepLines/>
      <w:numPr>
        <w:ilvl w:val="2"/>
        <w:numId w:val="2"/>
      </w:numPr>
      <w:tabs>
        <w:tab w:val="clear" w:pos="0"/>
      </w:tabs>
      <w:adjustRightInd w:val="0"/>
      <w:spacing w:before="160" w:after="160" w:line="160" w:lineRule="atLeast"/>
      <w:ind w:hanging="284"/>
      <w:textAlignment w:val="baseline"/>
      <w:outlineLvl w:val="2"/>
    </w:pPr>
    <w:rPr>
      <w:rFonts w:ascii="黑体" w:eastAsia="黑体" w:cs="宋体"/>
      <w:kern w:val="0"/>
      <w:sz w:val="28"/>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5">
    <w:name w:val="Normal Indent"/>
    <w:basedOn w:val="1"/>
    <w:qFormat/>
    <w:uiPriority w:val="99"/>
    <w:pPr>
      <w:ind w:firstLine="420"/>
    </w:pPr>
    <w:rPr>
      <w:rFonts w:ascii="Times New Roman" w:hAnsi="Times New Roman"/>
      <w:sz w:val="28"/>
      <w:szCs w:val="20"/>
    </w:rPr>
  </w:style>
  <w:style w:type="paragraph" w:styleId="6">
    <w:name w:val="annotation text"/>
    <w:basedOn w:val="1"/>
    <w:link w:val="24"/>
    <w:qFormat/>
    <w:uiPriority w:val="0"/>
    <w:pPr>
      <w:jc w:val="left"/>
    </w:pPr>
    <w:rPr>
      <w:rFonts w:cs="宋体"/>
    </w:rPr>
  </w:style>
  <w:style w:type="paragraph" w:styleId="7">
    <w:name w:val="Body Text"/>
    <w:basedOn w:val="1"/>
    <w:next w:val="8"/>
    <w:qFormat/>
    <w:uiPriority w:val="99"/>
    <w:pPr>
      <w:spacing w:line="360" w:lineRule="auto"/>
    </w:pPr>
    <w:rPr>
      <w:kern w:val="0"/>
      <w:sz w:val="20"/>
      <w:szCs w:val="20"/>
    </w:rPr>
  </w:style>
  <w:style w:type="paragraph" w:customStyle="1" w:styleId="8">
    <w:name w:val="Default"/>
    <w:next w:val="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next w:val="10"/>
    <w:qFormat/>
    <w:uiPriority w:val="0"/>
    <w:pPr>
      <w:jc w:val="center"/>
    </w:pPr>
    <w:rPr>
      <w:rFonts w:ascii="Arial" w:hAnsi="Arial"/>
      <w:b/>
      <w:sz w:val="28"/>
      <w:szCs w:val="24"/>
    </w:rPr>
  </w:style>
  <w:style w:type="paragraph" w:styleId="10">
    <w:name w:val="Body Text First Indent 2"/>
    <w:basedOn w:val="11"/>
    <w:next w:val="7"/>
    <w:qFormat/>
    <w:uiPriority w:val="0"/>
    <w:pPr>
      <w:ind w:firstLine="0"/>
    </w:pPr>
  </w:style>
  <w:style w:type="paragraph" w:styleId="11">
    <w:name w:val="Body Text Indent"/>
    <w:basedOn w:val="1"/>
    <w:next w:val="7"/>
    <w:qFormat/>
    <w:uiPriority w:val="99"/>
    <w:pPr>
      <w:ind w:firstLine="645"/>
    </w:pPr>
    <w:rPr>
      <w:kern w:val="0"/>
      <w:sz w:val="20"/>
      <w:szCs w:val="20"/>
    </w:rPr>
  </w:style>
  <w:style w:type="paragraph" w:styleId="12">
    <w:name w:val="Block Text"/>
    <w:basedOn w:val="1"/>
    <w:qFormat/>
    <w:uiPriority w:val="0"/>
    <w:pPr>
      <w:adjustRightInd w:val="0"/>
      <w:ind w:left="420" w:right="33"/>
      <w:jc w:val="left"/>
    </w:pPr>
    <w:rPr>
      <w:rFonts w:ascii="Times New Roman" w:hAnsi="Times New Roman"/>
      <w:kern w:val="0"/>
      <w:sz w:val="24"/>
      <w:szCs w:val="20"/>
    </w:rPr>
  </w:style>
  <w:style w:type="paragraph" w:styleId="13">
    <w:name w:val="Plain Text"/>
    <w:basedOn w:val="1"/>
    <w:link w:val="25"/>
    <w:qFormat/>
    <w:uiPriority w:val="0"/>
    <w:pPr>
      <w:spacing w:line="360" w:lineRule="auto"/>
      <w:ind w:firstLine="200" w:firstLineChars="200"/>
    </w:pPr>
    <w:rPr>
      <w:rFonts w:ascii="宋体" w:hAnsi="宋体" w:eastAsia="仿宋_GB2312" w:cs="Courier New"/>
      <w:sz w:val="24"/>
      <w:szCs w:val="21"/>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7">
    <w:name w:val="Body Text Indent 3"/>
    <w:basedOn w:val="1"/>
    <w:link w:val="28"/>
    <w:qFormat/>
    <w:uiPriority w:val="0"/>
    <w:pPr>
      <w:spacing w:line="360" w:lineRule="auto"/>
      <w:ind w:firstLine="468"/>
    </w:pPr>
    <w:rPr>
      <w:rFonts w:ascii="Times New Roman" w:hAnsi="Times New Roman"/>
      <w:sz w:val="24"/>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标题 3 字符"/>
    <w:link w:val="4"/>
    <w:qFormat/>
    <w:uiPriority w:val="0"/>
    <w:rPr>
      <w:rFonts w:ascii="黑体" w:eastAsia="黑体" w:cs="宋体"/>
      <w:sz w:val="28"/>
    </w:rPr>
  </w:style>
  <w:style w:type="character" w:customStyle="1" w:styleId="24">
    <w:name w:val="批注文字 字符"/>
    <w:link w:val="6"/>
    <w:qFormat/>
    <w:uiPriority w:val="0"/>
    <w:rPr>
      <w:rFonts w:cs="宋体"/>
      <w:kern w:val="2"/>
      <w:sz w:val="21"/>
      <w:szCs w:val="22"/>
    </w:rPr>
  </w:style>
  <w:style w:type="character" w:customStyle="1" w:styleId="25">
    <w:name w:val="纯文本 字符"/>
    <w:link w:val="13"/>
    <w:qFormat/>
    <w:uiPriority w:val="0"/>
    <w:rPr>
      <w:rFonts w:ascii="宋体" w:hAnsi="宋体" w:eastAsia="仿宋_GB2312" w:cs="Courier New"/>
      <w:sz w:val="24"/>
      <w:szCs w:val="21"/>
    </w:rPr>
  </w:style>
  <w:style w:type="character" w:customStyle="1" w:styleId="26">
    <w:name w:val="页脚 字符"/>
    <w:link w:val="14"/>
    <w:qFormat/>
    <w:uiPriority w:val="99"/>
    <w:rPr>
      <w:sz w:val="18"/>
      <w:szCs w:val="18"/>
    </w:rPr>
  </w:style>
  <w:style w:type="character" w:customStyle="1" w:styleId="27">
    <w:name w:val="页眉 字符"/>
    <w:link w:val="15"/>
    <w:semiHidden/>
    <w:qFormat/>
    <w:uiPriority w:val="99"/>
    <w:rPr>
      <w:sz w:val="18"/>
      <w:szCs w:val="18"/>
    </w:rPr>
  </w:style>
  <w:style w:type="character" w:customStyle="1" w:styleId="28">
    <w:name w:val="正文文本缩进 3 字符"/>
    <w:link w:val="17"/>
    <w:qFormat/>
    <w:uiPriority w:val="0"/>
    <w:rPr>
      <w:rFonts w:ascii="Times New Roman" w:hAnsi="Times New Roman"/>
      <w:kern w:val="2"/>
      <w:sz w:val="24"/>
    </w:rPr>
  </w:style>
  <w:style w:type="paragraph" w:customStyle="1" w:styleId="29">
    <w:name w:val="正文1"/>
    <w:basedOn w:val="1"/>
    <w:qFormat/>
    <w:uiPriority w:val="0"/>
    <w:pPr>
      <w:ind w:firstLine="200" w:firstLineChars="200"/>
    </w:pPr>
    <w:rPr>
      <w:rFonts w:ascii="Times New Roman" w:hAnsi="Times New Roman"/>
      <w:szCs w:val="20"/>
    </w:rPr>
  </w:style>
  <w:style w:type="paragraph" w:customStyle="1" w:styleId="30">
    <w:name w:val="No Spacing_5b4ffbee-0cfe-4b89-bb79-b81f4a6849b6"/>
    <w:basedOn w:val="1"/>
    <w:qFormat/>
    <w:uiPriority w:val="1"/>
    <w:pPr>
      <w:spacing w:after="0" w:line="400" w:lineRule="exact"/>
    </w:pPr>
    <w:rPr>
      <w:rFonts w:eastAsia="宋体"/>
      <w:sz w:val="24"/>
    </w:rPr>
  </w:style>
  <w:style w:type="paragraph" w:styleId="31">
    <w:name w:val="List Paragraph"/>
    <w:basedOn w:val="1"/>
    <w:qFormat/>
    <w:uiPriority w:val="34"/>
    <w:pPr>
      <w:ind w:firstLine="420" w:firstLineChars="200"/>
    </w:pPr>
  </w:style>
  <w:style w:type="paragraph" w:customStyle="1" w:styleId="32">
    <w:name w:val="p0"/>
    <w:basedOn w:val="1"/>
    <w:qFormat/>
    <w:uiPriority w:val="0"/>
    <w:pPr>
      <w:widowControl/>
    </w:pPr>
    <w:rPr>
      <w:rFonts w:ascii="Times New Roman" w:hAnsi="Times New Roman"/>
      <w:kern w:val="0"/>
      <w:szCs w:val="21"/>
    </w:rPr>
  </w:style>
  <w:style w:type="character" w:customStyle="1" w:styleId="33">
    <w:name w:val="font61"/>
    <w:qFormat/>
    <w:uiPriority w:val="0"/>
    <w:rPr>
      <w:rFonts w:hint="eastAsia" w:ascii="宋体" w:hAnsi="宋体" w:eastAsia="宋体" w:cs="宋体"/>
      <w:color w:val="000000"/>
      <w:sz w:val="20"/>
      <w:szCs w:val="20"/>
      <w:u w:val="none"/>
    </w:rPr>
  </w:style>
  <w:style w:type="paragraph" w:customStyle="1" w:styleId="34">
    <w:name w:val="无间隔1"/>
    <w:basedOn w:val="1"/>
    <w:qFormat/>
    <w:uiPriority w:val="1"/>
    <w:pPr>
      <w:spacing w:line="400" w:lineRule="exact"/>
    </w:p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_Style 35"/>
    <w:unhideWhenUsed/>
    <w:qFormat/>
    <w:uiPriority w:val="99"/>
    <w:rPr>
      <w:rFonts w:ascii="Times New Roman" w:hAnsi="Times New Roman" w:eastAsia="宋体" w:cs="Times New Roman"/>
      <w:kern w:val="2"/>
      <w:sz w:val="21"/>
      <w:szCs w:val="22"/>
      <w:lang w:val="en-US" w:eastAsia="zh-CN" w:bidi="ar-SA"/>
    </w:rPr>
  </w:style>
  <w:style w:type="character" w:customStyle="1" w:styleId="37">
    <w:name w:val="font1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2003</Words>
  <Characters>2099</Characters>
  <Lines>216</Lines>
  <Paragraphs>61</Paragraphs>
  <TotalTime>69</TotalTime>
  <ScaleCrop>false</ScaleCrop>
  <LinksUpToDate>false</LinksUpToDate>
  <CharactersWithSpaces>2193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2024-07-17T14:07:00Z</dcterms:created>
  <dc:creator>Administrator</dc:creator>
  <cp:lastModifiedBy>开元壹号-冰飞神话15037954375</cp:lastModifiedBy>
  <cp:lastPrinted>2023-08-21T06:53:00Z</cp:lastPrinted>
  <dcterms:modified xsi:type="dcterms:W3CDTF">2025-11-11T03:21:18Z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B4BCC9720B7A4F6BA78877A489D27C02_13</vt:lpwstr>
  </property>
  <property fmtid="{D5CDD505-2E9C-101B-9397-08002B2CF9AE}" pid="4" name="KSOTemplateDocerSaveRecord">
    <vt:lpwstr>eyJoZGlkIjoiNmQzYTI5MmJjNTM0NWMwNDM5NmE1MjkzM2MyYmI4ZDYiLCJ1c2VySWQiOiI0MTExNjU2NjAifQ==</vt:lpwstr>
  </property>
</Properties>
</file>